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Analytical Report: State-Level E-Waste Generation &amp; SDG Tracking (Andhra Pradesh)</w:t>
      </w:r>
    </w:p>
    <w:p>
      <w:r>
        <w:t>Prepared By: Tejas Pawar</w:t>
      </w:r>
    </w:p>
    <w:p>
      <w:r>
        <w:t>Institution: VIT, Mumbai</w:t>
      </w:r>
    </w:p>
    <w:p>
      <w:r>
        <w:t>Reporting Period: FY 2024-25</w:t>
      </w:r>
    </w:p>
    <w:p>
      <w:r>
        <w:t>Data Framework: NITI Aayog &amp; E-Waste (Management) Rules, 2022</w:t>
      </w:r>
    </w:p>
    <w:p/>
    <w:p>
      <w:pPr>
        <w:pStyle w:val="Heading2"/>
      </w:pPr>
      <w:r>
        <w:t>1. Executive Summary</w:t>
      </w:r>
    </w:p>
    <w:p>
      <w:r>
        <w:t>This report presents a comprehensive evaluation of Andhra Pradesh’s electronic waste ecosystem, aligned with the United Nations Sustainable Development Goals (SDGs). The state currently generates approximately 60,231 Tonnes (60.2M kg) of e-waste annually across a tracked population of 48.7 million.</w:t>
        <w:br/>
        <w:br/>
        <w:t>Utilizing a 100-point composite assessment matrix, the state achieved a score of 61.6 / 100, placing it in the "Needs Improvement" tier. While formal processing infrastructure is robust (88,005 Tonnes/yr capacity), critical vulnerabilities exist in informal sector integration, downstream collection logistics, and environmental health monitoring at regional scrap clusters.</w:t>
      </w:r>
    </w:p>
    <w:p>
      <w:pPr>
        <w:pStyle w:val="Heading2"/>
      </w:pPr>
      <w:r>
        <w:t>2. Methodology &amp; Data Modeling</w:t>
      </w:r>
    </w:p>
    <w:p>
      <w:r>
        <w:t>The primary dataset (AP_EWaste_Tracker.xlsx) tracks 7 distinct operational metrics across all 26 official districts of Andhra Pradesh.</w:t>
        <w:br/>
        <w:t>• Geographic Scope: 100% coverage of AP's 26 newly reorganized districts.</w:t>
        <w:br/>
        <w:t>• Data Modeling: Where exact ground-truth values for unorganized sectors were unavailable, population-weighted estimations derived from NITI Aayog baseline data were applied to ensure accurate per-capita distributions.</w:t>
        <w:br/>
        <w:t>• SDG Alignment: The tracker specifically maps parameters to SDG 3 (Good Health &amp; Well-being), SDG 8 (Decent Work), SDG 11 (Sustainable Cities), and SDG 12 (Responsible Consumption).</w:t>
      </w:r>
    </w:p>
    <w:p>
      <w:pPr>
        <w:pStyle w:val="Heading2"/>
      </w:pPr>
      <w:r>
        <w:t>3. State Overview: Generation &amp; Demographics</w:t>
      </w:r>
    </w:p>
    <w:p>
      <w:r>
        <w:t>E-waste generation is heavily concentrated in high-density urban corridors.</w:t>
        <w:br/>
        <w:t>• Total Annual Output: 60,231,910 kg</w:t>
        <w:br/>
        <w:t>• Top 3 Generating Districts: SPSR Nellore (3.05 Million kg), Kurnool (2.80 Million kg), Ananthapuramu (2.77 Million kg)</w:t>
        <w:br/>
        <w:t>• Material Composition: The consumption footprint is overwhelmingly driven by IT &amp; Telecommunication Equipment (21.08 Million kg) and Consumer Electronics (16.86 Million kg), which together account for 63% of the state's total output. Hazardous Battery Waste accounts for 5.42 Million kg, demanding priority collection.</w:t>
      </w:r>
    </w:p>
    <w:p>
      <w:pPr>
        <w:pStyle w:val="Heading2"/>
      </w:pPr>
      <w:r>
        <w:t>4. SDG Assessment Scorecard Analysis</w:t>
      </w:r>
    </w:p>
    <w:p>
      <w:r>
        <w:t>The 61.6 composite score is derived from the following performance breakdown:</w:t>
        <w:br/>
        <w:t>• Generation &amp; Inventory: 15 / 15 (100%)</w:t>
        <w:br/>
        <w:t>• Formal Recycling: 14.6 / 20 (73%)</w:t>
        <w:br/>
        <w:t>• Regulatory Compliance: 10 / 15 (67%)</w:t>
        <w:br/>
        <w:t>• Collection Performance: 12 / 20 (60%)</w:t>
        <w:br/>
        <w:t>• Env. &amp; Health Safeguards: 6 / 10 (60%)</w:t>
        <w:br/>
        <w:t>• Informal Sector Integration: 2 / 10 (20%)</w:t>
        <w:br/>
        <w:t>• Awareness &amp; Outreach: 2 / 10 (20%)</w:t>
        <w:br/>
        <w:br/>
        <w:t>Insight: The state possesses an excellent baseline inventory and adequate compliance structures. However, systemic failure in grassroots awareness and informal sector formalization heavily drag down the composite index.</w:t>
      </w:r>
    </w:p>
    <w:p>
      <w:pPr>
        <w:pStyle w:val="Heading2"/>
      </w:pPr>
      <w:r>
        <w:t>5. Logistics, Processing, and Infrastructure</w:t>
      </w:r>
    </w:p>
    <w:p>
      <w:r>
        <w:t>A significant discrepancy exists between authorized capacity and actual material throughput, highlighting supply chain inefficiencies.</w:t>
        <w:br/>
        <w:t>• Total Installed Capacity: 88,005 Tonnes/year</w:t>
        <w:br/>
        <w:t>• Actual Quantity Processed: 33,881 Tonnes/year</w:t>
        <w:br/>
        <w:t>• Capacity Utilization Rate: 38.5%</w:t>
        <w:br/>
        <w:t>• Key Facilities: Large-scale processors such as Veera Waste Management (Nellore - 5,820t) and Green Waves Environmental (Visakhapatnam - 480t) are operating well below their thresholds. This indicates that while the downstream infrastructure (SDG 12) exists, the upstream collection pipelines are failing to divert waste from informal landfills to these formal facilities.</w:t>
      </w:r>
    </w:p>
    <w:p>
      <w:pPr>
        <w:pStyle w:val="Heading2"/>
      </w:pPr>
      <w:r>
        <w:t>6. Compliance, Social Impact, and Environmental Health</w:t>
      </w:r>
    </w:p>
    <w:p>
      <w:r>
        <w:t>This segment tracks the human and environmental cost of the ecosystem (SDG 3 &amp; 8).</w:t>
        <w:br/>
        <w:t>• EPR Compliance: Of the audited Extended Producer Responsibility (EPR) entities, a majority (4) are compliant, with 1 partially compliant and 1 non-compliant (escalation stage 2).</w:t>
        <w:br/>
        <w:t>• Informal Sector (SDG 8): Across 5 major regional scrap clusters, 285 informal workers were identified. Only 85 workers (29.8%) have been successfully registered or trained. The Chittoor cluster has achieved 100% formalization, establishing a reproducible blueprint for the state.</w:t>
        <w:br/>
        <w:t>• Health &amp; Environmental Alert (SDG 3): Ground-level environmental monitoring has triggered a priority alert at the Visakhapatnam Scrap Cluster. Testing indicated that Lead (Pb) concentrations in the soil and water exceeded permissible safety limits. In response, health screenings have been initiated for 180 beneficiaries in the immediate vicinity.</w:t>
      </w:r>
    </w:p>
    <w:p>
      <w:pPr>
        <w:pStyle w:val="Heading2"/>
      </w:pPr>
      <w:r>
        <w:t>7. Strategic Recommendations</w:t>
      </w:r>
    </w:p>
    <w:p>
      <w:r>
        <w:t>Based on the dataset, the following immediate interventions are required to elevate the state's composite score from "Needs Improvement" to "Good" (&gt;65 points):</w:t>
        <w:br/>
        <w:t>1. Scale Up Collection Pipelines: Bridge the 61.5% gap between recycling capacity (88k Tonnes) and actual throughput (33k Tonnes) by deploying municipal aggregation hubs in top-generating districts like SPSR Nellore and Kurnool.</w:t>
        <w:br/>
        <w:t>2. Accelerate Labor Formalization: Replicate the Chittoor formalization model in Kurnool and Vijayawada to protect precarious labor and boost the SDG 8 metric above its current critical 20% rating.</w:t>
        <w:br/>
        <w:t>3. Expedite Remediation in Visakhapatnam: Allocate immediate funding for soil remediation and continued worker health monitoring at the Visakhapatnam site to mitigate heavy metal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07E05C-E191-4F8B-975D-E07BCF38EEB6}"/>
</file>

<file path=customXml/itemProps3.xml><?xml version="1.0" encoding="utf-8"?>
<ds:datastoreItem xmlns:ds="http://schemas.openxmlformats.org/officeDocument/2006/customXml" ds:itemID="{A44CF65F-121E-482E-AE43-B2C1855CD1D5}"/>
</file>

<file path=customXml/itemProps4.xml><?xml version="1.0" encoding="utf-8"?>
<ds:datastoreItem xmlns:ds="http://schemas.openxmlformats.org/officeDocument/2006/customXml" ds:itemID="{BC48D1D9-60B3-4FCD-9AE9-9CD928ABE34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