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78164">
      <w:pPr>
        <w:spacing w:before="720" w:after="240"/>
        <w:jc w:val="center"/>
      </w:pPr>
      <w:r>
        <w:rPr>
          <w:rFonts w:ascii="Calibri" w:hAnsi="Calibri"/>
          <w:b/>
          <w:color w:val="1B365D"/>
          <w:sz w:val="52"/>
        </w:rPr>
        <w:t>GLOBAL WASTE MANAGEMENT AND RECYCLING CASE STUDIES</w:t>
      </w:r>
    </w:p>
    <w:p w14:paraId="6A5323DC">
      <w:pPr>
        <w:spacing w:before="0" w:after="480"/>
        <w:jc w:val="center"/>
        <w:rPr>
          <w:rFonts w:ascii="Calibri" w:hAnsi="Calibri"/>
          <w:i/>
          <w:color w:val="2E75B6"/>
          <w:sz w:val="28"/>
        </w:rPr>
      </w:pPr>
      <w:r>
        <w:rPr>
          <w:rFonts w:ascii="Calibri" w:hAnsi="Calibri"/>
          <w:i/>
          <w:color w:val="2E75B6"/>
          <w:sz w:val="28"/>
        </w:rPr>
        <w:t>A Comprehensive Analytical Report &amp; Exam Revision Guide for Environmental Engineering</w:t>
      </w:r>
    </w:p>
    <w:p w14:paraId="51958D0B">
      <w:pPr>
        <w:spacing w:before="0" w:after="480"/>
        <w:jc w:val="center"/>
        <w:rPr>
          <w:rFonts w:hint="default" w:ascii="Calibri" w:hAnsi="Calibri"/>
          <w:i/>
          <w:color w:val="000000" w:themeColor="text1"/>
          <w:sz w:val="28"/>
          <w:lang w:val="en-IN"/>
          <w14:textFill>
            <w14:solidFill>
              <w14:schemeClr w14:val="tx1"/>
            </w14:solidFill>
          </w14:textFill>
        </w:rPr>
      </w:pPr>
      <w:r>
        <w:rPr>
          <w:rFonts w:hint="default" w:ascii="Calibri" w:hAnsi="Calibri"/>
          <w:i/>
          <w:color w:val="000000" w:themeColor="text1"/>
          <w:sz w:val="28"/>
          <w:lang w:val="en-IN"/>
          <w14:textFill>
            <w14:solidFill>
              <w14:schemeClr w14:val="tx1"/>
            </w14:solidFill>
          </w14:textFill>
        </w:rPr>
        <w:t>Tejas Pawar | 24102B0033 | CMPN-B</w:t>
      </w:r>
      <w:bookmarkStart w:id="0" w:name="_GoBack"/>
      <w:bookmarkEnd w:id="0"/>
    </w:p>
    <w:tbl>
      <w:tblPr>
        <w:tblStyle w:val="12"/>
        <w:tblW w:w="0" w:type="auto"/>
        <w:jc w:val="center"/>
        <w:tblLayout w:type="fixed"/>
        <w:tblCellMar>
          <w:top w:w="0" w:type="dxa"/>
          <w:left w:w="108" w:type="dxa"/>
          <w:bottom w:w="0" w:type="dxa"/>
          <w:right w:w="108" w:type="dxa"/>
        </w:tblCellMar>
      </w:tblPr>
      <w:tblGrid>
        <w:gridCol w:w="9360"/>
      </w:tblGrid>
      <w:tr w14:paraId="396DE9CE">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4540066C">
            <w:pPr>
              <w:spacing w:before="40" w:after="40" w:line="276" w:lineRule="auto"/>
            </w:pPr>
            <w:r>
              <w:rPr>
                <w:rFonts w:ascii="Calibri" w:hAnsi="Calibri"/>
                <w:b/>
                <w:color w:val="1B365D"/>
                <w:sz w:val="22"/>
              </w:rPr>
              <w:t>📌 DOCUMENT INFORMATION &amp; CURRICULUM OVERVIEW</w:t>
            </w:r>
            <w:r>
              <w:rPr>
                <w:rFonts w:ascii="Calibri" w:hAnsi="Calibri"/>
                <w:b/>
                <w:color w:val="1B365D"/>
                <w:sz w:val="22"/>
              </w:rPr>
              <w:br w:type="textWrapping"/>
            </w:r>
            <w:r>
              <w:rPr>
                <w:rFonts w:ascii="Calibri" w:hAnsi="Calibri"/>
                <w:i/>
                <w:color w:val="333333"/>
                <w:sz w:val="21"/>
              </w:rPr>
              <w:t>This document provides in-depth technical reports on 10 international and national waste management case studies. Structured specifically for Third Year (TE) Environmental Engineering students, each report covers regulatory frameworks, operational models, quantitative metrics, SWOT analysis, Indian comparisons, policy recommendations, references, and a dedicated One-Page Exam Revision Sheet.</w:t>
            </w:r>
          </w:p>
        </w:tc>
      </w:tr>
    </w:tbl>
    <w:p w14:paraId="41FC260E">
      <w:pPr>
        <w:spacing w:before="0" w:after="120"/>
      </w:pP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4680"/>
        <w:gridCol w:w="4680"/>
      </w:tblGrid>
      <w:tr w14:paraId="07C1095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1B365D"/>
            <w:tcMar>
              <w:top w:w="120" w:type="dxa"/>
              <w:left w:w="150" w:type="dxa"/>
              <w:bottom w:w="120" w:type="dxa"/>
              <w:right w:w="150" w:type="dxa"/>
            </w:tcMar>
          </w:tcPr>
          <w:p w14:paraId="6C3FE59B">
            <w:pPr>
              <w:spacing w:before="0" w:after="0"/>
              <w:jc w:val="left"/>
            </w:pPr>
            <w:r>
              <w:rPr>
                <w:rFonts w:ascii="Calibri" w:hAnsi="Calibri"/>
                <w:b/>
                <w:color w:val="FFFFFF"/>
                <w:sz w:val="21"/>
              </w:rPr>
              <w:t>Metadata Field</w:t>
            </w:r>
          </w:p>
        </w:tc>
        <w:tc>
          <w:tcPr>
            <w:tcW w:w="6192" w:type="dxa"/>
            <w:shd w:val="clear" w:color="auto" w:fill="1B365D"/>
            <w:tcMar>
              <w:top w:w="120" w:type="dxa"/>
              <w:left w:w="150" w:type="dxa"/>
              <w:bottom w:w="120" w:type="dxa"/>
              <w:right w:w="150" w:type="dxa"/>
            </w:tcMar>
          </w:tcPr>
          <w:p w14:paraId="550DCBA0">
            <w:pPr>
              <w:spacing w:before="0" w:after="0"/>
              <w:jc w:val="left"/>
            </w:pPr>
            <w:r>
              <w:rPr>
                <w:rFonts w:ascii="Calibri" w:hAnsi="Calibri"/>
                <w:b/>
                <w:color w:val="FFFFFF"/>
                <w:sz w:val="21"/>
              </w:rPr>
              <w:t>Curriculum Details</w:t>
            </w:r>
          </w:p>
        </w:tc>
      </w:tr>
      <w:tr w14:paraId="51EC62C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FFFFF"/>
            <w:tcMar>
              <w:top w:w="100" w:type="dxa"/>
              <w:left w:w="150" w:type="dxa"/>
              <w:bottom w:w="100" w:type="dxa"/>
              <w:right w:w="150" w:type="dxa"/>
            </w:tcMar>
          </w:tcPr>
          <w:p w14:paraId="0D829C89">
            <w:pPr>
              <w:spacing w:before="0" w:after="0" w:line="276" w:lineRule="auto"/>
              <w:jc w:val="left"/>
            </w:pPr>
            <w:r>
              <w:rPr>
                <w:rFonts w:ascii="Calibri" w:hAnsi="Calibri"/>
                <w:color w:val="222222"/>
                <w:sz w:val="20"/>
              </w:rPr>
              <w:t>Course Title</w:t>
            </w:r>
          </w:p>
        </w:tc>
        <w:tc>
          <w:tcPr>
            <w:tcW w:w="6192" w:type="dxa"/>
            <w:shd w:val="clear" w:color="auto" w:fill="FFFFFF"/>
            <w:tcMar>
              <w:top w:w="100" w:type="dxa"/>
              <w:left w:w="150" w:type="dxa"/>
              <w:bottom w:w="100" w:type="dxa"/>
              <w:right w:w="150" w:type="dxa"/>
            </w:tcMar>
          </w:tcPr>
          <w:p w14:paraId="169079B6">
            <w:pPr>
              <w:spacing w:before="0" w:after="0" w:line="276" w:lineRule="auto"/>
              <w:jc w:val="left"/>
            </w:pPr>
            <w:r>
              <w:rPr>
                <w:rFonts w:ascii="Calibri" w:hAnsi="Calibri"/>
                <w:color w:val="222222"/>
                <w:sz w:val="20"/>
              </w:rPr>
              <w:t>Third Year (TE) Environmental Engineering</w:t>
            </w:r>
          </w:p>
        </w:tc>
      </w:tr>
      <w:tr w14:paraId="1C0C9BC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8F9FA"/>
            <w:tcMar>
              <w:top w:w="100" w:type="dxa"/>
              <w:left w:w="150" w:type="dxa"/>
              <w:bottom w:w="100" w:type="dxa"/>
              <w:right w:w="150" w:type="dxa"/>
            </w:tcMar>
          </w:tcPr>
          <w:p w14:paraId="106A9EEE">
            <w:pPr>
              <w:spacing w:before="0" w:after="0" w:line="276" w:lineRule="auto"/>
              <w:jc w:val="left"/>
            </w:pPr>
            <w:r>
              <w:rPr>
                <w:rFonts w:ascii="Calibri" w:hAnsi="Calibri"/>
                <w:color w:val="222222"/>
                <w:sz w:val="20"/>
              </w:rPr>
              <w:t>Subject Area</w:t>
            </w:r>
          </w:p>
        </w:tc>
        <w:tc>
          <w:tcPr>
            <w:tcW w:w="6192" w:type="dxa"/>
            <w:shd w:val="clear" w:color="auto" w:fill="F8F9FA"/>
            <w:tcMar>
              <w:top w:w="100" w:type="dxa"/>
              <w:left w:w="150" w:type="dxa"/>
              <w:bottom w:w="100" w:type="dxa"/>
              <w:right w:w="150" w:type="dxa"/>
            </w:tcMar>
          </w:tcPr>
          <w:p w14:paraId="6ADD48D1">
            <w:pPr>
              <w:spacing w:before="0" w:after="0" w:line="276" w:lineRule="auto"/>
              <w:jc w:val="left"/>
            </w:pPr>
            <w:r>
              <w:rPr>
                <w:rFonts w:ascii="Calibri" w:hAnsi="Calibri"/>
                <w:color w:val="222222"/>
                <w:sz w:val="20"/>
              </w:rPr>
              <w:t>Solid &amp; Hazardous Waste Management / E-Waste Circularity</w:t>
            </w:r>
          </w:p>
        </w:tc>
      </w:tr>
      <w:tr w14:paraId="0C1D7E8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FFFFF"/>
            <w:tcMar>
              <w:top w:w="100" w:type="dxa"/>
              <w:left w:w="150" w:type="dxa"/>
              <w:bottom w:w="100" w:type="dxa"/>
              <w:right w:w="150" w:type="dxa"/>
            </w:tcMar>
          </w:tcPr>
          <w:p w14:paraId="21EDA972">
            <w:pPr>
              <w:spacing w:before="0" w:after="0" w:line="276" w:lineRule="auto"/>
              <w:jc w:val="left"/>
            </w:pPr>
            <w:r>
              <w:rPr>
                <w:rFonts w:ascii="Calibri" w:hAnsi="Calibri"/>
                <w:color w:val="222222"/>
                <w:sz w:val="20"/>
              </w:rPr>
              <w:t>Document Type</w:t>
            </w:r>
          </w:p>
        </w:tc>
        <w:tc>
          <w:tcPr>
            <w:tcW w:w="6192" w:type="dxa"/>
            <w:shd w:val="clear" w:color="auto" w:fill="FFFFFF"/>
            <w:tcMar>
              <w:top w:w="100" w:type="dxa"/>
              <w:left w:w="150" w:type="dxa"/>
              <w:bottom w:w="100" w:type="dxa"/>
              <w:right w:w="150" w:type="dxa"/>
            </w:tcMar>
          </w:tcPr>
          <w:p w14:paraId="3D5BCFA7">
            <w:pPr>
              <w:spacing w:before="0" w:after="0" w:line="276" w:lineRule="auto"/>
              <w:jc w:val="left"/>
            </w:pPr>
            <w:r>
              <w:rPr>
                <w:rFonts w:ascii="Calibri" w:hAnsi="Calibri"/>
                <w:color w:val="222222"/>
                <w:sz w:val="20"/>
              </w:rPr>
              <w:t>Comprehensive Analytical Case Study Dossier</w:t>
            </w:r>
          </w:p>
        </w:tc>
      </w:tr>
      <w:tr w14:paraId="026C798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8F9FA"/>
            <w:tcMar>
              <w:top w:w="100" w:type="dxa"/>
              <w:left w:w="150" w:type="dxa"/>
              <w:bottom w:w="100" w:type="dxa"/>
              <w:right w:w="150" w:type="dxa"/>
            </w:tcMar>
          </w:tcPr>
          <w:p w14:paraId="550147B1">
            <w:pPr>
              <w:spacing w:before="0" w:after="0" w:line="276" w:lineRule="auto"/>
              <w:jc w:val="left"/>
            </w:pPr>
            <w:r>
              <w:rPr>
                <w:rFonts w:ascii="Calibri" w:hAnsi="Calibri"/>
                <w:color w:val="222222"/>
                <w:sz w:val="20"/>
              </w:rPr>
              <w:t>Case Studies Included</w:t>
            </w:r>
          </w:p>
        </w:tc>
        <w:tc>
          <w:tcPr>
            <w:tcW w:w="6192" w:type="dxa"/>
            <w:shd w:val="clear" w:color="auto" w:fill="F8F9FA"/>
            <w:tcMar>
              <w:top w:w="100" w:type="dxa"/>
              <w:left w:w="150" w:type="dxa"/>
              <w:bottom w:w="100" w:type="dxa"/>
              <w:right w:w="150" w:type="dxa"/>
            </w:tcMar>
          </w:tcPr>
          <w:p w14:paraId="7C0480E8">
            <w:pPr>
              <w:spacing w:before="0" w:after="0" w:line="276" w:lineRule="auto"/>
              <w:jc w:val="left"/>
            </w:pPr>
            <w:r>
              <w:rPr>
                <w:rFonts w:ascii="Calibri" w:hAnsi="Calibri"/>
                <w:color w:val="222222"/>
                <w:sz w:val="20"/>
              </w:rPr>
              <w:t>10 Topics (Japan, Switzerland, India 2022 Rules, EPR, Bengaluru, Mumbai, Kerala, Pune, Dharavi, Dell)</w:t>
            </w:r>
          </w:p>
        </w:tc>
      </w:tr>
      <w:tr w14:paraId="289F288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FFFFF"/>
            <w:tcMar>
              <w:top w:w="100" w:type="dxa"/>
              <w:left w:w="150" w:type="dxa"/>
              <w:bottom w:w="100" w:type="dxa"/>
              <w:right w:w="150" w:type="dxa"/>
            </w:tcMar>
          </w:tcPr>
          <w:p w14:paraId="342ECB94">
            <w:pPr>
              <w:spacing w:before="0" w:after="0" w:line="276" w:lineRule="auto"/>
              <w:jc w:val="left"/>
            </w:pPr>
            <w:r>
              <w:rPr>
                <w:rFonts w:ascii="Calibri" w:hAnsi="Calibri"/>
                <w:color w:val="222222"/>
                <w:sz w:val="20"/>
              </w:rPr>
              <w:t>Required Report Format</w:t>
            </w:r>
          </w:p>
        </w:tc>
        <w:tc>
          <w:tcPr>
            <w:tcW w:w="6192" w:type="dxa"/>
            <w:shd w:val="clear" w:color="auto" w:fill="FFFFFF"/>
            <w:tcMar>
              <w:top w:w="100" w:type="dxa"/>
              <w:left w:w="150" w:type="dxa"/>
              <w:bottom w:w="100" w:type="dxa"/>
              <w:right w:w="150" w:type="dxa"/>
            </w:tcMar>
          </w:tcPr>
          <w:p w14:paraId="082AB4A7">
            <w:pPr>
              <w:spacing w:before="0" w:after="0" w:line="276" w:lineRule="auto"/>
              <w:jc w:val="left"/>
            </w:pPr>
            <w:r>
              <w:rPr>
                <w:rFonts w:ascii="Calibri" w:hAnsi="Calibri"/>
                <w:color w:val="222222"/>
                <w:sz w:val="20"/>
              </w:rPr>
              <w:t>11-Point Structure (Cover, Executive Summary, Background, Strategy, Impact Table, SWOT, India Comparison, Recommendations, Conclusion, References, Revision Sheet)</w:t>
            </w:r>
          </w:p>
        </w:tc>
      </w:tr>
      <w:tr w14:paraId="04BA107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3168" w:type="dxa"/>
            <w:shd w:val="clear" w:color="auto" w:fill="F8F9FA"/>
            <w:tcMar>
              <w:top w:w="100" w:type="dxa"/>
              <w:left w:w="150" w:type="dxa"/>
              <w:bottom w:w="100" w:type="dxa"/>
              <w:right w:w="150" w:type="dxa"/>
            </w:tcMar>
          </w:tcPr>
          <w:p w14:paraId="29F8CDAC">
            <w:pPr>
              <w:spacing w:before="0" w:after="0" w:line="276" w:lineRule="auto"/>
              <w:jc w:val="left"/>
            </w:pPr>
            <w:r>
              <w:rPr>
                <w:rFonts w:ascii="Calibri" w:hAnsi="Calibri"/>
                <w:color w:val="222222"/>
                <w:sz w:val="20"/>
              </w:rPr>
              <w:t>Publication Date</w:t>
            </w:r>
          </w:p>
        </w:tc>
        <w:tc>
          <w:tcPr>
            <w:tcW w:w="6192" w:type="dxa"/>
            <w:shd w:val="clear" w:color="auto" w:fill="F8F9FA"/>
            <w:tcMar>
              <w:top w:w="100" w:type="dxa"/>
              <w:left w:w="150" w:type="dxa"/>
              <w:bottom w:w="100" w:type="dxa"/>
              <w:right w:w="150" w:type="dxa"/>
            </w:tcMar>
          </w:tcPr>
          <w:p w14:paraId="1FF14667">
            <w:pPr>
              <w:spacing w:before="0" w:after="0" w:line="276" w:lineRule="auto"/>
              <w:jc w:val="left"/>
            </w:pPr>
            <w:r>
              <w:rPr>
                <w:rFonts w:ascii="Calibri" w:hAnsi="Calibri"/>
                <w:color w:val="222222"/>
                <w:sz w:val="20"/>
              </w:rPr>
              <w:t>Academic Year 2025-2026</w:t>
            </w:r>
          </w:p>
        </w:tc>
      </w:tr>
    </w:tbl>
    <w:p w14:paraId="1FCFA867">
      <w:pPr>
        <w:spacing w:before="0" w:after="160"/>
      </w:pPr>
    </w:p>
    <w:p w14:paraId="6209F602">
      <w:pPr>
        <w:pStyle w:val="3"/>
        <w:keepNext/>
        <w:spacing w:before="280" w:after="120"/>
      </w:pPr>
      <w:r>
        <w:rPr>
          <w:rFonts w:ascii="Calibri" w:hAnsi="Calibri"/>
          <w:b/>
          <w:color w:val="2E75B6"/>
          <w:sz w:val="28"/>
        </w:rPr>
        <w:t>Table of Contents</w:t>
      </w:r>
    </w:p>
    <w:p w14:paraId="028F5627">
      <w:pPr>
        <w:spacing w:after="240"/>
      </w:pPr>
      <w:r>
        <w:fldChar w:fldCharType="begin"/>
      </w:r>
      <w:r>
        <w:instrText xml:space="preserve">TOC \o "1-3" \h \z \u</w:instrText>
      </w:r>
      <w:r>
        <w:fldChar w:fldCharType="separate"/>
      </w:r>
      <w:r>
        <w:fldChar w:fldCharType="end"/>
      </w:r>
    </w:p>
    <w:p w14:paraId="58DD3FFA">
      <w:pPr>
        <w:spacing w:before="0" w:after="120" w:line="276" w:lineRule="auto"/>
        <w:jc w:val="left"/>
      </w:pPr>
      <w:r>
        <w:rPr>
          <w:rFonts w:ascii="Calibri" w:hAnsi="Calibri"/>
          <w:i/>
          <w:color w:val="222222"/>
          <w:sz w:val="22"/>
        </w:rPr>
        <w:t>(Note: Right-click the field above and select 'Update Field' when opened in Microsoft Word or Google Docs to refresh page numbers.)</w:t>
      </w:r>
    </w:p>
    <w:p w14:paraId="2A8F7B06">
      <w:r>
        <w:br w:type="page"/>
      </w:r>
    </w:p>
    <w:p w14:paraId="5BD2598F">
      <w:pPr>
        <w:pStyle w:val="2"/>
        <w:keepNext/>
        <w:spacing w:before="360" w:after="160"/>
      </w:pPr>
      <w:r>
        <w:rPr>
          <w:rFonts w:ascii="Calibri" w:hAnsi="Calibri"/>
          <w:b/>
          <w:color w:val="1B365D"/>
          <w:sz w:val="36"/>
        </w:rPr>
        <w:t>Topic 1: Why Japan Recycles More Than Most Countries: Lessons for India</w:t>
      </w:r>
    </w:p>
    <w:p w14:paraId="0EEF55DD">
      <w:pPr>
        <w:pStyle w:val="3"/>
        <w:keepNext/>
        <w:spacing w:before="280" w:after="120"/>
      </w:pPr>
      <w:r>
        <w:rPr>
          <w:rFonts w:ascii="Calibri" w:hAnsi="Calibri"/>
          <w:b/>
          <w:color w:val="2E75B6"/>
          <w:sz w:val="28"/>
        </w:rPr>
        <w:t>1. Executive Summary</w:t>
      </w:r>
    </w:p>
    <w:p w14:paraId="0594999B">
      <w:pPr>
        <w:spacing w:before="0" w:after="120" w:line="276" w:lineRule="auto"/>
        <w:jc w:val="left"/>
      </w:pPr>
      <w:r>
        <w:rPr>
          <w:rFonts w:ascii="Calibri" w:hAnsi="Calibri"/>
          <w:i w:val="0"/>
          <w:color w:val="222222"/>
          <w:sz w:val="22"/>
        </w:rPr>
        <w:t>Japan stands as a global leader in resource circulation, achieving recycling rates exceeding 80% to 92% across major home appliances. Facing severe geographical land constraints and a historical cultural ethos of 'Mottainai' (rejecting wastefulness), Japan established a stringent legal and technological framework governed primarily by the Home Appliance Recycling Law (1998/2001) and the Small Home Appliance Recycling Law (2013). This report analyzes Japan's Producer Responsibility Organization (PRO) dual-consortium model (Group A and Group B), consumer-funded Advance Recycling Fee (ARF) collection mechanism, and designated collection point network. Key lessons for India include replacing post-consumer informal scrap valuation with consumer-financed recycling fees, enforcing strict Design for Environment (DfE) standards, and establishing automated mechanical dismantling facilities.</w:t>
      </w:r>
    </w:p>
    <w:p w14:paraId="012CE9D5">
      <w:pPr>
        <w:pStyle w:val="3"/>
        <w:keepNext/>
        <w:spacing w:before="280" w:after="120"/>
      </w:pPr>
      <w:r>
        <w:rPr>
          <w:rFonts w:ascii="Calibri" w:hAnsi="Calibri"/>
          <w:b/>
          <w:color w:val="2E75B6"/>
          <w:sz w:val="28"/>
        </w:rPr>
        <w:t>2. Background</w:t>
      </w:r>
    </w:p>
    <w:p w14:paraId="6594C5E9">
      <w:pPr>
        <w:spacing w:before="0" w:after="120" w:line="276" w:lineRule="auto"/>
        <w:jc w:val="left"/>
      </w:pPr>
      <w:r>
        <w:rPr>
          <w:rFonts w:ascii="Calibri" w:hAnsi="Calibri"/>
          <w:i w:val="0"/>
          <w:color w:val="222222"/>
          <w:sz w:val="22"/>
        </w:rPr>
        <w:t>Japan's waste management evolution is deeply rooted in its geography and socio-economic history. As a mountainous island nation with high population density, Japan exhausted its municipal landfill capacity in the late 20th century. Furthermore, the cultural concept of 'Mottainai'—a deeply held belief that wasting resources is morally objectionable—provided societal support for zero-waste initiatives. In response to skyrocketing electronic waste and industrial waste volumes during the post-WWII economic boom, the Japanese National Diet enacted the Act on Promotion of Sorted Collection and Recycling of Containers and Packaging (1995), followed by the landmark Act on Recycling of Specified Kinds of Home Appliances (Home Appliance Recycling Law) in 1998, which came into full enforcement in April 2001. This statutory framework was expanded in 2013 with the Small Home Appliance Recycling Law covering 28 additional consumer electronic categories.</w:t>
      </w:r>
    </w:p>
    <w:p w14:paraId="4CE55928">
      <w:pPr>
        <w:pStyle w:val="3"/>
        <w:keepNext/>
        <w:spacing w:before="280" w:after="120"/>
      </w:pPr>
      <w:r>
        <w:rPr>
          <w:rFonts w:ascii="Calibri" w:hAnsi="Calibri"/>
          <w:b/>
          <w:color w:val="2E75B6"/>
          <w:sz w:val="28"/>
        </w:rPr>
        <w:t>3. Strategy / Initiative</w:t>
      </w:r>
    </w:p>
    <w:p w14:paraId="0FD4D2BA">
      <w:pPr>
        <w:spacing w:before="0" w:after="120" w:line="276" w:lineRule="auto"/>
        <w:jc w:val="left"/>
      </w:pPr>
      <w:r>
        <w:rPr>
          <w:rFonts w:ascii="Calibri" w:hAnsi="Calibri"/>
          <w:i w:val="0"/>
          <w:color w:val="222222"/>
          <w:sz w:val="22"/>
        </w:rPr>
        <w:t>Japan's strategy rests on a clearly defined 'Tripartite Responsibility Model' enforced through statutory legislation:</w:t>
      </w:r>
    </w:p>
    <w:p w14:paraId="454D8C33">
      <w:pPr>
        <w:pStyle w:val="23"/>
        <w:spacing w:before="40" w:after="80" w:line="276" w:lineRule="auto"/>
      </w:pPr>
      <w:r>
        <w:rPr>
          <w:rFonts w:ascii="Calibri" w:hAnsi="Calibri"/>
          <w:b/>
          <w:color w:val="1B365D"/>
          <w:sz w:val="22"/>
        </w:rPr>
        <w:t xml:space="preserve">Consumer Responsibility: </w:t>
      </w:r>
      <w:r>
        <w:rPr>
          <w:rFonts w:ascii="Calibri" w:hAnsi="Calibri"/>
          <w:color w:val="222222"/>
          <w:sz w:val="22"/>
        </w:rPr>
        <w:t>Consumers are legally obligated to pay a designated recycling fee and transportation fee when disposing of end-of-life appliances. Disposal via standard municipal garbage bins is strictly prohibited.</w:t>
      </w:r>
    </w:p>
    <w:p w14:paraId="2A280CF6">
      <w:pPr>
        <w:pStyle w:val="23"/>
        <w:spacing w:before="40" w:after="80" w:line="276" w:lineRule="auto"/>
      </w:pPr>
      <w:r>
        <w:rPr>
          <w:rFonts w:ascii="Calibri" w:hAnsi="Calibri"/>
          <w:b/>
          <w:color w:val="1B365D"/>
          <w:sz w:val="22"/>
        </w:rPr>
        <w:t xml:space="preserve">Retailer Take-Back Duty: </w:t>
      </w:r>
      <w:r>
        <w:rPr>
          <w:rFonts w:ascii="Calibri" w:hAnsi="Calibri"/>
          <w:color w:val="222222"/>
          <w:sz w:val="22"/>
        </w:rPr>
        <w:t>Retailers must take back old appliances when selling new ones or upon customer request, transporting them to one of 335 Designated Collection Points (stockyards) nationwide.</w:t>
      </w:r>
    </w:p>
    <w:p w14:paraId="04707528">
      <w:pPr>
        <w:pStyle w:val="23"/>
        <w:spacing w:before="40" w:after="80" w:line="276" w:lineRule="auto"/>
      </w:pPr>
      <w:r>
        <w:rPr>
          <w:rFonts w:ascii="Calibri" w:hAnsi="Calibri"/>
          <w:b/>
          <w:color w:val="1B365D"/>
          <w:sz w:val="22"/>
        </w:rPr>
        <w:t xml:space="preserve">Producer Recycling Mandate (Group A &amp; Group B Split): </w:t>
      </w:r>
      <w:r>
        <w:rPr>
          <w:rFonts w:ascii="Calibri" w:hAnsi="Calibri"/>
          <w:color w:val="222222"/>
          <w:sz w:val="22"/>
        </w:rPr>
        <w:t>Electronics manufacturers are split into two operational groups to ensure competitive efficiency: Group A (led by Panasonic, Toshiba, LG) and Group B (led by Hitachi, Sony, Sharp, Mitsubishi). Together, they operate 46 automated recycling plants across Japan.</w:t>
      </w:r>
    </w:p>
    <w:p w14:paraId="4A5AFE60">
      <w:pPr>
        <w:pStyle w:val="23"/>
        <w:spacing w:before="40" w:after="80" w:line="276" w:lineRule="auto"/>
      </w:pPr>
      <w:r>
        <w:rPr>
          <w:rFonts w:ascii="Calibri" w:hAnsi="Calibri"/>
          <w:b/>
          <w:color w:val="1B365D"/>
          <w:sz w:val="22"/>
        </w:rPr>
        <w:t xml:space="preserve">Manifest System: </w:t>
      </w:r>
      <w:r>
        <w:rPr>
          <w:rFonts w:ascii="Calibri" w:hAnsi="Calibri"/>
          <w:color w:val="222222"/>
          <w:sz w:val="22"/>
        </w:rPr>
        <w:t>A physical and electronic manifest system tracks every appliance from consumer surrender to final material extraction, ensuring zero illegal dumping.</w:t>
      </w:r>
    </w:p>
    <w:p w14:paraId="249B8D83">
      <w:pPr>
        <w:pStyle w:val="3"/>
        <w:keepNext/>
        <w:spacing w:before="280" w:after="120"/>
      </w:pPr>
      <w:r>
        <w:rPr>
          <w:rFonts w:ascii="Calibri" w:hAnsi="Calibri"/>
          <w:b/>
          <w:color w:val="2E75B6"/>
          <w:sz w:val="28"/>
        </w:rPr>
        <w:t>4. Impact &amp; Results with Data Table</w:t>
      </w:r>
    </w:p>
    <w:p w14:paraId="7CF30AD4">
      <w:pPr>
        <w:spacing w:before="0" w:after="120" w:line="276" w:lineRule="auto"/>
        <w:jc w:val="left"/>
      </w:pPr>
      <w:r>
        <w:rPr>
          <w:rFonts w:ascii="Calibri" w:hAnsi="Calibri"/>
          <w:i w:val="0"/>
          <w:color w:val="222222"/>
          <w:sz w:val="22"/>
        </w:rPr>
        <w:t>Japan consistently exceeds its statutory recycling targets across all four major specified appliance categories under the Home Appliance Recycling Law. In Fiscal Year 2021/2022, approximately 15.26 million units were processed nationwide, achieving recovery rates far surpassing global averages.</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2"/>
        <w:gridCol w:w="1872"/>
        <w:gridCol w:w="1872"/>
        <w:gridCol w:w="1872"/>
        <w:gridCol w:w="1872"/>
      </w:tblGrid>
      <w:tr w14:paraId="21699D1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1B365D"/>
            <w:tcMar>
              <w:top w:w="120" w:type="dxa"/>
              <w:left w:w="150" w:type="dxa"/>
              <w:bottom w:w="120" w:type="dxa"/>
              <w:right w:w="150" w:type="dxa"/>
            </w:tcMar>
          </w:tcPr>
          <w:p w14:paraId="1E07A666">
            <w:pPr>
              <w:spacing w:before="0" w:after="0"/>
              <w:jc w:val="left"/>
            </w:pPr>
            <w:r>
              <w:rPr>
                <w:rFonts w:ascii="Calibri" w:hAnsi="Calibri"/>
                <w:b/>
                <w:color w:val="FFFFFF"/>
                <w:sz w:val="21"/>
              </w:rPr>
              <w:t>Appliance Category</w:t>
            </w:r>
          </w:p>
        </w:tc>
        <w:tc>
          <w:tcPr>
            <w:tcW w:w="1440" w:type="dxa"/>
            <w:shd w:val="clear" w:color="auto" w:fill="1B365D"/>
            <w:tcMar>
              <w:top w:w="120" w:type="dxa"/>
              <w:left w:w="150" w:type="dxa"/>
              <w:bottom w:w="120" w:type="dxa"/>
              <w:right w:w="150" w:type="dxa"/>
            </w:tcMar>
          </w:tcPr>
          <w:p w14:paraId="47B048E8">
            <w:pPr>
              <w:spacing w:before="0" w:after="0"/>
              <w:jc w:val="left"/>
            </w:pPr>
            <w:r>
              <w:rPr>
                <w:rFonts w:ascii="Calibri" w:hAnsi="Calibri"/>
                <w:b/>
                <w:color w:val="FFFFFF"/>
                <w:sz w:val="21"/>
              </w:rPr>
              <w:t>Statutory Target Rate (%)</w:t>
            </w:r>
          </w:p>
        </w:tc>
        <w:tc>
          <w:tcPr>
            <w:tcW w:w="1584" w:type="dxa"/>
            <w:shd w:val="clear" w:color="auto" w:fill="1B365D"/>
            <w:tcMar>
              <w:top w:w="120" w:type="dxa"/>
              <w:left w:w="150" w:type="dxa"/>
              <w:bottom w:w="120" w:type="dxa"/>
              <w:right w:w="150" w:type="dxa"/>
            </w:tcMar>
          </w:tcPr>
          <w:p w14:paraId="33284D23">
            <w:pPr>
              <w:spacing w:before="0" w:after="0"/>
              <w:jc w:val="left"/>
            </w:pPr>
            <w:r>
              <w:rPr>
                <w:rFonts w:ascii="Calibri" w:hAnsi="Calibri"/>
                <w:b/>
                <w:color w:val="FFFFFF"/>
                <w:sz w:val="21"/>
              </w:rPr>
              <w:t>Actual Recycling Rate Achieved (%)</w:t>
            </w:r>
          </w:p>
        </w:tc>
        <w:tc>
          <w:tcPr>
            <w:tcW w:w="1728" w:type="dxa"/>
            <w:shd w:val="clear" w:color="auto" w:fill="1B365D"/>
            <w:tcMar>
              <w:top w:w="120" w:type="dxa"/>
              <w:left w:w="150" w:type="dxa"/>
              <w:bottom w:w="120" w:type="dxa"/>
              <w:right w:w="150" w:type="dxa"/>
            </w:tcMar>
          </w:tcPr>
          <w:p w14:paraId="3A9830B9">
            <w:pPr>
              <w:spacing w:before="0" w:after="0"/>
              <w:jc w:val="left"/>
            </w:pPr>
            <w:r>
              <w:rPr>
                <w:rFonts w:ascii="Calibri" w:hAnsi="Calibri"/>
                <w:b/>
                <w:color w:val="FFFFFF"/>
                <w:sz w:val="21"/>
              </w:rPr>
              <w:t>Units Collected (FY2021, Millions)</w:t>
            </w:r>
          </w:p>
        </w:tc>
        <w:tc>
          <w:tcPr>
            <w:tcW w:w="2448" w:type="dxa"/>
            <w:shd w:val="clear" w:color="auto" w:fill="1B365D"/>
            <w:tcMar>
              <w:top w:w="120" w:type="dxa"/>
              <w:left w:w="150" w:type="dxa"/>
              <w:bottom w:w="120" w:type="dxa"/>
              <w:right w:w="150" w:type="dxa"/>
            </w:tcMar>
          </w:tcPr>
          <w:p w14:paraId="641193EB">
            <w:pPr>
              <w:spacing w:before="0" w:after="0"/>
              <w:jc w:val="left"/>
            </w:pPr>
            <w:r>
              <w:rPr>
                <w:rFonts w:ascii="Calibri" w:hAnsi="Calibri"/>
                <w:b/>
                <w:color w:val="FFFFFF"/>
                <w:sz w:val="21"/>
              </w:rPr>
              <w:t>Primary Recycled Materials Extracted</w:t>
            </w:r>
          </w:p>
        </w:tc>
      </w:tr>
      <w:tr w14:paraId="29658F1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4D1DEFCD">
            <w:pPr>
              <w:spacing w:before="0" w:after="0" w:line="276" w:lineRule="auto"/>
              <w:jc w:val="left"/>
            </w:pPr>
            <w:r>
              <w:rPr>
                <w:rFonts w:ascii="Calibri" w:hAnsi="Calibri"/>
                <w:color w:val="222222"/>
                <w:sz w:val="20"/>
              </w:rPr>
              <w:t>Air Conditioners</w:t>
            </w:r>
          </w:p>
        </w:tc>
        <w:tc>
          <w:tcPr>
            <w:tcW w:w="1440" w:type="dxa"/>
            <w:shd w:val="clear" w:color="auto" w:fill="FFFFFF"/>
            <w:tcMar>
              <w:top w:w="100" w:type="dxa"/>
              <w:left w:w="150" w:type="dxa"/>
              <w:bottom w:w="100" w:type="dxa"/>
              <w:right w:w="150" w:type="dxa"/>
            </w:tcMar>
          </w:tcPr>
          <w:p w14:paraId="7C7C1A97">
            <w:pPr>
              <w:spacing w:before="0" w:after="0" w:line="276" w:lineRule="auto"/>
              <w:jc w:val="left"/>
            </w:pPr>
            <w:r>
              <w:rPr>
                <w:rFonts w:ascii="Calibri" w:hAnsi="Calibri"/>
                <w:color w:val="222222"/>
                <w:sz w:val="20"/>
              </w:rPr>
              <w:t>80%</w:t>
            </w:r>
          </w:p>
        </w:tc>
        <w:tc>
          <w:tcPr>
            <w:tcW w:w="1584" w:type="dxa"/>
            <w:shd w:val="clear" w:color="auto" w:fill="FFFFFF"/>
            <w:tcMar>
              <w:top w:w="100" w:type="dxa"/>
              <w:left w:w="150" w:type="dxa"/>
              <w:bottom w:w="100" w:type="dxa"/>
              <w:right w:w="150" w:type="dxa"/>
            </w:tcMar>
          </w:tcPr>
          <w:p w14:paraId="6DCB0E0D">
            <w:pPr>
              <w:spacing w:before="0" w:after="0" w:line="276" w:lineRule="auto"/>
              <w:jc w:val="left"/>
            </w:pPr>
            <w:r>
              <w:rPr>
                <w:rFonts w:ascii="Calibri" w:hAnsi="Calibri"/>
                <w:color w:val="222222"/>
                <w:sz w:val="20"/>
              </w:rPr>
              <w:t>92%</w:t>
            </w:r>
          </w:p>
        </w:tc>
        <w:tc>
          <w:tcPr>
            <w:tcW w:w="1728" w:type="dxa"/>
            <w:shd w:val="clear" w:color="auto" w:fill="FFFFFF"/>
            <w:tcMar>
              <w:top w:w="100" w:type="dxa"/>
              <w:left w:w="150" w:type="dxa"/>
              <w:bottom w:w="100" w:type="dxa"/>
              <w:right w:w="150" w:type="dxa"/>
            </w:tcMar>
          </w:tcPr>
          <w:p w14:paraId="3D9D2CB2">
            <w:pPr>
              <w:spacing w:before="0" w:after="0" w:line="276" w:lineRule="auto"/>
              <w:jc w:val="left"/>
            </w:pPr>
            <w:r>
              <w:rPr>
                <w:rFonts w:ascii="Calibri" w:hAnsi="Calibri"/>
                <w:color w:val="222222"/>
                <w:sz w:val="20"/>
              </w:rPr>
              <w:t>3.54</w:t>
            </w:r>
          </w:p>
        </w:tc>
        <w:tc>
          <w:tcPr>
            <w:tcW w:w="2448" w:type="dxa"/>
            <w:shd w:val="clear" w:color="auto" w:fill="FFFFFF"/>
            <w:tcMar>
              <w:top w:w="100" w:type="dxa"/>
              <w:left w:w="150" w:type="dxa"/>
              <w:bottom w:w="100" w:type="dxa"/>
              <w:right w:w="150" w:type="dxa"/>
            </w:tcMar>
          </w:tcPr>
          <w:p w14:paraId="5BB88BB8">
            <w:pPr>
              <w:spacing w:before="0" w:after="0" w:line="276" w:lineRule="auto"/>
              <w:jc w:val="left"/>
            </w:pPr>
            <w:r>
              <w:rPr>
                <w:rFonts w:ascii="Calibri" w:hAnsi="Calibri"/>
                <w:color w:val="222222"/>
                <w:sz w:val="20"/>
              </w:rPr>
              <w:t>Copper coils, Aluminum fins, Steel casings</w:t>
            </w:r>
          </w:p>
        </w:tc>
      </w:tr>
      <w:tr w14:paraId="2BFA059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6D1603AD">
            <w:pPr>
              <w:spacing w:before="0" w:after="0" w:line="276" w:lineRule="auto"/>
              <w:jc w:val="left"/>
            </w:pPr>
            <w:r>
              <w:rPr>
                <w:rFonts w:ascii="Calibri" w:hAnsi="Calibri"/>
                <w:color w:val="222222"/>
                <w:sz w:val="20"/>
              </w:rPr>
              <w:t>CRT Televisions</w:t>
            </w:r>
          </w:p>
        </w:tc>
        <w:tc>
          <w:tcPr>
            <w:tcW w:w="1440" w:type="dxa"/>
            <w:shd w:val="clear" w:color="auto" w:fill="F8F9FA"/>
            <w:tcMar>
              <w:top w:w="100" w:type="dxa"/>
              <w:left w:w="150" w:type="dxa"/>
              <w:bottom w:w="100" w:type="dxa"/>
              <w:right w:w="150" w:type="dxa"/>
            </w:tcMar>
          </w:tcPr>
          <w:p w14:paraId="22FCB77A">
            <w:pPr>
              <w:spacing w:before="0" w:after="0" w:line="276" w:lineRule="auto"/>
              <w:jc w:val="left"/>
            </w:pPr>
            <w:r>
              <w:rPr>
                <w:rFonts w:ascii="Calibri" w:hAnsi="Calibri"/>
                <w:color w:val="222222"/>
                <w:sz w:val="20"/>
              </w:rPr>
              <w:t>55%</w:t>
            </w:r>
          </w:p>
        </w:tc>
        <w:tc>
          <w:tcPr>
            <w:tcW w:w="1584" w:type="dxa"/>
            <w:shd w:val="clear" w:color="auto" w:fill="F8F9FA"/>
            <w:tcMar>
              <w:top w:w="100" w:type="dxa"/>
              <w:left w:w="150" w:type="dxa"/>
              <w:bottom w:w="100" w:type="dxa"/>
              <w:right w:w="150" w:type="dxa"/>
            </w:tcMar>
          </w:tcPr>
          <w:p w14:paraId="28590F0D">
            <w:pPr>
              <w:spacing w:before="0" w:after="0" w:line="276" w:lineRule="auto"/>
              <w:jc w:val="left"/>
            </w:pPr>
            <w:r>
              <w:rPr>
                <w:rFonts w:ascii="Calibri" w:hAnsi="Calibri"/>
                <w:color w:val="222222"/>
                <w:sz w:val="20"/>
              </w:rPr>
              <w:t>71%</w:t>
            </w:r>
          </w:p>
        </w:tc>
        <w:tc>
          <w:tcPr>
            <w:tcW w:w="1728" w:type="dxa"/>
            <w:shd w:val="clear" w:color="auto" w:fill="F8F9FA"/>
            <w:tcMar>
              <w:top w:w="100" w:type="dxa"/>
              <w:left w:w="150" w:type="dxa"/>
              <w:bottom w:w="100" w:type="dxa"/>
              <w:right w:w="150" w:type="dxa"/>
            </w:tcMar>
          </w:tcPr>
          <w:p w14:paraId="14C82CE1">
            <w:pPr>
              <w:spacing w:before="0" w:after="0" w:line="276" w:lineRule="auto"/>
              <w:jc w:val="left"/>
            </w:pPr>
            <w:r>
              <w:rPr>
                <w:rFonts w:ascii="Calibri" w:hAnsi="Calibri"/>
                <w:color w:val="222222"/>
                <w:sz w:val="20"/>
              </w:rPr>
              <w:t>0.11</w:t>
            </w:r>
          </w:p>
        </w:tc>
        <w:tc>
          <w:tcPr>
            <w:tcW w:w="2448" w:type="dxa"/>
            <w:shd w:val="clear" w:color="auto" w:fill="F8F9FA"/>
            <w:tcMar>
              <w:top w:w="100" w:type="dxa"/>
              <w:left w:w="150" w:type="dxa"/>
              <w:bottom w:w="100" w:type="dxa"/>
              <w:right w:w="150" w:type="dxa"/>
            </w:tcMar>
          </w:tcPr>
          <w:p w14:paraId="0C060AB1">
            <w:pPr>
              <w:spacing w:before="0" w:after="0" w:line="276" w:lineRule="auto"/>
              <w:jc w:val="left"/>
            </w:pPr>
            <w:r>
              <w:rPr>
                <w:rFonts w:ascii="Calibri" w:hAnsi="Calibri"/>
                <w:color w:val="222222"/>
                <w:sz w:val="20"/>
              </w:rPr>
              <w:t>Lead-bearing glass, Copper yokes, Plastics</w:t>
            </w:r>
          </w:p>
        </w:tc>
      </w:tr>
      <w:tr w14:paraId="2D9B100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29C5A194">
            <w:pPr>
              <w:spacing w:before="0" w:after="0" w:line="276" w:lineRule="auto"/>
              <w:jc w:val="left"/>
            </w:pPr>
            <w:r>
              <w:rPr>
                <w:rFonts w:ascii="Calibri" w:hAnsi="Calibri"/>
                <w:color w:val="222222"/>
                <w:sz w:val="20"/>
              </w:rPr>
              <w:t>LCD / Plasma / OLED TVs</w:t>
            </w:r>
          </w:p>
        </w:tc>
        <w:tc>
          <w:tcPr>
            <w:tcW w:w="1440" w:type="dxa"/>
            <w:shd w:val="clear" w:color="auto" w:fill="FFFFFF"/>
            <w:tcMar>
              <w:top w:w="100" w:type="dxa"/>
              <w:left w:w="150" w:type="dxa"/>
              <w:bottom w:w="100" w:type="dxa"/>
              <w:right w:w="150" w:type="dxa"/>
            </w:tcMar>
          </w:tcPr>
          <w:p w14:paraId="2F3223C3">
            <w:pPr>
              <w:spacing w:before="0" w:after="0" w:line="276" w:lineRule="auto"/>
              <w:jc w:val="left"/>
            </w:pPr>
            <w:r>
              <w:rPr>
                <w:rFonts w:ascii="Calibri" w:hAnsi="Calibri"/>
                <w:color w:val="222222"/>
                <w:sz w:val="20"/>
              </w:rPr>
              <w:t>74%</w:t>
            </w:r>
          </w:p>
        </w:tc>
        <w:tc>
          <w:tcPr>
            <w:tcW w:w="1584" w:type="dxa"/>
            <w:shd w:val="clear" w:color="auto" w:fill="FFFFFF"/>
            <w:tcMar>
              <w:top w:w="100" w:type="dxa"/>
              <w:left w:w="150" w:type="dxa"/>
              <w:bottom w:w="100" w:type="dxa"/>
              <w:right w:w="150" w:type="dxa"/>
            </w:tcMar>
          </w:tcPr>
          <w:p w14:paraId="3EBB2CB9">
            <w:pPr>
              <w:spacing w:before="0" w:after="0" w:line="276" w:lineRule="auto"/>
              <w:jc w:val="left"/>
            </w:pPr>
            <w:r>
              <w:rPr>
                <w:rFonts w:ascii="Calibri" w:hAnsi="Calibri"/>
                <w:color w:val="222222"/>
                <w:sz w:val="20"/>
              </w:rPr>
              <w:t>85%</w:t>
            </w:r>
          </w:p>
        </w:tc>
        <w:tc>
          <w:tcPr>
            <w:tcW w:w="1728" w:type="dxa"/>
            <w:shd w:val="clear" w:color="auto" w:fill="FFFFFF"/>
            <w:tcMar>
              <w:top w:w="100" w:type="dxa"/>
              <w:left w:w="150" w:type="dxa"/>
              <w:bottom w:w="100" w:type="dxa"/>
              <w:right w:w="150" w:type="dxa"/>
            </w:tcMar>
          </w:tcPr>
          <w:p w14:paraId="06D7EB11">
            <w:pPr>
              <w:spacing w:before="0" w:after="0" w:line="276" w:lineRule="auto"/>
              <w:jc w:val="left"/>
            </w:pPr>
            <w:r>
              <w:rPr>
                <w:rFonts w:ascii="Calibri" w:hAnsi="Calibri"/>
                <w:color w:val="222222"/>
                <w:sz w:val="20"/>
              </w:rPr>
              <w:t>0.60</w:t>
            </w:r>
          </w:p>
        </w:tc>
        <w:tc>
          <w:tcPr>
            <w:tcW w:w="2448" w:type="dxa"/>
            <w:shd w:val="clear" w:color="auto" w:fill="FFFFFF"/>
            <w:tcMar>
              <w:top w:w="100" w:type="dxa"/>
              <w:left w:w="150" w:type="dxa"/>
              <w:bottom w:w="100" w:type="dxa"/>
              <w:right w:w="150" w:type="dxa"/>
            </w:tcMar>
          </w:tcPr>
          <w:p w14:paraId="3A38FFC5">
            <w:pPr>
              <w:spacing w:before="0" w:after="0" w:line="276" w:lineRule="auto"/>
              <w:jc w:val="left"/>
            </w:pPr>
            <w:r>
              <w:rPr>
                <w:rFonts w:ascii="Calibri" w:hAnsi="Calibri"/>
                <w:color w:val="222222"/>
                <w:sz w:val="20"/>
              </w:rPr>
              <w:t>Optical films, Printed Circuit Boards, Plastics</w:t>
            </w:r>
          </w:p>
        </w:tc>
      </w:tr>
      <w:tr w14:paraId="1738F84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1FD0D1E7">
            <w:pPr>
              <w:spacing w:before="0" w:after="0" w:line="276" w:lineRule="auto"/>
              <w:jc w:val="left"/>
            </w:pPr>
            <w:r>
              <w:rPr>
                <w:rFonts w:ascii="Calibri" w:hAnsi="Calibri"/>
                <w:color w:val="222222"/>
                <w:sz w:val="20"/>
              </w:rPr>
              <w:t>Refrigerators &amp; Freezers</w:t>
            </w:r>
          </w:p>
        </w:tc>
        <w:tc>
          <w:tcPr>
            <w:tcW w:w="1440" w:type="dxa"/>
            <w:shd w:val="clear" w:color="auto" w:fill="F8F9FA"/>
            <w:tcMar>
              <w:top w:w="100" w:type="dxa"/>
              <w:left w:w="150" w:type="dxa"/>
              <w:bottom w:w="100" w:type="dxa"/>
              <w:right w:w="150" w:type="dxa"/>
            </w:tcMar>
          </w:tcPr>
          <w:p w14:paraId="59823E36">
            <w:pPr>
              <w:spacing w:before="0" w:after="0" w:line="276" w:lineRule="auto"/>
              <w:jc w:val="left"/>
            </w:pPr>
            <w:r>
              <w:rPr>
                <w:rFonts w:ascii="Calibri" w:hAnsi="Calibri"/>
                <w:color w:val="222222"/>
                <w:sz w:val="20"/>
              </w:rPr>
              <w:t>70%</w:t>
            </w:r>
          </w:p>
        </w:tc>
        <w:tc>
          <w:tcPr>
            <w:tcW w:w="1584" w:type="dxa"/>
            <w:shd w:val="clear" w:color="auto" w:fill="F8F9FA"/>
            <w:tcMar>
              <w:top w:w="100" w:type="dxa"/>
              <w:left w:w="150" w:type="dxa"/>
              <w:bottom w:w="100" w:type="dxa"/>
              <w:right w:w="150" w:type="dxa"/>
            </w:tcMar>
          </w:tcPr>
          <w:p w14:paraId="656889F0">
            <w:pPr>
              <w:spacing w:before="0" w:after="0" w:line="276" w:lineRule="auto"/>
              <w:jc w:val="left"/>
            </w:pPr>
            <w:r>
              <w:rPr>
                <w:rFonts w:ascii="Calibri" w:hAnsi="Calibri"/>
                <w:color w:val="222222"/>
                <w:sz w:val="20"/>
              </w:rPr>
              <w:t>79%</w:t>
            </w:r>
          </w:p>
        </w:tc>
        <w:tc>
          <w:tcPr>
            <w:tcW w:w="1728" w:type="dxa"/>
            <w:shd w:val="clear" w:color="auto" w:fill="F8F9FA"/>
            <w:tcMar>
              <w:top w:w="100" w:type="dxa"/>
              <w:left w:w="150" w:type="dxa"/>
              <w:bottom w:w="100" w:type="dxa"/>
              <w:right w:w="150" w:type="dxa"/>
            </w:tcMar>
          </w:tcPr>
          <w:p w14:paraId="35F15E1B">
            <w:pPr>
              <w:spacing w:before="0" w:after="0" w:line="276" w:lineRule="auto"/>
              <w:jc w:val="left"/>
            </w:pPr>
            <w:r>
              <w:rPr>
                <w:rFonts w:ascii="Calibri" w:hAnsi="Calibri"/>
                <w:color w:val="222222"/>
                <w:sz w:val="20"/>
              </w:rPr>
              <w:t>3.54</w:t>
            </w:r>
          </w:p>
        </w:tc>
        <w:tc>
          <w:tcPr>
            <w:tcW w:w="2448" w:type="dxa"/>
            <w:shd w:val="clear" w:color="auto" w:fill="F8F9FA"/>
            <w:tcMar>
              <w:top w:w="100" w:type="dxa"/>
              <w:left w:w="150" w:type="dxa"/>
              <w:bottom w:w="100" w:type="dxa"/>
              <w:right w:w="150" w:type="dxa"/>
            </w:tcMar>
          </w:tcPr>
          <w:p w14:paraId="2F594D34">
            <w:pPr>
              <w:spacing w:before="0" w:after="0" w:line="276" w:lineRule="auto"/>
              <w:jc w:val="left"/>
            </w:pPr>
            <w:r>
              <w:rPr>
                <w:rFonts w:ascii="Calibri" w:hAnsi="Calibri"/>
                <w:color w:val="222222"/>
                <w:sz w:val="20"/>
              </w:rPr>
              <w:t>Polyurethene foam (CFC capture), Steel, Plastics</w:t>
            </w:r>
          </w:p>
        </w:tc>
      </w:tr>
      <w:tr w14:paraId="7CA794F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5E3156F8">
            <w:pPr>
              <w:spacing w:before="0" w:after="0" w:line="276" w:lineRule="auto"/>
              <w:jc w:val="left"/>
            </w:pPr>
            <w:r>
              <w:rPr>
                <w:rFonts w:ascii="Calibri" w:hAnsi="Calibri"/>
                <w:color w:val="222222"/>
                <w:sz w:val="20"/>
              </w:rPr>
              <w:t>Washing Machines &amp; Dryers</w:t>
            </w:r>
          </w:p>
        </w:tc>
        <w:tc>
          <w:tcPr>
            <w:tcW w:w="1440" w:type="dxa"/>
            <w:shd w:val="clear" w:color="auto" w:fill="FFFFFF"/>
            <w:tcMar>
              <w:top w:w="100" w:type="dxa"/>
              <w:left w:w="150" w:type="dxa"/>
              <w:bottom w:w="100" w:type="dxa"/>
              <w:right w:w="150" w:type="dxa"/>
            </w:tcMar>
          </w:tcPr>
          <w:p w14:paraId="6B1E6677">
            <w:pPr>
              <w:spacing w:before="0" w:after="0" w:line="276" w:lineRule="auto"/>
              <w:jc w:val="left"/>
            </w:pPr>
            <w:r>
              <w:rPr>
                <w:rFonts w:ascii="Calibri" w:hAnsi="Calibri"/>
                <w:color w:val="222222"/>
                <w:sz w:val="20"/>
              </w:rPr>
              <w:t>82%</w:t>
            </w:r>
          </w:p>
        </w:tc>
        <w:tc>
          <w:tcPr>
            <w:tcW w:w="1584" w:type="dxa"/>
            <w:shd w:val="clear" w:color="auto" w:fill="FFFFFF"/>
            <w:tcMar>
              <w:top w:w="100" w:type="dxa"/>
              <w:left w:w="150" w:type="dxa"/>
              <w:bottom w:w="100" w:type="dxa"/>
              <w:right w:w="150" w:type="dxa"/>
            </w:tcMar>
          </w:tcPr>
          <w:p w14:paraId="56DD0C23">
            <w:pPr>
              <w:spacing w:before="0" w:after="0" w:line="276" w:lineRule="auto"/>
              <w:jc w:val="left"/>
            </w:pPr>
            <w:r>
              <w:rPr>
                <w:rFonts w:ascii="Calibri" w:hAnsi="Calibri"/>
                <w:color w:val="222222"/>
                <w:sz w:val="20"/>
              </w:rPr>
              <w:t>92%</w:t>
            </w:r>
          </w:p>
        </w:tc>
        <w:tc>
          <w:tcPr>
            <w:tcW w:w="1728" w:type="dxa"/>
            <w:shd w:val="clear" w:color="auto" w:fill="FFFFFF"/>
            <w:tcMar>
              <w:top w:w="100" w:type="dxa"/>
              <w:left w:w="150" w:type="dxa"/>
              <w:bottom w:w="100" w:type="dxa"/>
              <w:right w:w="150" w:type="dxa"/>
            </w:tcMar>
          </w:tcPr>
          <w:p w14:paraId="5764E927">
            <w:pPr>
              <w:spacing w:before="0" w:after="0" w:line="276" w:lineRule="auto"/>
              <w:jc w:val="left"/>
            </w:pPr>
            <w:r>
              <w:rPr>
                <w:rFonts w:ascii="Calibri" w:hAnsi="Calibri"/>
                <w:color w:val="222222"/>
                <w:sz w:val="20"/>
              </w:rPr>
              <w:t>4.28</w:t>
            </w:r>
          </w:p>
        </w:tc>
        <w:tc>
          <w:tcPr>
            <w:tcW w:w="2448" w:type="dxa"/>
            <w:shd w:val="clear" w:color="auto" w:fill="FFFFFF"/>
            <w:tcMar>
              <w:top w:w="100" w:type="dxa"/>
              <w:left w:w="150" w:type="dxa"/>
              <w:bottom w:w="100" w:type="dxa"/>
              <w:right w:w="150" w:type="dxa"/>
            </w:tcMar>
          </w:tcPr>
          <w:p w14:paraId="1CD35053">
            <w:pPr>
              <w:spacing w:before="0" w:after="0" w:line="276" w:lineRule="auto"/>
              <w:jc w:val="left"/>
            </w:pPr>
            <w:r>
              <w:rPr>
                <w:rFonts w:ascii="Calibri" w:hAnsi="Calibri"/>
                <w:color w:val="222222"/>
                <w:sz w:val="20"/>
              </w:rPr>
              <w:t>Polypropylene plastics, Stainless steel, Motors</w:t>
            </w:r>
          </w:p>
        </w:tc>
      </w:tr>
      <w:tr w14:paraId="5506FA6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21630607">
            <w:pPr>
              <w:spacing w:before="0" w:after="0" w:line="276" w:lineRule="auto"/>
              <w:jc w:val="left"/>
            </w:pPr>
            <w:r>
              <w:rPr>
                <w:rFonts w:ascii="Calibri" w:hAnsi="Calibri"/>
                <w:color w:val="222222"/>
                <w:sz w:val="20"/>
              </w:rPr>
              <w:t>Total / System Overview</w:t>
            </w:r>
          </w:p>
        </w:tc>
        <w:tc>
          <w:tcPr>
            <w:tcW w:w="1440" w:type="dxa"/>
            <w:shd w:val="clear" w:color="auto" w:fill="F8F9FA"/>
            <w:tcMar>
              <w:top w:w="100" w:type="dxa"/>
              <w:left w:w="150" w:type="dxa"/>
              <w:bottom w:w="100" w:type="dxa"/>
              <w:right w:w="150" w:type="dxa"/>
            </w:tcMar>
          </w:tcPr>
          <w:p w14:paraId="36AE12C5">
            <w:pPr>
              <w:spacing w:before="0" w:after="0" w:line="276" w:lineRule="auto"/>
              <w:jc w:val="left"/>
            </w:pPr>
            <w:r>
              <w:rPr>
                <w:rFonts w:ascii="Calibri" w:hAnsi="Calibri"/>
                <w:color w:val="222222"/>
                <w:sz w:val="20"/>
              </w:rPr>
              <w:t>--</w:t>
            </w:r>
          </w:p>
        </w:tc>
        <w:tc>
          <w:tcPr>
            <w:tcW w:w="1584" w:type="dxa"/>
            <w:shd w:val="clear" w:color="auto" w:fill="F8F9FA"/>
            <w:tcMar>
              <w:top w:w="100" w:type="dxa"/>
              <w:left w:w="150" w:type="dxa"/>
              <w:bottom w:w="100" w:type="dxa"/>
              <w:right w:w="150" w:type="dxa"/>
            </w:tcMar>
          </w:tcPr>
          <w:p w14:paraId="06B90216">
            <w:pPr>
              <w:spacing w:before="0" w:after="0" w:line="276" w:lineRule="auto"/>
              <w:jc w:val="left"/>
            </w:pPr>
            <w:r>
              <w:rPr>
                <w:rFonts w:ascii="Calibri" w:hAnsi="Calibri"/>
                <w:color w:val="222222"/>
                <w:sz w:val="20"/>
              </w:rPr>
              <w:t>85.6% Average</w:t>
            </w:r>
          </w:p>
        </w:tc>
        <w:tc>
          <w:tcPr>
            <w:tcW w:w="1728" w:type="dxa"/>
            <w:shd w:val="clear" w:color="auto" w:fill="F8F9FA"/>
            <w:tcMar>
              <w:top w:w="100" w:type="dxa"/>
              <w:left w:w="150" w:type="dxa"/>
              <w:bottom w:w="100" w:type="dxa"/>
              <w:right w:w="150" w:type="dxa"/>
            </w:tcMar>
          </w:tcPr>
          <w:p w14:paraId="5A2B51B5">
            <w:pPr>
              <w:spacing w:before="0" w:after="0" w:line="276" w:lineRule="auto"/>
              <w:jc w:val="left"/>
            </w:pPr>
            <w:r>
              <w:rPr>
                <w:rFonts w:ascii="Calibri" w:hAnsi="Calibri"/>
                <w:color w:val="222222"/>
                <w:sz w:val="20"/>
              </w:rPr>
              <w:t>15.26 Million Units</w:t>
            </w:r>
          </w:p>
        </w:tc>
        <w:tc>
          <w:tcPr>
            <w:tcW w:w="2448" w:type="dxa"/>
            <w:shd w:val="clear" w:color="auto" w:fill="F8F9FA"/>
            <w:tcMar>
              <w:top w:w="100" w:type="dxa"/>
              <w:left w:w="150" w:type="dxa"/>
              <w:bottom w:w="100" w:type="dxa"/>
              <w:right w:w="150" w:type="dxa"/>
            </w:tcMar>
          </w:tcPr>
          <w:p w14:paraId="084A8FB5">
            <w:pPr>
              <w:spacing w:before="0" w:after="0" w:line="276" w:lineRule="auto"/>
              <w:jc w:val="left"/>
            </w:pPr>
            <w:r>
              <w:rPr>
                <w:rFonts w:ascii="Calibri" w:hAnsi="Calibri"/>
                <w:color w:val="222222"/>
                <w:sz w:val="20"/>
              </w:rPr>
              <w:t>Iron (42%), Plastics (28%), Copper/Al (18%)</w:t>
            </w:r>
          </w:p>
        </w:tc>
      </w:tr>
    </w:tbl>
    <w:p w14:paraId="16B3CEB4">
      <w:pPr>
        <w:spacing w:before="0" w:after="160"/>
      </w:pPr>
    </w:p>
    <w:p w14:paraId="0CF0C165">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27853C1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8F5E9"/>
            <w:tcMar>
              <w:top w:w="120" w:type="dxa"/>
              <w:left w:w="150" w:type="dxa"/>
              <w:bottom w:w="120" w:type="dxa"/>
              <w:right w:w="150" w:type="dxa"/>
            </w:tcMar>
          </w:tcPr>
          <w:p w14:paraId="40F988DF">
            <w:pPr>
              <w:spacing w:before="0" w:after="80"/>
            </w:pPr>
            <w:r>
              <w:rPr>
                <w:rFonts w:ascii="Calibri" w:hAnsi="Calibri"/>
                <w:b/>
                <w:color w:val="2E7D32"/>
                <w:sz w:val="22"/>
              </w:rPr>
              <w:t>💪 STRENGTHS (Internal)</w:t>
            </w:r>
          </w:p>
          <w:p w14:paraId="2F63F6A6">
            <w:pPr>
              <w:pStyle w:val="23"/>
              <w:spacing w:before="40" w:after="40" w:line="276" w:lineRule="auto"/>
            </w:pPr>
            <w:r>
              <w:rPr>
                <w:rFonts w:ascii="Calibri" w:hAnsi="Calibri"/>
                <w:color w:val="333333"/>
                <w:sz w:val="19"/>
              </w:rPr>
              <w:t>Legal compliance exceeding 85% collection efficiency</w:t>
            </w:r>
          </w:p>
          <w:p w14:paraId="52C4E1DB">
            <w:pPr>
              <w:pStyle w:val="23"/>
              <w:spacing w:before="40" w:after="40" w:line="276" w:lineRule="auto"/>
            </w:pPr>
            <w:r>
              <w:rPr>
                <w:rFonts w:ascii="Calibri" w:hAnsi="Calibri"/>
                <w:color w:val="333333"/>
                <w:sz w:val="19"/>
              </w:rPr>
              <w:t>Self-sustaining financial model via Advance Recycling Fees</w:t>
            </w:r>
          </w:p>
          <w:p w14:paraId="78C2CC87">
            <w:pPr>
              <w:pStyle w:val="23"/>
              <w:spacing w:before="40" w:after="40" w:line="276" w:lineRule="auto"/>
            </w:pPr>
            <w:r>
              <w:rPr>
                <w:rFonts w:ascii="Calibri" w:hAnsi="Calibri"/>
                <w:color w:val="333333"/>
                <w:sz w:val="19"/>
              </w:rPr>
              <w:t>High material purity from automated robotic dismantling plants</w:t>
            </w:r>
          </w:p>
          <w:p w14:paraId="0B091582">
            <w:pPr>
              <w:pStyle w:val="23"/>
              <w:spacing w:before="40" w:after="40" w:line="276" w:lineRule="auto"/>
            </w:pPr>
            <w:r>
              <w:rPr>
                <w:rFonts w:ascii="Calibri" w:hAnsi="Calibri"/>
                <w:color w:val="333333"/>
                <w:sz w:val="19"/>
              </w:rPr>
              <w:t>Strong societal adherence to Mottainai culture</w:t>
            </w:r>
          </w:p>
        </w:tc>
        <w:tc>
          <w:tcPr>
            <w:tcW w:w="4680" w:type="dxa"/>
            <w:shd w:val="clear" w:color="auto" w:fill="FFEBEE"/>
            <w:tcMar>
              <w:top w:w="120" w:type="dxa"/>
              <w:left w:w="150" w:type="dxa"/>
              <w:bottom w:w="120" w:type="dxa"/>
              <w:right w:w="150" w:type="dxa"/>
            </w:tcMar>
          </w:tcPr>
          <w:p w14:paraId="58AFF0D0">
            <w:pPr>
              <w:spacing w:before="0" w:after="80"/>
            </w:pPr>
            <w:r>
              <w:rPr>
                <w:rFonts w:ascii="Calibri" w:hAnsi="Calibri"/>
                <w:b/>
                <w:color w:val="C62828"/>
                <w:sz w:val="22"/>
              </w:rPr>
              <w:t>⚠️ WEAKNESSES (Internal)</w:t>
            </w:r>
          </w:p>
          <w:p w14:paraId="5F78EFAE">
            <w:pPr>
              <w:pStyle w:val="23"/>
              <w:spacing w:before="40" w:after="40" w:line="276" w:lineRule="auto"/>
            </w:pPr>
            <w:r>
              <w:rPr>
                <w:rFonts w:ascii="Calibri" w:hAnsi="Calibri"/>
                <w:color w:val="333333"/>
                <w:sz w:val="19"/>
              </w:rPr>
              <w:t>High capital expenditure for advanced recycling infrastructure</w:t>
            </w:r>
          </w:p>
          <w:p w14:paraId="3CB1F785">
            <w:pPr>
              <w:pStyle w:val="23"/>
              <w:spacing w:before="40" w:after="40" w:line="276" w:lineRule="auto"/>
            </w:pPr>
            <w:r>
              <w:rPr>
                <w:rFonts w:ascii="Calibri" w:hAnsi="Calibri"/>
                <w:color w:val="333333"/>
                <w:sz w:val="19"/>
              </w:rPr>
              <w:t>Shrinking domestic resource recovery scale due to device miniaturization</w:t>
            </w:r>
          </w:p>
          <w:p w14:paraId="215680E5">
            <w:pPr>
              <w:pStyle w:val="23"/>
              <w:spacing w:before="40" w:after="40" w:line="276" w:lineRule="auto"/>
            </w:pPr>
            <w:r>
              <w:rPr>
                <w:rFonts w:ascii="Calibri" w:hAnsi="Calibri"/>
                <w:color w:val="333333"/>
                <w:sz w:val="19"/>
              </w:rPr>
              <w:t>Residual illegal exports by rogue unregistered collectors</w:t>
            </w:r>
          </w:p>
        </w:tc>
      </w:tr>
      <w:tr w14:paraId="6D84F6FB">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38E46916">
            <w:pPr>
              <w:spacing w:before="0" w:after="80"/>
            </w:pPr>
            <w:r>
              <w:rPr>
                <w:rFonts w:ascii="Calibri" w:hAnsi="Calibri"/>
                <w:b/>
                <w:color w:val="1565C0"/>
                <w:sz w:val="22"/>
              </w:rPr>
              <w:t>🚀 OPPORTUNITIES (External)</w:t>
            </w:r>
          </w:p>
          <w:p w14:paraId="5E93F1FC">
            <w:pPr>
              <w:pStyle w:val="23"/>
              <w:spacing w:before="40" w:after="40" w:line="276" w:lineRule="auto"/>
            </w:pPr>
            <w:r>
              <w:rPr>
                <w:rFonts w:ascii="Calibri" w:hAnsi="Calibri"/>
                <w:color w:val="333333"/>
                <w:sz w:val="19"/>
              </w:rPr>
              <w:t>Integration of AI-driven robotic disassembly and laser sorting</w:t>
            </w:r>
          </w:p>
          <w:p w14:paraId="64CD2246">
            <w:pPr>
              <w:pStyle w:val="23"/>
              <w:spacing w:before="40" w:after="40" w:line="276" w:lineRule="auto"/>
            </w:pPr>
            <w:r>
              <w:rPr>
                <w:rFonts w:ascii="Calibri" w:hAnsi="Calibri"/>
                <w:color w:val="333333"/>
                <w:sz w:val="19"/>
              </w:rPr>
              <w:t>Expanding urban mining for critical raw materials (Neodymium, Lithium)</w:t>
            </w:r>
          </w:p>
          <w:p w14:paraId="2EFFCC2C">
            <w:pPr>
              <w:pStyle w:val="23"/>
              <w:spacing w:before="40" w:after="40" w:line="276" w:lineRule="auto"/>
            </w:pPr>
            <w:r>
              <w:rPr>
                <w:rFonts w:ascii="Calibri" w:hAnsi="Calibri"/>
                <w:color w:val="333333"/>
                <w:sz w:val="19"/>
              </w:rPr>
              <w:t>Exporting technology models to emerging Asian economies</w:t>
            </w:r>
          </w:p>
        </w:tc>
        <w:tc>
          <w:tcPr>
            <w:tcW w:w="4680" w:type="dxa"/>
            <w:shd w:val="clear" w:color="auto" w:fill="FFF3E0"/>
            <w:tcMar>
              <w:top w:w="120" w:type="dxa"/>
              <w:left w:w="150" w:type="dxa"/>
              <w:bottom w:w="120" w:type="dxa"/>
              <w:right w:w="150" w:type="dxa"/>
            </w:tcMar>
          </w:tcPr>
          <w:p w14:paraId="417414AA">
            <w:pPr>
              <w:spacing w:before="0" w:after="80"/>
            </w:pPr>
            <w:r>
              <w:rPr>
                <w:rFonts w:ascii="Calibri" w:hAnsi="Calibri"/>
                <w:b/>
                <w:color w:val="E65100"/>
                <w:sz w:val="22"/>
              </w:rPr>
              <w:t>⚡ THREATS (External)</w:t>
            </w:r>
          </w:p>
          <w:p w14:paraId="7AC3A15C">
            <w:pPr>
              <w:pStyle w:val="23"/>
              <w:spacing w:before="40" w:after="40" w:line="276" w:lineRule="auto"/>
            </w:pPr>
            <w:r>
              <w:rPr>
                <w:rFonts w:ascii="Calibri" w:hAnsi="Calibri"/>
                <w:color w:val="333333"/>
                <w:sz w:val="19"/>
              </w:rPr>
              <w:t>Volatile global scrap metal prices impacting recycler margins</w:t>
            </w:r>
          </w:p>
          <w:p w14:paraId="2E7C8E12">
            <w:pPr>
              <w:pStyle w:val="23"/>
              <w:spacing w:before="40" w:after="40" w:line="276" w:lineRule="auto"/>
            </w:pPr>
            <w:r>
              <w:rPr>
                <w:rFonts w:ascii="Calibri" w:hAnsi="Calibri"/>
                <w:color w:val="333333"/>
                <w:sz w:val="19"/>
              </w:rPr>
              <w:t>Rising operational costs from lithium-ion battery fire hazards</w:t>
            </w:r>
          </w:p>
          <w:p w14:paraId="25DE59A4">
            <w:pPr>
              <w:pStyle w:val="23"/>
              <w:spacing w:before="40" w:after="40" w:line="276" w:lineRule="auto"/>
            </w:pPr>
            <w:r>
              <w:rPr>
                <w:rFonts w:ascii="Calibri" w:hAnsi="Calibri"/>
                <w:color w:val="333333"/>
                <w:sz w:val="19"/>
              </w:rPr>
              <w:t>Aging national population causing logistics labor shortages</w:t>
            </w:r>
          </w:p>
        </w:tc>
      </w:tr>
    </w:tbl>
    <w:p w14:paraId="67E79C42">
      <w:pPr>
        <w:spacing w:before="0" w:after="160"/>
      </w:pPr>
    </w:p>
    <w:p w14:paraId="2E2FDD3A">
      <w:pPr>
        <w:pStyle w:val="3"/>
        <w:keepNext/>
        <w:spacing w:before="280" w:after="120"/>
      </w:pPr>
      <w:r>
        <w:rPr>
          <w:rFonts w:ascii="Calibri" w:hAnsi="Calibri"/>
          <w:b/>
          <w:color w:val="2E75B6"/>
          <w:sz w:val="28"/>
        </w:rPr>
        <w:t>6. Comparison with India</w:t>
      </w:r>
    </w:p>
    <w:p w14:paraId="2AC36A1C">
      <w:pPr>
        <w:spacing w:before="0" w:after="120" w:line="276" w:lineRule="auto"/>
        <w:jc w:val="left"/>
      </w:pPr>
      <w:r>
        <w:rPr>
          <w:rFonts w:ascii="Calibri" w:hAnsi="Calibri"/>
          <w:i w:val="0"/>
          <w:color w:val="222222"/>
          <w:sz w:val="22"/>
        </w:rPr>
        <w:t>Comparing Japan's mature e-waste ecosystem with India reveals stark operational and structural differences:</w:t>
      </w:r>
    </w:p>
    <w:p w14:paraId="694F7982">
      <w:pPr>
        <w:pStyle w:val="23"/>
        <w:spacing w:before="40" w:after="80" w:line="276" w:lineRule="auto"/>
      </w:pPr>
      <w:r>
        <w:rPr>
          <w:rFonts w:ascii="Calibri" w:hAnsi="Calibri"/>
          <w:b/>
          <w:color w:val="1B365D"/>
          <w:sz w:val="22"/>
        </w:rPr>
        <w:t xml:space="preserve">Financial Mechanism: </w:t>
      </w:r>
      <w:r>
        <w:rPr>
          <w:rFonts w:ascii="Calibri" w:hAnsi="Calibri"/>
          <w:color w:val="222222"/>
          <w:sz w:val="22"/>
        </w:rPr>
        <w:t>In Japan, consumers pay a fee ($15-$45) to recycle appliances. In India, consumers expect payment for scrap from informal 'kabadiwalas', discouraging formal compliance.</w:t>
      </w:r>
    </w:p>
    <w:p w14:paraId="436C4E85">
      <w:pPr>
        <w:pStyle w:val="23"/>
        <w:spacing w:before="40" w:after="80" w:line="276" w:lineRule="auto"/>
      </w:pPr>
      <w:r>
        <w:rPr>
          <w:rFonts w:ascii="Calibri" w:hAnsi="Calibri"/>
          <w:b/>
          <w:color w:val="1B365D"/>
          <w:sz w:val="22"/>
        </w:rPr>
        <w:t xml:space="preserve">Collection Infrastructure: </w:t>
      </w:r>
      <w:r>
        <w:rPr>
          <w:rFonts w:ascii="Calibri" w:hAnsi="Calibri"/>
          <w:color w:val="222222"/>
          <w:sz w:val="22"/>
        </w:rPr>
        <w:t>Japan operates 335 formal designated collection points and 46 specialized plants. India relies heavily on informal scrap markets (over 90% share) with minimal formal drop-off points.</w:t>
      </w:r>
    </w:p>
    <w:p w14:paraId="7125D179">
      <w:pPr>
        <w:pStyle w:val="23"/>
        <w:spacing w:before="40" w:after="80" w:line="276" w:lineRule="auto"/>
      </w:pPr>
      <w:r>
        <w:rPr>
          <w:rFonts w:ascii="Calibri" w:hAnsi="Calibri"/>
          <w:b/>
          <w:color w:val="1B365D"/>
          <w:sz w:val="22"/>
        </w:rPr>
        <w:t xml:space="preserve">Law Enforcement: </w:t>
      </w:r>
      <w:r>
        <w:rPr>
          <w:rFonts w:ascii="Calibri" w:hAnsi="Calibri"/>
          <w:color w:val="222222"/>
          <w:sz w:val="22"/>
        </w:rPr>
        <w:t>Japan enforces strict manifest tracking with severe criminal penalties for illegal dumping. India's EPR rules face enforcement bottlenecks and certificate inflation.</w:t>
      </w:r>
    </w:p>
    <w:p w14:paraId="74F980F4">
      <w:pPr>
        <w:pStyle w:val="3"/>
        <w:keepNext/>
        <w:spacing w:before="280" w:after="120"/>
      </w:pPr>
      <w:r>
        <w:rPr>
          <w:rFonts w:ascii="Calibri" w:hAnsi="Calibri"/>
          <w:b/>
          <w:color w:val="2E75B6"/>
          <w:sz w:val="28"/>
        </w:rPr>
        <w:t>7. Recommendations for India</w:t>
      </w:r>
    </w:p>
    <w:p w14:paraId="3B1C6C61">
      <w:pPr>
        <w:pStyle w:val="23"/>
        <w:spacing w:before="40" w:after="80" w:line="276" w:lineRule="auto"/>
      </w:pPr>
      <w:r>
        <w:rPr>
          <w:rFonts w:ascii="Calibri" w:hAnsi="Calibri"/>
          <w:b/>
          <w:color w:val="1B365D"/>
          <w:sz w:val="22"/>
        </w:rPr>
        <w:t xml:space="preserve">Institute Consumer Recycling Fees: </w:t>
      </w:r>
      <w:r>
        <w:rPr>
          <w:rFonts w:ascii="Calibri" w:hAnsi="Calibri"/>
          <w:color w:val="222222"/>
          <w:sz w:val="22"/>
        </w:rPr>
        <w:t>Gradually transition Indian consumers from scrap-sale expectations to contributing toward environmentally sound disposal via embedded retail fees.</w:t>
      </w:r>
    </w:p>
    <w:p w14:paraId="580CA8CB">
      <w:pPr>
        <w:pStyle w:val="23"/>
        <w:spacing w:before="40" w:after="80" w:line="276" w:lineRule="auto"/>
      </w:pPr>
      <w:r>
        <w:rPr>
          <w:rFonts w:ascii="Calibri" w:hAnsi="Calibri"/>
          <w:b/>
          <w:color w:val="1B365D"/>
          <w:sz w:val="22"/>
        </w:rPr>
        <w:t xml:space="preserve">Form OEM Consortia: </w:t>
      </w:r>
      <w:r>
        <w:rPr>
          <w:rFonts w:ascii="Calibri" w:hAnsi="Calibri"/>
          <w:color w:val="222222"/>
          <w:sz w:val="22"/>
        </w:rPr>
        <w:t>Encourage Indian producers (TATA, Godrej, Reliance) to form joint recycling consortia similar to Japan's Group A/B model to shared capital costs.</w:t>
      </w:r>
    </w:p>
    <w:p w14:paraId="1E607528">
      <w:pPr>
        <w:pStyle w:val="23"/>
        <w:spacing w:before="40" w:after="80" w:line="276" w:lineRule="auto"/>
      </w:pPr>
      <w:r>
        <w:rPr>
          <w:rFonts w:ascii="Calibri" w:hAnsi="Calibri"/>
          <w:b/>
          <w:color w:val="1B365D"/>
          <w:sz w:val="22"/>
        </w:rPr>
        <w:t xml:space="preserve">Establish Authorized Stockyards: </w:t>
      </w:r>
      <w:r>
        <w:rPr>
          <w:rFonts w:ascii="Calibri" w:hAnsi="Calibri"/>
          <w:color w:val="222222"/>
          <w:sz w:val="22"/>
        </w:rPr>
        <w:t>Mandate city municipalities to set up designated collection stockyards in every zone.</w:t>
      </w:r>
    </w:p>
    <w:p w14:paraId="4B1688A4">
      <w:pPr>
        <w:pStyle w:val="3"/>
        <w:keepNext/>
        <w:spacing w:before="280" w:after="120"/>
      </w:pPr>
      <w:r>
        <w:rPr>
          <w:rFonts w:ascii="Calibri" w:hAnsi="Calibri"/>
          <w:b/>
          <w:color w:val="2E75B6"/>
          <w:sz w:val="28"/>
        </w:rPr>
        <w:t>8. Conclusion</w:t>
      </w:r>
    </w:p>
    <w:p w14:paraId="30670222">
      <w:pPr>
        <w:spacing w:before="0" w:after="120" w:line="276" w:lineRule="auto"/>
        <w:jc w:val="left"/>
      </w:pPr>
      <w:r>
        <w:rPr>
          <w:rFonts w:ascii="Calibri" w:hAnsi="Calibri"/>
          <w:i w:val="0"/>
          <w:color w:val="222222"/>
          <w:sz w:val="22"/>
        </w:rPr>
        <w:t>Japan demonstrates that high recycling efficiency requires an unyielding statutory foundation, clear financial accountability, and active consumer participation. By adapting Japan's PRO consortium operational structure and advance financing principles, India can transform its formal e-waste management sector.</w:t>
      </w:r>
    </w:p>
    <w:p w14:paraId="492B1C0F">
      <w:pPr>
        <w:pStyle w:val="3"/>
        <w:keepNext/>
        <w:spacing w:before="280" w:after="120"/>
      </w:pPr>
      <w:r>
        <w:rPr>
          <w:rFonts w:ascii="Calibri" w:hAnsi="Calibri"/>
          <w:b/>
          <w:color w:val="2E75B6"/>
          <w:sz w:val="28"/>
        </w:rPr>
        <w:t>9. References</w:t>
      </w:r>
    </w:p>
    <w:p w14:paraId="64006FFE">
      <w:pPr>
        <w:pStyle w:val="23"/>
        <w:spacing w:before="40" w:after="80" w:line="276" w:lineRule="auto"/>
      </w:pPr>
      <w:r>
        <w:rPr>
          <w:rFonts w:ascii="Calibri" w:hAnsi="Calibri"/>
          <w:b/>
          <w:color w:val="1B365D"/>
          <w:sz w:val="22"/>
        </w:rPr>
        <w:t xml:space="preserve">Ministry of the Environment, Japan (MOEJ). </w:t>
      </w:r>
      <w:r>
        <w:rPr>
          <w:rFonts w:ascii="Calibri" w:hAnsi="Calibri"/>
          <w:color w:val="222222"/>
          <w:sz w:val="22"/>
        </w:rPr>
        <w:t>'Annual Report on Resource Circulation and Sound Material-Cycle Society.' Tokyo, 2022.</w:t>
      </w:r>
    </w:p>
    <w:p w14:paraId="64383971">
      <w:pPr>
        <w:pStyle w:val="23"/>
        <w:spacing w:before="40" w:after="80" w:line="276" w:lineRule="auto"/>
      </w:pPr>
      <w:r>
        <w:rPr>
          <w:rFonts w:ascii="Calibri" w:hAnsi="Calibri"/>
          <w:b/>
          <w:color w:val="1B365D"/>
          <w:sz w:val="22"/>
        </w:rPr>
        <w:t xml:space="preserve">Panasonic Eco Technology Center (PETEC). </w:t>
      </w:r>
      <w:r>
        <w:rPr>
          <w:rFonts w:ascii="Calibri" w:hAnsi="Calibri"/>
          <w:color w:val="222222"/>
          <w:sz w:val="22"/>
        </w:rPr>
        <w:t>'Overview of Specified Home Appliance Recycling Performance.' 2026.</w:t>
      </w:r>
    </w:p>
    <w:p w14:paraId="5A0C0573">
      <w:pPr>
        <w:pStyle w:val="23"/>
        <w:spacing w:before="40" w:after="80" w:line="276" w:lineRule="auto"/>
      </w:pPr>
      <w:r>
        <w:rPr>
          <w:rFonts w:ascii="Calibri" w:hAnsi="Calibri"/>
          <w:b/>
          <w:color w:val="1B365D"/>
          <w:sz w:val="22"/>
        </w:rPr>
        <w:t xml:space="preserve">Association for Electric Home Appliances (AEHA). </w:t>
      </w:r>
      <w:r>
        <w:rPr>
          <w:rFonts w:ascii="Calibri" w:hAnsi="Calibri"/>
          <w:color w:val="222222"/>
          <w:sz w:val="22"/>
        </w:rPr>
        <w:t>'E-Waste Recycling Statistics and Group A/B Operations.' Tokyo, 2023.</w:t>
      </w:r>
    </w:p>
    <w:p w14:paraId="1E836EF6">
      <w:r>
        <w:br w:type="page"/>
      </w:r>
    </w:p>
    <w:p w14:paraId="62EAEBC2">
      <w:pPr>
        <w:pStyle w:val="3"/>
        <w:keepNext/>
        <w:spacing w:before="280" w:after="120"/>
      </w:pPr>
      <w:r>
        <w:rPr>
          <w:rFonts w:ascii="Calibri" w:hAnsi="Calibri"/>
          <w:b/>
          <w:color w:val="2E75B6"/>
          <w:sz w:val="28"/>
        </w:rPr>
        <w:t>11. One-Page Exam Revision Sheet — Topic 1</w:t>
      </w:r>
    </w:p>
    <w:tbl>
      <w:tblPr>
        <w:tblStyle w:val="12"/>
        <w:tblW w:w="0" w:type="auto"/>
        <w:jc w:val="center"/>
        <w:tblLayout w:type="fixed"/>
        <w:tblCellMar>
          <w:top w:w="0" w:type="dxa"/>
          <w:left w:w="108" w:type="dxa"/>
          <w:bottom w:w="0" w:type="dxa"/>
          <w:right w:w="108" w:type="dxa"/>
        </w:tblCellMar>
      </w:tblPr>
      <w:tblGrid>
        <w:gridCol w:w="9360"/>
      </w:tblGrid>
      <w:tr w14:paraId="243BB7B8">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1147AA12">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Why Japan Recycles More Than Most Countries.</w:t>
            </w:r>
          </w:p>
        </w:tc>
      </w:tr>
    </w:tbl>
    <w:p w14:paraId="1D984278">
      <w:pPr>
        <w:spacing w:before="0" w:after="120"/>
      </w:pPr>
    </w:p>
    <w:p w14:paraId="1AD255DB">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Japan achieves 80-92% recycling rates through a consumer-funded Advance Recycling Fee (ARF), a tripartite legal model (Consumer-Retailer-Producer), and a Group A/B OEM recycling consortium operating 46 automated plants.</w:t>
      </w:r>
    </w:p>
    <w:p w14:paraId="6775050F">
      <w:pPr>
        <w:pStyle w:val="4"/>
        <w:keepNext/>
        <w:spacing w:before="200" w:after="80"/>
      </w:pPr>
      <w:r>
        <w:rPr>
          <w:rFonts w:ascii="Calibri" w:hAnsi="Calibri"/>
          <w:b/>
          <w:color w:val="333333"/>
          <w:sz w:val="24"/>
        </w:rPr>
        <w:t>Key Statistics &amp; Data Points for High-Scoring Answers:</w:t>
      </w:r>
    </w:p>
    <w:p w14:paraId="2D401C9B">
      <w:pPr>
        <w:pStyle w:val="23"/>
        <w:spacing w:before="40" w:after="80" w:line="276" w:lineRule="auto"/>
      </w:pPr>
      <w:r>
        <w:rPr>
          <w:rFonts w:ascii="Calibri" w:hAnsi="Calibri"/>
          <w:b/>
          <w:color w:val="1B365D"/>
          <w:sz w:val="22"/>
        </w:rPr>
        <w:t xml:space="preserve">Statutory Recycling Rates: </w:t>
      </w:r>
      <w:r>
        <w:rPr>
          <w:rFonts w:ascii="Calibri" w:hAnsi="Calibri"/>
          <w:color w:val="222222"/>
          <w:sz w:val="22"/>
        </w:rPr>
        <w:t>Air Conditioners (92%), Washers (92%), Refrigerators (79%), LCD TVs (85%)</w:t>
      </w:r>
    </w:p>
    <w:p w14:paraId="04E72766">
      <w:pPr>
        <w:pStyle w:val="23"/>
        <w:spacing w:before="40" w:after="80" w:line="276" w:lineRule="auto"/>
      </w:pPr>
      <w:r>
        <w:rPr>
          <w:rFonts w:ascii="Calibri" w:hAnsi="Calibri"/>
          <w:b/>
          <w:color w:val="1B365D"/>
          <w:sz w:val="22"/>
        </w:rPr>
        <w:t xml:space="preserve">Annual Processing Volume: </w:t>
      </w:r>
      <w:r>
        <w:rPr>
          <w:rFonts w:ascii="Calibri" w:hAnsi="Calibri"/>
          <w:color w:val="222222"/>
          <w:sz w:val="22"/>
        </w:rPr>
        <w:t>15.26 Million Units processed per year across 46 designated plants</w:t>
      </w:r>
    </w:p>
    <w:p w14:paraId="3B53F1ED">
      <w:pPr>
        <w:pStyle w:val="23"/>
        <w:spacing w:before="40" w:after="80" w:line="276" w:lineRule="auto"/>
      </w:pPr>
      <w:r>
        <w:rPr>
          <w:rFonts w:ascii="Calibri" w:hAnsi="Calibri"/>
          <w:b/>
          <w:color w:val="1B365D"/>
          <w:sz w:val="22"/>
        </w:rPr>
        <w:t xml:space="preserve">Designated Collection Points: </w:t>
      </w:r>
      <w:r>
        <w:rPr>
          <w:rFonts w:ascii="Calibri" w:hAnsi="Calibri"/>
          <w:color w:val="222222"/>
          <w:sz w:val="22"/>
        </w:rPr>
        <w:t>335 stockyards operating under strict manifest tracking</w:t>
      </w:r>
    </w:p>
    <w:p w14:paraId="71852AAA">
      <w:pPr>
        <w:pStyle w:val="23"/>
        <w:spacing w:before="40" w:after="80" w:line="276" w:lineRule="auto"/>
      </w:pPr>
      <w:r>
        <w:rPr>
          <w:rFonts w:ascii="Calibri" w:hAnsi="Calibri"/>
          <w:b/>
          <w:color w:val="1B365D"/>
          <w:sz w:val="22"/>
        </w:rPr>
        <w:t xml:space="preserve">Key Governing Laws: </w:t>
      </w:r>
      <w:r>
        <w:rPr>
          <w:rFonts w:ascii="Calibri" w:hAnsi="Calibri"/>
          <w:color w:val="222222"/>
          <w:sz w:val="22"/>
        </w:rPr>
        <w:t>Home Appliance Recycling Law (1998/2001) &amp; Small Appliance Recycling Law (2013)</w:t>
      </w:r>
    </w:p>
    <w:p w14:paraId="559A60BF">
      <w:pPr>
        <w:pStyle w:val="4"/>
        <w:keepNext/>
        <w:spacing w:before="200" w:after="80"/>
      </w:pPr>
      <w:r>
        <w:rPr>
          <w:rFonts w:ascii="Calibri" w:hAnsi="Calibri"/>
          <w:b/>
          <w:color w:val="333333"/>
          <w:sz w:val="24"/>
        </w:rPr>
        <w:t>Statutory Frameworks &amp; Key Terminology:</w:t>
      </w:r>
    </w:p>
    <w:p w14:paraId="1B25D929">
      <w:pPr>
        <w:pStyle w:val="23"/>
        <w:spacing w:before="40" w:after="80" w:line="276" w:lineRule="auto"/>
      </w:pPr>
      <w:r>
        <w:rPr>
          <w:rFonts w:ascii="Calibri" w:hAnsi="Calibri"/>
          <w:b/>
          <w:color w:val="1B365D"/>
          <w:sz w:val="22"/>
        </w:rPr>
        <w:t xml:space="preserve">Mottainai: </w:t>
      </w:r>
      <w:r>
        <w:rPr>
          <w:rFonts w:ascii="Calibri" w:hAnsi="Calibri"/>
          <w:color w:val="222222"/>
          <w:sz w:val="22"/>
        </w:rPr>
        <w:t>Cultural philosophy of rejecting wastefulness; foundational to public compliance.</w:t>
      </w:r>
    </w:p>
    <w:p w14:paraId="1B5ABAAB">
      <w:pPr>
        <w:pStyle w:val="23"/>
        <w:spacing w:before="40" w:after="80" w:line="276" w:lineRule="auto"/>
      </w:pPr>
      <w:r>
        <w:rPr>
          <w:rFonts w:ascii="Calibri" w:hAnsi="Calibri"/>
          <w:b/>
          <w:color w:val="1B365D"/>
          <w:sz w:val="22"/>
        </w:rPr>
        <w:t xml:space="preserve">Group A &amp; B Model: </w:t>
      </w:r>
      <w:r>
        <w:rPr>
          <w:rFonts w:ascii="Calibri" w:hAnsi="Calibri"/>
          <w:color w:val="222222"/>
          <w:sz w:val="22"/>
        </w:rPr>
        <w:t>Dual OEM consortia sharing recycling plants to achieve economies of scale.</w:t>
      </w:r>
    </w:p>
    <w:p w14:paraId="6C5A37C9">
      <w:pPr>
        <w:pStyle w:val="23"/>
        <w:spacing w:before="40" w:after="80" w:line="276" w:lineRule="auto"/>
      </w:pPr>
      <w:r>
        <w:rPr>
          <w:rFonts w:ascii="Calibri" w:hAnsi="Calibri"/>
          <w:b/>
          <w:color w:val="1B365D"/>
          <w:sz w:val="22"/>
        </w:rPr>
        <w:t xml:space="preserve">ARF / ARC: </w:t>
      </w:r>
      <w:r>
        <w:rPr>
          <w:rFonts w:ascii="Calibri" w:hAnsi="Calibri"/>
          <w:color w:val="222222"/>
          <w:sz w:val="22"/>
        </w:rPr>
        <w:t>Advance Recycling Fee paid by consumers upon surrender of end-of-life goods.</w:t>
      </w:r>
    </w:p>
    <w:p w14:paraId="6C45BE24">
      <w:pPr>
        <w:pStyle w:val="4"/>
        <w:keepNext/>
        <w:spacing w:before="200" w:after="80"/>
      </w:pPr>
      <w:r>
        <w:rPr>
          <w:rFonts w:ascii="Calibri" w:hAnsi="Calibri"/>
          <w:b/>
          <w:color w:val="333333"/>
          <w:sz w:val="24"/>
        </w:rPr>
        <w:t>Expected Exam Questions &amp; Analytical Points:</w:t>
      </w:r>
    </w:p>
    <w:p w14:paraId="3C48BC3D">
      <w:pPr>
        <w:spacing w:before="40" w:after="80" w:line="276" w:lineRule="auto"/>
        <w:jc w:val="left"/>
      </w:pPr>
      <w:r>
        <w:rPr>
          <w:rFonts w:ascii="Calibri" w:hAnsi="Calibri"/>
          <w:b/>
          <w:color w:val="1B365D"/>
          <w:sz w:val="22"/>
        </w:rPr>
        <w:t xml:space="preserve">Q1: </w:t>
      </w:r>
      <w:r>
        <w:rPr>
          <w:rFonts w:ascii="Calibri" w:hAnsi="Calibri"/>
          <w:i w:val="0"/>
          <w:color w:val="222222"/>
          <w:sz w:val="22"/>
        </w:rPr>
        <w:t>Explain the tripartite operational structure under Japan's Home Appliance Recycling Law.</w:t>
      </w:r>
    </w:p>
    <w:p w14:paraId="70BF1E30">
      <w:pPr>
        <w:spacing w:before="40" w:after="80" w:line="276" w:lineRule="auto"/>
        <w:jc w:val="left"/>
      </w:pPr>
      <w:r>
        <w:rPr>
          <w:rFonts w:ascii="Calibri" w:hAnsi="Calibri"/>
          <w:b/>
          <w:color w:val="1B365D"/>
          <w:sz w:val="22"/>
        </w:rPr>
        <w:t xml:space="preserve">Q2: </w:t>
      </w:r>
      <w:r>
        <w:rPr>
          <w:rFonts w:ascii="Calibri" w:hAnsi="Calibri"/>
          <w:i w:val="0"/>
          <w:color w:val="222222"/>
          <w:sz w:val="22"/>
        </w:rPr>
        <w:t>Compare Japan's consumer-financed recycling model with India's informal scrap-valuation system.</w:t>
      </w:r>
    </w:p>
    <w:p w14:paraId="43396C15">
      <w:pPr>
        <w:spacing w:before="40" w:after="80" w:line="276" w:lineRule="auto"/>
        <w:jc w:val="left"/>
      </w:pPr>
      <w:r>
        <w:rPr>
          <w:rFonts w:ascii="Calibri" w:hAnsi="Calibri"/>
          <w:b/>
          <w:color w:val="1B365D"/>
          <w:sz w:val="22"/>
        </w:rPr>
        <w:t xml:space="preserve">Q3: </w:t>
      </w:r>
      <w:r>
        <w:rPr>
          <w:rFonts w:ascii="Calibri" w:hAnsi="Calibri"/>
          <w:i w:val="0"/>
          <w:color w:val="222222"/>
          <w:sz w:val="22"/>
        </w:rPr>
        <w:t>What are the roles of Group A and Group B OEM consortia in Japan's recycling infrastructure?</w:t>
      </w:r>
    </w:p>
    <w:p w14:paraId="6DC52EDB">
      <w:r>
        <w:br w:type="page"/>
      </w:r>
    </w:p>
    <w:p w14:paraId="4BA23931">
      <w:pPr>
        <w:pStyle w:val="2"/>
        <w:keepNext/>
        <w:spacing w:before="360" w:after="160"/>
      </w:pPr>
      <w:r>
        <w:rPr>
          <w:rFonts w:ascii="Calibri" w:hAnsi="Calibri"/>
          <w:b/>
          <w:color w:val="1B365D"/>
          <w:sz w:val="36"/>
        </w:rPr>
        <w:t>Topic 2: Switzerland's E-Waste Success Story</w:t>
      </w:r>
    </w:p>
    <w:p w14:paraId="0EC62DA9">
      <w:pPr>
        <w:pStyle w:val="3"/>
        <w:keepNext/>
        <w:spacing w:before="280" w:after="120"/>
      </w:pPr>
      <w:r>
        <w:rPr>
          <w:rFonts w:ascii="Calibri" w:hAnsi="Calibri"/>
          <w:b/>
          <w:color w:val="2E75B6"/>
          <w:sz w:val="28"/>
        </w:rPr>
        <w:t>1. Executive Summary</w:t>
      </w:r>
    </w:p>
    <w:p w14:paraId="2127629E">
      <w:pPr>
        <w:spacing w:before="0" w:after="120" w:line="276" w:lineRule="auto"/>
        <w:jc w:val="left"/>
      </w:pPr>
      <w:r>
        <w:rPr>
          <w:rFonts w:ascii="Calibri" w:hAnsi="Calibri"/>
          <w:i w:val="0"/>
          <w:color w:val="222222"/>
          <w:sz w:val="22"/>
        </w:rPr>
        <w:t>Switzerland holds the distinction of being the first country in the world to establish an organized, nationwide e-waste management and recycling system. Operating under the Ordinance on the Return, Taking Back and Disposal of Electrical and Electronic Equipment (ORDEE), Switzerland recovers over 90% of discarded electronics, processing more than 140,000 tonnes of WEEE annually. The system is managed by two Producer Responsibility Organizations: Swico (handling IT, office, and consumer electronics) and SENS eRecycling (handling household appliances). The core financial driver is an Advance Recycling Fee (ARF / ARC) automatically included in retail product prices. This pre-funded model ensures free, frictionless consumer drop-off across 600 official collection points and 7,000 retail take-back stations.</w:t>
      </w:r>
    </w:p>
    <w:p w14:paraId="4C8FD265">
      <w:pPr>
        <w:pStyle w:val="3"/>
        <w:keepNext/>
        <w:spacing w:before="280" w:after="120"/>
      </w:pPr>
      <w:r>
        <w:rPr>
          <w:rFonts w:ascii="Calibri" w:hAnsi="Calibri"/>
          <w:b/>
          <w:color w:val="2E75B6"/>
          <w:sz w:val="28"/>
        </w:rPr>
        <w:t>2. Background</w:t>
      </w:r>
    </w:p>
    <w:p w14:paraId="437EA22A">
      <w:pPr>
        <w:spacing w:before="0" w:after="120" w:line="276" w:lineRule="auto"/>
        <w:jc w:val="left"/>
      </w:pPr>
      <w:r>
        <w:rPr>
          <w:rFonts w:ascii="Calibri" w:hAnsi="Calibri"/>
          <w:i w:val="0"/>
          <w:color w:val="222222"/>
          <w:sz w:val="22"/>
        </w:rPr>
        <w:t>In the late 1980s, Swiss municipal waste streams experienced rapid contamination from heavy metals (cadmium, mercury, lead) caused by incinerating discarded electronics. Recognizing the limits of municipal landfilling and incineration, the Swiss Federal Office for the Environment (FOEN / BAFU) partnered with electronics manufacturers to pioneer a voluntary producer responsibility framework. In 1990, SENS eRecycling was established for household goods, followed by Swico in 1994 for information technology. In July 1998, the Swiss government formalized this structure into law via the ORDEE ordinance, legally mandating that retailers take back end-of-life equipment free of charge and prohibiting municipal land disposal.</w:t>
      </w:r>
    </w:p>
    <w:p w14:paraId="61739824">
      <w:pPr>
        <w:pStyle w:val="3"/>
        <w:keepNext/>
        <w:spacing w:before="280" w:after="120"/>
      </w:pPr>
      <w:r>
        <w:rPr>
          <w:rFonts w:ascii="Calibri" w:hAnsi="Calibri"/>
          <w:b/>
          <w:color w:val="2E75B6"/>
          <w:sz w:val="28"/>
        </w:rPr>
        <w:t>3. Strategy / Initiative</w:t>
      </w:r>
    </w:p>
    <w:p w14:paraId="5110EF63">
      <w:pPr>
        <w:spacing w:before="0" w:after="120" w:line="276" w:lineRule="auto"/>
        <w:jc w:val="left"/>
      </w:pPr>
      <w:r>
        <w:rPr>
          <w:rFonts w:ascii="Calibri" w:hAnsi="Calibri"/>
          <w:i w:val="0"/>
          <w:color w:val="222222"/>
          <w:sz w:val="22"/>
        </w:rPr>
        <w:t>Switzerland's e-waste strategy relies on three main pillars:</w:t>
      </w:r>
    </w:p>
    <w:p w14:paraId="484DE8DD">
      <w:pPr>
        <w:pStyle w:val="23"/>
        <w:spacing w:before="40" w:after="80" w:line="276" w:lineRule="auto"/>
      </w:pPr>
      <w:r>
        <w:rPr>
          <w:rFonts w:ascii="Calibri" w:hAnsi="Calibri"/>
          <w:b/>
          <w:color w:val="1B365D"/>
          <w:sz w:val="22"/>
        </w:rPr>
        <w:t xml:space="preserve">Pre-Funded Advance Recycling Fee (ARF): </w:t>
      </w:r>
      <w:r>
        <w:rPr>
          <w:rFonts w:ascii="Calibri" w:hAnsi="Calibri"/>
          <w:color w:val="222222"/>
          <w:sz w:val="22"/>
        </w:rPr>
        <w:t>Consumers pay an explicit, standardized fee included in the retail price of new electronics. Funds are managed in dedicated, audited non-profit pools by Swico and SENS.</w:t>
      </w:r>
    </w:p>
    <w:p w14:paraId="6832410C">
      <w:pPr>
        <w:pStyle w:val="23"/>
        <w:spacing w:before="40" w:after="80" w:line="276" w:lineRule="auto"/>
      </w:pPr>
      <w:r>
        <w:rPr>
          <w:rFonts w:ascii="Calibri" w:hAnsi="Calibri"/>
          <w:b/>
          <w:color w:val="1B365D"/>
          <w:sz w:val="22"/>
        </w:rPr>
        <w:t xml:space="preserve">All-Inclusive Free Return: </w:t>
      </w:r>
      <w:r>
        <w:rPr>
          <w:rFonts w:ascii="Calibri" w:hAnsi="Calibri"/>
          <w:color w:val="222222"/>
          <w:sz w:val="22"/>
        </w:rPr>
        <w:t>Consumers can drop off WEEE free of charge at any electronics retailer selling similar goods, regardless of brand or original store of purchase, or at 600 official municipal collection points.</w:t>
      </w:r>
    </w:p>
    <w:p w14:paraId="13DCE55E">
      <w:pPr>
        <w:pStyle w:val="23"/>
        <w:spacing w:before="40" w:after="80" w:line="276" w:lineRule="auto"/>
      </w:pPr>
      <w:r>
        <w:rPr>
          <w:rFonts w:ascii="Calibri" w:hAnsi="Calibri"/>
          <w:b/>
          <w:color w:val="1B365D"/>
          <w:sz w:val="22"/>
        </w:rPr>
        <w:t xml:space="preserve">Rigorous Auditing &amp; Standards: </w:t>
      </w:r>
      <w:r>
        <w:rPr>
          <w:rFonts w:ascii="Calibri" w:hAnsi="Calibri"/>
          <w:color w:val="222222"/>
          <w:sz w:val="22"/>
        </w:rPr>
        <w:t>Independent technical audits (conducted by Empa and dss+) inspect 100% of licensed dismantling plants annually according to SN EN 50625 standards.</w:t>
      </w:r>
    </w:p>
    <w:p w14:paraId="58AE0639">
      <w:pPr>
        <w:pStyle w:val="3"/>
        <w:keepNext/>
        <w:spacing w:before="280" w:after="120"/>
      </w:pPr>
      <w:r>
        <w:rPr>
          <w:rFonts w:ascii="Calibri" w:hAnsi="Calibri"/>
          <w:b/>
          <w:color w:val="2E75B6"/>
          <w:sz w:val="28"/>
        </w:rPr>
        <w:t>4. Impact &amp; Results with Data Table</w:t>
      </w:r>
    </w:p>
    <w:p w14:paraId="10B18897">
      <w:pPr>
        <w:spacing w:before="0" w:after="120" w:line="276" w:lineRule="auto"/>
        <w:jc w:val="left"/>
      </w:pPr>
      <w:r>
        <w:rPr>
          <w:rFonts w:ascii="Calibri" w:hAnsi="Calibri"/>
          <w:i w:val="0"/>
          <w:color w:val="222222"/>
          <w:sz w:val="22"/>
        </w:rPr>
        <w:t>Switzerland consistently achieves a collection rate exceeding 16 kg per capita annually—more than four times the European Union's minimum statutory baseline. In 2025, combined processing volumes crossed 140,000 tonnes, generating significant environmental and resource recovery benefits.</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1872"/>
        <w:gridCol w:w="1872"/>
        <w:gridCol w:w="1872"/>
        <w:gridCol w:w="1872"/>
        <w:gridCol w:w="1872"/>
      </w:tblGrid>
      <w:tr w14:paraId="4978625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1B365D"/>
            <w:tcMar>
              <w:top w:w="120" w:type="dxa"/>
              <w:left w:w="150" w:type="dxa"/>
              <w:bottom w:w="120" w:type="dxa"/>
              <w:right w:w="150" w:type="dxa"/>
            </w:tcMar>
          </w:tcPr>
          <w:p w14:paraId="6D4B28EC">
            <w:pPr>
              <w:spacing w:before="0" w:after="0"/>
              <w:jc w:val="left"/>
            </w:pPr>
            <w:r>
              <w:rPr>
                <w:rFonts w:ascii="Calibri" w:hAnsi="Calibri"/>
                <w:b/>
                <w:color w:val="FFFFFF"/>
                <w:sz w:val="21"/>
              </w:rPr>
              <w:t>Organization / Metric</w:t>
            </w:r>
          </w:p>
        </w:tc>
        <w:tc>
          <w:tcPr>
            <w:tcW w:w="1872" w:type="dxa"/>
            <w:shd w:val="clear" w:color="auto" w:fill="1B365D"/>
            <w:tcMar>
              <w:top w:w="120" w:type="dxa"/>
              <w:left w:w="150" w:type="dxa"/>
              <w:bottom w:w="120" w:type="dxa"/>
              <w:right w:w="150" w:type="dxa"/>
            </w:tcMar>
          </w:tcPr>
          <w:p w14:paraId="32BF823F">
            <w:pPr>
              <w:spacing w:before="0" w:after="0"/>
              <w:jc w:val="left"/>
            </w:pPr>
            <w:r>
              <w:rPr>
                <w:rFonts w:ascii="Calibri" w:hAnsi="Calibri"/>
                <w:b/>
                <w:color w:val="FFFFFF"/>
                <w:sz w:val="21"/>
              </w:rPr>
              <w:t>Scope of Coverage</w:t>
            </w:r>
          </w:p>
        </w:tc>
        <w:tc>
          <w:tcPr>
            <w:tcW w:w="1728" w:type="dxa"/>
            <w:shd w:val="clear" w:color="auto" w:fill="1B365D"/>
            <w:tcMar>
              <w:top w:w="120" w:type="dxa"/>
              <w:left w:w="150" w:type="dxa"/>
              <w:bottom w:w="120" w:type="dxa"/>
              <w:right w:w="150" w:type="dxa"/>
            </w:tcMar>
          </w:tcPr>
          <w:p w14:paraId="14AA28AC">
            <w:pPr>
              <w:spacing w:before="0" w:after="0"/>
              <w:jc w:val="left"/>
            </w:pPr>
            <w:r>
              <w:rPr>
                <w:rFonts w:ascii="Calibri" w:hAnsi="Calibri"/>
                <w:b/>
                <w:color w:val="FFFFFF"/>
                <w:sz w:val="21"/>
              </w:rPr>
              <w:t>Annual Processing Volume (Tonnes)</w:t>
            </w:r>
          </w:p>
        </w:tc>
        <w:tc>
          <w:tcPr>
            <w:tcW w:w="1728" w:type="dxa"/>
            <w:shd w:val="clear" w:color="auto" w:fill="1B365D"/>
            <w:tcMar>
              <w:top w:w="120" w:type="dxa"/>
              <w:left w:w="150" w:type="dxa"/>
              <w:bottom w:w="120" w:type="dxa"/>
              <w:right w:w="150" w:type="dxa"/>
            </w:tcMar>
          </w:tcPr>
          <w:p w14:paraId="3BC0BA6A">
            <w:pPr>
              <w:spacing w:before="0" w:after="0"/>
              <w:jc w:val="left"/>
            </w:pPr>
            <w:r>
              <w:rPr>
                <w:rFonts w:ascii="Calibri" w:hAnsi="Calibri"/>
                <w:b/>
                <w:color w:val="FFFFFF"/>
                <w:sz w:val="21"/>
              </w:rPr>
              <w:t>Collection Network Points</w:t>
            </w:r>
          </w:p>
        </w:tc>
        <w:tc>
          <w:tcPr>
            <w:tcW w:w="1872" w:type="dxa"/>
            <w:shd w:val="clear" w:color="auto" w:fill="1B365D"/>
            <w:tcMar>
              <w:top w:w="120" w:type="dxa"/>
              <w:left w:w="150" w:type="dxa"/>
              <w:bottom w:w="120" w:type="dxa"/>
              <w:right w:w="150" w:type="dxa"/>
            </w:tcMar>
          </w:tcPr>
          <w:p w14:paraId="6588C0A5">
            <w:pPr>
              <w:spacing w:before="0" w:after="0"/>
              <w:jc w:val="left"/>
            </w:pPr>
            <w:r>
              <w:rPr>
                <w:rFonts w:ascii="Calibri" w:hAnsi="Calibri"/>
                <w:b/>
                <w:color w:val="FFFFFF"/>
                <w:sz w:val="21"/>
              </w:rPr>
              <w:t>Environmental Impact Avoided</w:t>
            </w:r>
          </w:p>
        </w:tc>
      </w:tr>
      <w:tr w14:paraId="4CD723A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1E981BAA">
            <w:pPr>
              <w:spacing w:before="0" w:after="0" w:line="276" w:lineRule="auto"/>
              <w:jc w:val="left"/>
            </w:pPr>
            <w:r>
              <w:rPr>
                <w:rFonts w:ascii="Calibri" w:hAnsi="Calibri"/>
                <w:color w:val="222222"/>
                <w:sz w:val="20"/>
              </w:rPr>
              <w:t>Swico Recycling</w:t>
            </w:r>
          </w:p>
        </w:tc>
        <w:tc>
          <w:tcPr>
            <w:tcW w:w="1872" w:type="dxa"/>
            <w:shd w:val="clear" w:color="auto" w:fill="FFFFFF"/>
            <w:tcMar>
              <w:top w:w="100" w:type="dxa"/>
              <w:left w:w="150" w:type="dxa"/>
              <w:bottom w:w="100" w:type="dxa"/>
              <w:right w:w="150" w:type="dxa"/>
            </w:tcMar>
          </w:tcPr>
          <w:p w14:paraId="08083CBF">
            <w:pPr>
              <w:spacing w:before="0" w:after="0" w:line="276" w:lineRule="auto"/>
              <w:jc w:val="left"/>
            </w:pPr>
            <w:r>
              <w:rPr>
                <w:rFonts w:ascii="Calibri" w:hAnsi="Calibri"/>
                <w:color w:val="222222"/>
                <w:sz w:val="20"/>
              </w:rPr>
              <w:t>IT, Telecom, Office, Consumer Electronics, Medical</w:t>
            </w:r>
          </w:p>
        </w:tc>
        <w:tc>
          <w:tcPr>
            <w:tcW w:w="1728" w:type="dxa"/>
            <w:shd w:val="clear" w:color="auto" w:fill="FFFFFF"/>
            <w:tcMar>
              <w:top w:w="100" w:type="dxa"/>
              <w:left w:w="150" w:type="dxa"/>
              <w:bottom w:w="100" w:type="dxa"/>
              <w:right w:w="150" w:type="dxa"/>
            </w:tcMar>
          </w:tcPr>
          <w:p w14:paraId="2E3B908A">
            <w:pPr>
              <w:spacing w:before="0" w:after="0" w:line="276" w:lineRule="auto"/>
              <w:jc w:val="left"/>
            </w:pPr>
            <w:r>
              <w:rPr>
                <w:rFonts w:ascii="Calibri" w:hAnsi="Calibri"/>
                <w:color w:val="222222"/>
                <w:sz w:val="20"/>
              </w:rPr>
              <w:t>40,000+ Tonnes</w:t>
            </w:r>
          </w:p>
        </w:tc>
        <w:tc>
          <w:tcPr>
            <w:tcW w:w="1728" w:type="dxa"/>
            <w:shd w:val="clear" w:color="auto" w:fill="FFFFFF"/>
            <w:tcMar>
              <w:top w:w="100" w:type="dxa"/>
              <w:left w:w="150" w:type="dxa"/>
              <w:bottom w:w="100" w:type="dxa"/>
              <w:right w:w="150" w:type="dxa"/>
            </w:tcMar>
          </w:tcPr>
          <w:p w14:paraId="1A49F670">
            <w:pPr>
              <w:spacing w:before="0" w:after="0" w:line="276" w:lineRule="auto"/>
              <w:jc w:val="left"/>
            </w:pPr>
            <w:r>
              <w:rPr>
                <w:rFonts w:ascii="Calibri" w:hAnsi="Calibri"/>
                <w:color w:val="222222"/>
                <w:sz w:val="20"/>
              </w:rPr>
              <w:t>600 Official Points / 7,000 Retailers</w:t>
            </w:r>
          </w:p>
        </w:tc>
        <w:tc>
          <w:tcPr>
            <w:tcW w:w="1872" w:type="dxa"/>
            <w:shd w:val="clear" w:color="auto" w:fill="FFFFFF"/>
            <w:tcMar>
              <w:top w:w="100" w:type="dxa"/>
              <w:left w:w="150" w:type="dxa"/>
              <w:bottom w:w="100" w:type="dxa"/>
              <w:right w:w="150" w:type="dxa"/>
            </w:tcMar>
          </w:tcPr>
          <w:p w14:paraId="78F3BC36">
            <w:pPr>
              <w:spacing w:before="0" w:after="0" w:line="276" w:lineRule="auto"/>
              <w:jc w:val="left"/>
            </w:pPr>
            <w:r>
              <w:rPr>
                <w:rFonts w:ascii="Calibri" w:hAnsi="Calibri"/>
                <w:color w:val="222222"/>
                <w:sz w:val="20"/>
              </w:rPr>
              <w:t>10 million devices processed/year</w:t>
            </w:r>
          </w:p>
        </w:tc>
      </w:tr>
      <w:tr w14:paraId="5EC5B5B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16C4DED0">
            <w:pPr>
              <w:spacing w:before="0" w:after="0" w:line="276" w:lineRule="auto"/>
              <w:jc w:val="left"/>
            </w:pPr>
            <w:r>
              <w:rPr>
                <w:rFonts w:ascii="Calibri" w:hAnsi="Calibri"/>
                <w:color w:val="222222"/>
                <w:sz w:val="20"/>
              </w:rPr>
              <w:t>SENS eRecycling</w:t>
            </w:r>
          </w:p>
        </w:tc>
        <w:tc>
          <w:tcPr>
            <w:tcW w:w="1872" w:type="dxa"/>
            <w:shd w:val="clear" w:color="auto" w:fill="F8F9FA"/>
            <w:tcMar>
              <w:top w:w="100" w:type="dxa"/>
              <w:left w:w="150" w:type="dxa"/>
              <w:bottom w:w="100" w:type="dxa"/>
              <w:right w:w="150" w:type="dxa"/>
            </w:tcMar>
          </w:tcPr>
          <w:p w14:paraId="52F3AF17">
            <w:pPr>
              <w:spacing w:before="0" w:after="0" w:line="276" w:lineRule="auto"/>
              <w:jc w:val="left"/>
            </w:pPr>
            <w:r>
              <w:rPr>
                <w:rFonts w:ascii="Calibri" w:hAnsi="Calibri"/>
                <w:color w:val="222222"/>
                <w:sz w:val="20"/>
              </w:rPr>
              <w:t>Major &amp; Small Household Appliances, Construction</w:t>
            </w:r>
          </w:p>
        </w:tc>
        <w:tc>
          <w:tcPr>
            <w:tcW w:w="1728" w:type="dxa"/>
            <w:shd w:val="clear" w:color="auto" w:fill="F8F9FA"/>
            <w:tcMar>
              <w:top w:w="100" w:type="dxa"/>
              <w:left w:w="150" w:type="dxa"/>
              <w:bottom w:w="100" w:type="dxa"/>
              <w:right w:w="150" w:type="dxa"/>
            </w:tcMar>
          </w:tcPr>
          <w:p w14:paraId="6C0B5AC8">
            <w:pPr>
              <w:spacing w:before="0" w:after="0" w:line="276" w:lineRule="auto"/>
              <w:jc w:val="left"/>
            </w:pPr>
            <w:r>
              <w:rPr>
                <w:rFonts w:ascii="Calibri" w:hAnsi="Calibri"/>
                <w:color w:val="222222"/>
                <w:sz w:val="20"/>
              </w:rPr>
              <w:t>100,000+ Tonnes</w:t>
            </w:r>
          </w:p>
        </w:tc>
        <w:tc>
          <w:tcPr>
            <w:tcW w:w="1728" w:type="dxa"/>
            <w:shd w:val="clear" w:color="auto" w:fill="F8F9FA"/>
            <w:tcMar>
              <w:top w:w="100" w:type="dxa"/>
              <w:left w:w="150" w:type="dxa"/>
              <w:bottom w:w="100" w:type="dxa"/>
              <w:right w:w="150" w:type="dxa"/>
            </w:tcMar>
          </w:tcPr>
          <w:p w14:paraId="0AD10320">
            <w:pPr>
              <w:spacing w:before="0" w:after="0" w:line="276" w:lineRule="auto"/>
              <w:jc w:val="left"/>
            </w:pPr>
            <w:r>
              <w:rPr>
                <w:rFonts w:ascii="Calibri" w:hAnsi="Calibri"/>
                <w:color w:val="222222"/>
                <w:sz w:val="20"/>
              </w:rPr>
              <w:t>1,200+ Municipal Drop-off Sites</w:t>
            </w:r>
          </w:p>
        </w:tc>
        <w:tc>
          <w:tcPr>
            <w:tcW w:w="1872" w:type="dxa"/>
            <w:shd w:val="clear" w:color="auto" w:fill="F8F9FA"/>
            <w:tcMar>
              <w:top w:w="100" w:type="dxa"/>
              <w:left w:w="150" w:type="dxa"/>
              <w:bottom w:w="100" w:type="dxa"/>
              <w:right w:w="150" w:type="dxa"/>
            </w:tcMar>
          </w:tcPr>
          <w:p w14:paraId="2590370E">
            <w:pPr>
              <w:spacing w:before="0" w:after="0" w:line="276" w:lineRule="auto"/>
              <w:jc w:val="left"/>
            </w:pPr>
            <w:r>
              <w:rPr>
                <w:rFonts w:ascii="Calibri" w:hAnsi="Calibri"/>
                <w:color w:val="222222"/>
                <w:sz w:val="20"/>
              </w:rPr>
              <w:t>Recovery of steel, Cu, and CFC removal</w:t>
            </w:r>
          </w:p>
        </w:tc>
      </w:tr>
      <w:tr w14:paraId="7B63DC2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42BA40F0">
            <w:pPr>
              <w:spacing w:before="0" w:after="0" w:line="276" w:lineRule="auto"/>
              <w:jc w:val="left"/>
            </w:pPr>
            <w:r>
              <w:rPr>
                <w:rFonts w:ascii="Calibri" w:hAnsi="Calibri"/>
                <w:color w:val="222222"/>
                <w:sz w:val="20"/>
              </w:rPr>
              <w:t>Combined System Total</w:t>
            </w:r>
          </w:p>
        </w:tc>
        <w:tc>
          <w:tcPr>
            <w:tcW w:w="1872" w:type="dxa"/>
            <w:shd w:val="clear" w:color="auto" w:fill="FFFFFF"/>
            <w:tcMar>
              <w:top w:w="100" w:type="dxa"/>
              <w:left w:w="150" w:type="dxa"/>
              <w:bottom w:w="100" w:type="dxa"/>
              <w:right w:w="150" w:type="dxa"/>
            </w:tcMar>
          </w:tcPr>
          <w:p w14:paraId="1C6350EF">
            <w:pPr>
              <w:spacing w:before="0" w:after="0" w:line="276" w:lineRule="auto"/>
              <w:jc w:val="left"/>
            </w:pPr>
            <w:r>
              <w:rPr>
                <w:rFonts w:ascii="Calibri" w:hAnsi="Calibri"/>
                <w:color w:val="222222"/>
                <w:sz w:val="20"/>
              </w:rPr>
              <w:t>100% Electrical &amp; Electronic Equipment (WEEE)</w:t>
            </w:r>
          </w:p>
        </w:tc>
        <w:tc>
          <w:tcPr>
            <w:tcW w:w="1728" w:type="dxa"/>
            <w:shd w:val="clear" w:color="auto" w:fill="FFFFFF"/>
            <w:tcMar>
              <w:top w:w="100" w:type="dxa"/>
              <w:left w:w="150" w:type="dxa"/>
              <w:bottom w:w="100" w:type="dxa"/>
              <w:right w:w="150" w:type="dxa"/>
            </w:tcMar>
          </w:tcPr>
          <w:p w14:paraId="5308739E">
            <w:pPr>
              <w:spacing w:before="0" w:after="0" w:line="276" w:lineRule="auto"/>
              <w:jc w:val="left"/>
            </w:pPr>
            <w:r>
              <w:rPr>
                <w:rFonts w:ascii="Calibri" w:hAnsi="Calibri"/>
                <w:color w:val="222222"/>
                <w:sz w:val="20"/>
              </w:rPr>
              <w:t>140,000+ Tonnes</w:t>
            </w:r>
          </w:p>
        </w:tc>
        <w:tc>
          <w:tcPr>
            <w:tcW w:w="1728" w:type="dxa"/>
            <w:shd w:val="clear" w:color="auto" w:fill="FFFFFF"/>
            <w:tcMar>
              <w:top w:w="100" w:type="dxa"/>
              <w:left w:w="150" w:type="dxa"/>
              <w:bottom w:w="100" w:type="dxa"/>
              <w:right w:w="150" w:type="dxa"/>
            </w:tcMar>
          </w:tcPr>
          <w:p w14:paraId="0CC181DF">
            <w:pPr>
              <w:spacing w:before="0" w:after="0" w:line="276" w:lineRule="auto"/>
              <w:jc w:val="left"/>
            </w:pPr>
            <w:r>
              <w:rPr>
                <w:rFonts w:ascii="Calibri" w:hAnsi="Calibri"/>
                <w:color w:val="222222"/>
                <w:sz w:val="20"/>
              </w:rPr>
              <w:t>7,600+ Total Take-back Locations</w:t>
            </w:r>
          </w:p>
        </w:tc>
        <w:tc>
          <w:tcPr>
            <w:tcW w:w="1872" w:type="dxa"/>
            <w:shd w:val="clear" w:color="auto" w:fill="FFFFFF"/>
            <w:tcMar>
              <w:top w:w="100" w:type="dxa"/>
              <w:left w:w="150" w:type="dxa"/>
              <w:bottom w:w="100" w:type="dxa"/>
              <w:right w:w="150" w:type="dxa"/>
            </w:tcMar>
          </w:tcPr>
          <w:p w14:paraId="3B130B84">
            <w:pPr>
              <w:spacing w:before="0" w:after="0" w:line="276" w:lineRule="auto"/>
              <w:jc w:val="left"/>
            </w:pPr>
            <w:r>
              <w:rPr>
                <w:rFonts w:ascii="Calibri" w:hAnsi="Calibri"/>
                <w:color w:val="222222"/>
                <w:sz w:val="20"/>
              </w:rPr>
              <w:t>236,600 Tonnes CO2eq reduced annually</w:t>
            </w:r>
          </w:p>
        </w:tc>
      </w:tr>
      <w:tr w14:paraId="357E806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2029D5B4">
            <w:pPr>
              <w:spacing w:before="0" w:after="0" w:line="276" w:lineRule="auto"/>
              <w:jc w:val="left"/>
            </w:pPr>
            <w:r>
              <w:rPr>
                <w:rFonts w:ascii="Calibri" w:hAnsi="Calibri"/>
                <w:color w:val="222222"/>
                <w:sz w:val="20"/>
              </w:rPr>
              <w:t>National Sector Size</w:t>
            </w:r>
          </w:p>
        </w:tc>
        <w:tc>
          <w:tcPr>
            <w:tcW w:w="1872" w:type="dxa"/>
            <w:shd w:val="clear" w:color="auto" w:fill="F8F9FA"/>
            <w:tcMar>
              <w:top w:w="100" w:type="dxa"/>
              <w:left w:w="150" w:type="dxa"/>
              <w:bottom w:w="100" w:type="dxa"/>
              <w:right w:w="150" w:type="dxa"/>
            </w:tcMar>
          </w:tcPr>
          <w:p w14:paraId="1ADACB6A">
            <w:pPr>
              <w:spacing w:before="0" w:after="0" w:line="276" w:lineRule="auto"/>
              <w:jc w:val="left"/>
            </w:pPr>
            <w:r>
              <w:rPr>
                <w:rFonts w:ascii="Calibri" w:hAnsi="Calibri"/>
                <w:color w:val="222222"/>
                <w:sz w:val="20"/>
              </w:rPr>
              <w:t>Commercial sector value CHF ~4.5 Billion</w:t>
            </w:r>
          </w:p>
        </w:tc>
        <w:tc>
          <w:tcPr>
            <w:tcW w:w="1728" w:type="dxa"/>
            <w:shd w:val="clear" w:color="auto" w:fill="F8F9FA"/>
            <w:tcMar>
              <w:top w:w="100" w:type="dxa"/>
              <w:left w:w="150" w:type="dxa"/>
              <w:bottom w:w="100" w:type="dxa"/>
              <w:right w:w="150" w:type="dxa"/>
            </w:tcMar>
          </w:tcPr>
          <w:p w14:paraId="7AD8ADED">
            <w:pPr>
              <w:spacing w:before="0" w:after="0" w:line="276" w:lineRule="auto"/>
              <w:jc w:val="left"/>
            </w:pPr>
            <w:r>
              <w:rPr>
                <w:rFonts w:ascii="Calibri" w:hAnsi="Calibri"/>
                <w:color w:val="222222"/>
                <w:sz w:val="20"/>
              </w:rPr>
              <w:t>6M Tonnes MSW total</w:t>
            </w:r>
          </w:p>
        </w:tc>
        <w:tc>
          <w:tcPr>
            <w:tcW w:w="1728" w:type="dxa"/>
            <w:shd w:val="clear" w:color="auto" w:fill="F8F9FA"/>
            <w:tcMar>
              <w:top w:w="100" w:type="dxa"/>
              <w:left w:w="150" w:type="dxa"/>
              <w:bottom w:w="100" w:type="dxa"/>
              <w:right w:w="150" w:type="dxa"/>
            </w:tcMar>
          </w:tcPr>
          <w:p w14:paraId="0BFCC56E">
            <w:pPr>
              <w:spacing w:before="0" w:after="0" w:line="276" w:lineRule="auto"/>
              <w:jc w:val="left"/>
            </w:pPr>
            <w:r>
              <w:rPr>
                <w:rFonts w:ascii="Calibri" w:hAnsi="Calibri"/>
                <w:color w:val="222222"/>
                <w:sz w:val="20"/>
              </w:rPr>
              <w:t>~2,000 active recycling firms</w:t>
            </w:r>
          </w:p>
        </w:tc>
        <w:tc>
          <w:tcPr>
            <w:tcW w:w="1872" w:type="dxa"/>
            <w:shd w:val="clear" w:color="auto" w:fill="F8F9FA"/>
            <w:tcMar>
              <w:top w:w="100" w:type="dxa"/>
              <w:left w:w="150" w:type="dxa"/>
              <w:bottom w:w="100" w:type="dxa"/>
              <w:right w:w="150" w:type="dxa"/>
            </w:tcMar>
          </w:tcPr>
          <w:p w14:paraId="2FE74837">
            <w:pPr>
              <w:spacing w:before="0" w:after="0" w:line="276" w:lineRule="auto"/>
              <w:jc w:val="left"/>
            </w:pPr>
            <w:r>
              <w:rPr>
                <w:rFonts w:ascii="Calibri" w:hAnsi="Calibri"/>
                <w:color w:val="222222"/>
                <w:sz w:val="20"/>
              </w:rPr>
              <w:t>1.4 Trillion Environmental Impact Points</w:t>
            </w:r>
          </w:p>
        </w:tc>
      </w:tr>
    </w:tbl>
    <w:p w14:paraId="585E7847">
      <w:pPr>
        <w:spacing w:before="0" w:after="160"/>
      </w:pPr>
    </w:p>
    <w:p w14:paraId="55E8586F">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37FD664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8F5E9"/>
            <w:tcMar>
              <w:top w:w="120" w:type="dxa"/>
              <w:left w:w="150" w:type="dxa"/>
              <w:bottom w:w="120" w:type="dxa"/>
              <w:right w:w="150" w:type="dxa"/>
            </w:tcMar>
          </w:tcPr>
          <w:p w14:paraId="4C98105B">
            <w:pPr>
              <w:spacing w:before="0" w:after="80"/>
            </w:pPr>
            <w:r>
              <w:rPr>
                <w:rFonts w:ascii="Calibri" w:hAnsi="Calibri"/>
                <w:b/>
                <w:color w:val="2E7D32"/>
                <w:sz w:val="22"/>
              </w:rPr>
              <w:t>💪 STRENGTHS (Internal)</w:t>
            </w:r>
          </w:p>
          <w:p w14:paraId="60E133FC">
            <w:pPr>
              <w:pStyle w:val="23"/>
              <w:spacing w:before="40" w:after="40" w:line="276" w:lineRule="auto"/>
            </w:pPr>
            <w:r>
              <w:rPr>
                <w:rFonts w:ascii="Calibri" w:hAnsi="Calibri"/>
                <w:color w:val="333333"/>
                <w:sz w:val="19"/>
              </w:rPr>
              <w:t>World-leading recovery rate (&gt;90% of WEEE collected)</w:t>
            </w:r>
          </w:p>
          <w:p w14:paraId="11678053">
            <w:pPr>
              <w:pStyle w:val="23"/>
              <w:spacing w:before="40" w:after="40" w:line="276" w:lineRule="auto"/>
            </w:pPr>
            <w:r>
              <w:rPr>
                <w:rFonts w:ascii="Calibri" w:hAnsi="Calibri"/>
                <w:color w:val="333333"/>
                <w:sz w:val="19"/>
              </w:rPr>
              <w:t>Pre-funded ARF eliminates consumer financial barrier at disposal</w:t>
            </w:r>
          </w:p>
          <w:p w14:paraId="0631552B">
            <w:pPr>
              <w:pStyle w:val="23"/>
              <w:spacing w:before="40" w:after="40" w:line="276" w:lineRule="auto"/>
            </w:pPr>
            <w:r>
              <w:rPr>
                <w:rFonts w:ascii="Calibri" w:hAnsi="Calibri"/>
                <w:color w:val="333333"/>
                <w:sz w:val="19"/>
              </w:rPr>
              <w:t>Strong independent technical auditing framework (Empa/SN EN 50625)</w:t>
            </w:r>
          </w:p>
          <w:p w14:paraId="54FB990E">
            <w:pPr>
              <w:pStyle w:val="23"/>
              <w:spacing w:before="40" w:after="40" w:line="276" w:lineRule="auto"/>
            </w:pPr>
            <w:r>
              <w:rPr>
                <w:rFonts w:ascii="Calibri" w:hAnsi="Calibri"/>
                <w:color w:val="333333"/>
                <w:sz w:val="19"/>
              </w:rPr>
              <w:t>Dense nationwide collection network (7,600+ points)</w:t>
            </w:r>
          </w:p>
        </w:tc>
        <w:tc>
          <w:tcPr>
            <w:tcW w:w="4680" w:type="dxa"/>
            <w:shd w:val="clear" w:color="auto" w:fill="FFEBEE"/>
            <w:tcMar>
              <w:top w:w="120" w:type="dxa"/>
              <w:left w:w="150" w:type="dxa"/>
              <w:bottom w:w="120" w:type="dxa"/>
              <w:right w:w="150" w:type="dxa"/>
            </w:tcMar>
          </w:tcPr>
          <w:p w14:paraId="50F27F93">
            <w:pPr>
              <w:spacing w:before="0" w:after="80"/>
            </w:pPr>
            <w:r>
              <w:rPr>
                <w:rFonts w:ascii="Calibri" w:hAnsi="Calibri"/>
                <w:b/>
                <w:color w:val="C62828"/>
                <w:sz w:val="22"/>
              </w:rPr>
              <w:t>⚠️ WEAKNESSES (Internal)</w:t>
            </w:r>
          </w:p>
          <w:p w14:paraId="73E101D6">
            <w:pPr>
              <w:pStyle w:val="23"/>
              <w:spacing w:before="40" w:after="40" w:line="276" w:lineRule="auto"/>
            </w:pPr>
            <w:r>
              <w:rPr>
                <w:rFonts w:ascii="Calibri" w:hAnsi="Calibri"/>
                <w:color w:val="333333"/>
                <w:sz w:val="19"/>
              </w:rPr>
              <w:t>High domestic labor and transportation operating costs</w:t>
            </w:r>
          </w:p>
          <w:p w14:paraId="560E372E">
            <w:pPr>
              <w:pStyle w:val="23"/>
              <w:spacing w:before="40" w:after="40" w:line="276" w:lineRule="auto"/>
            </w:pPr>
            <w:r>
              <w:rPr>
                <w:rFonts w:ascii="Calibri" w:hAnsi="Calibri"/>
                <w:color w:val="333333"/>
                <w:sz w:val="19"/>
              </w:rPr>
              <w:t>Recent margin compression due to complex miniaturized devices</w:t>
            </w:r>
          </w:p>
          <w:p w14:paraId="5293226A">
            <w:pPr>
              <w:pStyle w:val="23"/>
              <w:spacing w:before="40" w:after="40" w:line="276" w:lineRule="auto"/>
            </w:pPr>
            <w:r>
              <w:rPr>
                <w:rFonts w:ascii="Calibri" w:hAnsi="Calibri"/>
                <w:color w:val="333333"/>
                <w:sz w:val="19"/>
              </w:rPr>
              <w:t>Rising fire hazard management costs from lithium-ion batteries</w:t>
            </w:r>
          </w:p>
        </w:tc>
      </w:tr>
      <w:tr w14:paraId="172C3F6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219C29FB">
            <w:pPr>
              <w:spacing w:before="0" w:after="80"/>
            </w:pPr>
            <w:r>
              <w:rPr>
                <w:rFonts w:ascii="Calibri" w:hAnsi="Calibri"/>
                <w:b/>
                <w:color w:val="1565C0"/>
                <w:sz w:val="22"/>
              </w:rPr>
              <w:t>🚀 OPPORTUNITIES (External)</w:t>
            </w:r>
          </w:p>
          <w:p w14:paraId="37D82771">
            <w:pPr>
              <w:pStyle w:val="23"/>
              <w:spacing w:before="40" w:after="40" w:line="276" w:lineRule="auto"/>
            </w:pPr>
            <w:r>
              <w:rPr>
                <w:rFonts w:ascii="Calibri" w:hAnsi="Calibri"/>
                <w:color w:val="333333"/>
                <w:sz w:val="19"/>
              </w:rPr>
              <w:t>Urban mining of critical raw materials (Cobalt, Lithium, Rare Earths)</w:t>
            </w:r>
          </w:p>
          <w:p w14:paraId="1318C13A">
            <w:pPr>
              <w:pStyle w:val="23"/>
              <w:spacing w:before="40" w:after="40" w:line="276" w:lineRule="auto"/>
            </w:pPr>
            <w:r>
              <w:rPr>
                <w:rFonts w:ascii="Calibri" w:hAnsi="Calibri"/>
                <w:color w:val="333333"/>
                <w:sz w:val="19"/>
              </w:rPr>
              <w:t>Revision of EPA law expanding preparation for product re-use</w:t>
            </w:r>
          </w:p>
          <w:p w14:paraId="1BF5511C">
            <w:pPr>
              <w:pStyle w:val="23"/>
              <w:spacing w:before="40" w:after="40" w:line="276" w:lineRule="auto"/>
            </w:pPr>
            <w:r>
              <w:rPr>
                <w:rFonts w:ascii="Calibri" w:hAnsi="Calibri"/>
                <w:color w:val="333333"/>
                <w:sz w:val="19"/>
              </w:rPr>
              <w:t>Exporting specialized technical auditing expertise globally</w:t>
            </w:r>
          </w:p>
        </w:tc>
        <w:tc>
          <w:tcPr>
            <w:tcW w:w="4680" w:type="dxa"/>
            <w:shd w:val="clear" w:color="auto" w:fill="FFF3E0"/>
            <w:tcMar>
              <w:top w:w="120" w:type="dxa"/>
              <w:left w:w="150" w:type="dxa"/>
              <w:bottom w:w="120" w:type="dxa"/>
              <w:right w:w="150" w:type="dxa"/>
            </w:tcMar>
          </w:tcPr>
          <w:p w14:paraId="0AC662C3">
            <w:pPr>
              <w:spacing w:before="0" w:after="80"/>
            </w:pPr>
            <w:r>
              <w:rPr>
                <w:rFonts w:ascii="Calibri" w:hAnsi="Calibri"/>
                <w:b/>
                <w:color w:val="E65100"/>
                <w:sz w:val="22"/>
              </w:rPr>
              <w:t>⚡ THREATS (External)</w:t>
            </w:r>
          </w:p>
          <w:p w14:paraId="6EE524DF">
            <w:pPr>
              <w:pStyle w:val="23"/>
              <w:spacing w:before="40" w:after="40" w:line="276" w:lineRule="auto"/>
            </w:pPr>
            <w:r>
              <w:rPr>
                <w:rFonts w:ascii="Calibri" w:hAnsi="Calibri"/>
                <w:color w:val="333333"/>
                <w:sz w:val="19"/>
              </w:rPr>
              <w:t>Free-rider imports from cross-border online e-commerce platforms</w:t>
            </w:r>
          </w:p>
          <w:p w14:paraId="55E367D1">
            <w:pPr>
              <w:pStyle w:val="23"/>
              <w:spacing w:before="40" w:after="40" w:line="276" w:lineRule="auto"/>
            </w:pPr>
            <w:r>
              <w:rPr>
                <w:rFonts w:ascii="Calibri" w:hAnsi="Calibri"/>
                <w:color w:val="333333"/>
                <w:sz w:val="19"/>
              </w:rPr>
              <w:t>Declining scrap metal market values reducing recycler revenues</w:t>
            </w:r>
          </w:p>
          <w:p w14:paraId="0A94A7B0">
            <w:pPr>
              <w:pStyle w:val="23"/>
              <w:spacing w:before="40" w:after="40" w:line="276" w:lineRule="auto"/>
            </w:pPr>
            <w:r>
              <w:rPr>
                <w:rFonts w:ascii="Calibri" w:hAnsi="Calibri"/>
                <w:color w:val="333333"/>
                <w:sz w:val="19"/>
              </w:rPr>
              <w:t>Inflationary pressures driving ARF fee increases in 2026</w:t>
            </w:r>
          </w:p>
        </w:tc>
      </w:tr>
    </w:tbl>
    <w:p w14:paraId="25FB510C">
      <w:pPr>
        <w:spacing w:before="0" w:after="160"/>
      </w:pPr>
    </w:p>
    <w:p w14:paraId="32B6C969">
      <w:pPr>
        <w:pStyle w:val="3"/>
        <w:keepNext/>
        <w:spacing w:before="280" w:after="120"/>
      </w:pPr>
      <w:r>
        <w:rPr>
          <w:rFonts w:ascii="Calibri" w:hAnsi="Calibri"/>
          <w:b/>
          <w:color w:val="2E75B6"/>
          <w:sz w:val="28"/>
        </w:rPr>
        <w:t>6. Comparison with India</w:t>
      </w:r>
    </w:p>
    <w:p w14:paraId="6035170A">
      <w:pPr>
        <w:pStyle w:val="23"/>
        <w:spacing w:before="40" w:after="80" w:line="276" w:lineRule="auto"/>
      </w:pPr>
      <w:r>
        <w:rPr>
          <w:rFonts w:ascii="Calibri" w:hAnsi="Calibri"/>
          <w:b/>
          <w:color w:val="1B365D"/>
          <w:sz w:val="22"/>
        </w:rPr>
        <w:t xml:space="preserve">Financial Flow: </w:t>
      </w:r>
      <w:r>
        <w:rPr>
          <w:rFonts w:ascii="Calibri" w:hAnsi="Calibri"/>
          <w:color w:val="222222"/>
          <w:sz w:val="22"/>
        </w:rPr>
        <w:t>Switzerland uses an ARF built into the purchase price, creating a self-sustaining pool. India relies on post-consumer scrap sales, driving 90% of waste to informal recyclers.</w:t>
      </w:r>
    </w:p>
    <w:p w14:paraId="2280E5B1">
      <w:pPr>
        <w:pStyle w:val="23"/>
        <w:spacing w:before="40" w:after="80" w:line="276" w:lineRule="auto"/>
      </w:pPr>
      <w:r>
        <w:rPr>
          <w:rFonts w:ascii="Calibri" w:hAnsi="Calibri"/>
          <w:b/>
          <w:color w:val="1B365D"/>
          <w:sz w:val="22"/>
        </w:rPr>
        <w:t xml:space="preserve">Public Compliance: </w:t>
      </w:r>
      <w:r>
        <w:rPr>
          <w:rFonts w:ascii="Calibri" w:hAnsi="Calibri"/>
          <w:color w:val="222222"/>
          <w:sz w:val="22"/>
        </w:rPr>
        <w:t>Swiss citizens drop WEEE at retail outlets effortlessly. Indian consumers lack urban collection infrastructure, resulting in long-term household hoarding.</w:t>
      </w:r>
    </w:p>
    <w:p w14:paraId="71825BBC">
      <w:pPr>
        <w:pStyle w:val="23"/>
        <w:spacing w:before="40" w:after="80" w:line="276" w:lineRule="auto"/>
      </w:pPr>
      <w:r>
        <w:rPr>
          <w:rFonts w:ascii="Calibri" w:hAnsi="Calibri"/>
          <w:b/>
          <w:color w:val="1B365D"/>
          <w:sz w:val="22"/>
        </w:rPr>
        <w:t xml:space="preserve">Quality Control: </w:t>
      </w:r>
      <w:r>
        <w:rPr>
          <w:rFonts w:ascii="Calibri" w:hAnsi="Calibri"/>
          <w:color w:val="222222"/>
          <w:sz w:val="22"/>
        </w:rPr>
        <w:t>Switzerland mandates strict SN EN 50625 processing standards with Empa audits. India struggles with informal acid-stripping and open burning.</w:t>
      </w:r>
    </w:p>
    <w:p w14:paraId="1E5A6AF1">
      <w:pPr>
        <w:pStyle w:val="3"/>
        <w:keepNext/>
        <w:spacing w:before="280" w:after="120"/>
      </w:pPr>
      <w:r>
        <w:rPr>
          <w:rFonts w:ascii="Calibri" w:hAnsi="Calibri"/>
          <w:b/>
          <w:color w:val="2E75B6"/>
          <w:sz w:val="28"/>
        </w:rPr>
        <w:t>7. Recommendations for India</w:t>
      </w:r>
    </w:p>
    <w:p w14:paraId="5CA6CECC">
      <w:pPr>
        <w:pStyle w:val="23"/>
        <w:spacing w:before="40" w:after="80" w:line="276" w:lineRule="auto"/>
      </w:pPr>
      <w:r>
        <w:rPr>
          <w:rFonts w:ascii="Calibri" w:hAnsi="Calibri"/>
          <w:b/>
          <w:color w:val="1B365D"/>
          <w:sz w:val="22"/>
        </w:rPr>
        <w:t xml:space="preserve">Adopt Pre-Funded Retail ARF: </w:t>
      </w:r>
      <w:r>
        <w:rPr>
          <w:rFonts w:ascii="Calibri" w:hAnsi="Calibri"/>
          <w:color w:val="222222"/>
          <w:sz w:val="22"/>
        </w:rPr>
        <w:t>Introduce an Advance Recycling Fee on all high-volume electronics sold on Indian e-commerce platforms (Amazon, Flipkart).</w:t>
      </w:r>
    </w:p>
    <w:p w14:paraId="31B019F9">
      <w:pPr>
        <w:pStyle w:val="23"/>
        <w:spacing w:before="40" w:after="80" w:line="276" w:lineRule="auto"/>
      </w:pPr>
      <w:r>
        <w:rPr>
          <w:rFonts w:ascii="Calibri" w:hAnsi="Calibri"/>
          <w:b/>
          <w:color w:val="1B365D"/>
          <w:sz w:val="22"/>
        </w:rPr>
        <w:t xml:space="preserve">Mandate Free Retail Take-Back: </w:t>
      </w:r>
      <w:r>
        <w:rPr>
          <w:rFonts w:ascii="Calibri" w:hAnsi="Calibri"/>
          <w:color w:val="222222"/>
          <w:sz w:val="22"/>
        </w:rPr>
        <w:t>Enforce retail take-back rules requiring major electronic chains (Croma, Reliance Digital) to maintain WEEE drop bins.</w:t>
      </w:r>
    </w:p>
    <w:p w14:paraId="3BC7AD3C">
      <w:pPr>
        <w:pStyle w:val="23"/>
        <w:spacing w:before="40" w:after="80" w:line="276" w:lineRule="auto"/>
      </w:pPr>
      <w:r>
        <w:rPr>
          <w:rFonts w:ascii="Calibri" w:hAnsi="Calibri"/>
          <w:b/>
          <w:color w:val="1B365D"/>
          <w:sz w:val="22"/>
        </w:rPr>
        <w:t xml:space="preserve">Establish Independent Technical Auditing: </w:t>
      </w:r>
      <w:r>
        <w:rPr>
          <w:rFonts w:ascii="Calibri" w:hAnsi="Calibri"/>
          <w:color w:val="222222"/>
          <w:sz w:val="22"/>
        </w:rPr>
        <w:t>Empower institutions like CSIR-NEERI or IITs to perform mandatory annual audits of registered recyclers.</w:t>
      </w:r>
    </w:p>
    <w:p w14:paraId="1EB6C307">
      <w:pPr>
        <w:pStyle w:val="3"/>
        <w:keepNext/>
        <w:spacing w:before="280" w:after="120"/>
      </w:pPr>
      <w:r>
        <w:rPr>
          <w:rFonts w:ascii="Calibri" w:hAnsi="Calibri"/>
          <w:b/>
          <w:color w:val="2E75B6"/>
          <w:sz w:val="28"/>
        </w:rPr>
        <w:t>8. Conclusion</w:t>
      </w:r>
    </w:p>
    <w:p w14:paraId="1323B4A1">
      <w:pPr>
        <w:spacing w:before="0" w:after="120" w:line="276" w:lineRule="auto"/>
        <w:jc w:val="left"/>
      </w:pPr>
      <w:r>
        <w:rPr>
          <w:rFonts w:ascii="Calibri" w:hAnsi="Calibri"/>
          <w:i w:val="0"/>
          <w:color w:val="222222"/>
          <w:sz w:val="22"/>
        </w:rPr>
        <w:t>Switzerland proves that e-waste management can achieve near-total resource circularity when supported by pre-funded economic mechanisms, non-profit PRO management, and independent scientific quality control.</w:t>
      </w:r>
    </w:p>
    <w:p w14:paraId="458E5BCE">
      <w:pPr>
        <w:pStyle w:val="3"/>
        <w:keepNext/>
        <w:spacing w:before="280" w:after="120"/>
      </w:pPr>
      <w:r>
        <w:rPr>
          <w:rFonts w:ascii="Calibri" w:hAnsi="Calibri"/>
          <w:b/>
          <w:color w:val="2E75B6"/>
          <w:sz w:val="28"/>
        </w:rPr>
        <w:t>9. References</w:t>
      </w:r>
    </w:p>
    <w:p w14:paraId="3405A78B">
      <w:pPr>
        <w:pStyle w:val="23"/>
        <w:spacing w:before="40" w:after="80" w:line="276" w:lineRule="auto"/>
      </w:pPr>
      <w:r>
        <w:rPr>
          <w:rFonts w:ascii="Calibri" w:hAnsi="Calibri"/>
          <w:b/>
          <w:color w:val="1B365D"/>
          <w:sz w:val="22"/>
        </w:rPr>
        <w:t xml:space="preserve">Swico &amp; SENS eRecycling. </w:t>
      </w:r>
      <w:r>
        <w:rPr>
          <w:rFonts w:ascii="Calibri" w:hAnsi="Calibri"/>
          <w:color w:val="222222"/>
          <w:sz w:val="22"/>
        </w:rPr>
        <w:t>'Joint Technical &amp; Sustainability Report 2025/2026.' Zurich, 2026.</w:t>
      </w:r>
    </w:p>
    <w:p w14:paraId="1C5D4620">
      <w:pPr>
        <w:pStyle w:val="23"/>
        <w:spacing w:before="40" w:after="80" w:line="276" w:lineRule="auto"/>
      </w:pPr>
      <w:r>
        <w:rPr>
          <w:rFonts w:ascii="Calibri" w:hAnsi="Calibri"/>
          <w:b/>
          <w:color w:val="1B365D"/>
          <w:sz w:val="22"/>
        </w:rPr>
        <w:t xml:space="preserve">ETH Zurich / CSS. </w:t>
      </w:r>
      <w:r>
        <w:rPr>
          <w:rFonts w:ascii="Calibri" w:hAnsi="Calibri"/>
          <w:color w:val="222222"/>
          <w:sz w:val="22"/>
        </w:rPr>
        <w:t>'Mind the E-Waste: Urban Mining Case for Switzerland.' Policy Perspectives, 2023.</w:t>
      </w:r>
    </w:p>
    <w:p w14:paraId="61278A3D">
      <w:pPr>
        <w:pStyle w:val="23"/>
        <w:spacing w:before="40" w:after="80" w:line="276" w:lineRule="auto"/>
      </w:pPr>
      <w:r>
        <w:rPr>
          <w:rFonts w:ascii="Calibri" w:hAnsi="Calibri"/>
          <w:b/>
          <w:color w:val="1B365D"/>
          <w:sz w:val="22"/>
        </w:rPr>
        <w:t xml:space="preserve">Swiss Federal Office for the Environment (FOEN). </w:t>
      </w:r>
      <w:r>
        <w:rPr>
          <w:rFonts w:ascii="Calibri" w:hAnsi="Calibri"/>
          <w:color w:val="222222"/>
          <w:sz w:val="22"/>
        </w:rPr>
        <w:t>'Ordinance on the Return, Taking Back and Disposal of Electrical Equipment (ORDEE).' Bern.</w:t>
      </w:r>
    </w:p>
    <w:p w14:paraId="5FE6D28B">
      <w:r>
        <w:br w:type="page"/>
      </w:r>
    </w:p>
    <w:p w14:paraId="1195B8CF">
      <w:pPr>
        <w:pStyle w:val="3"/>
        <w:keepNext/>
        <w:spacing w:before="280" w:after="120"/>
      </w:pPr>
      <w:r>
        <w:rPr>
          <w:rFonts w:ascii="Calibri" w:hAnsi="Calibri"/>
          <w:b/>
          <w:color w:val="2E75B6"/>
          <w:sz w:val="28"/>
        </w:rPr>
        <w:t>11. One-Page Exam Revision Sheet — Topic 2</w:t>
      </w:r>
    </w:p>
    <w:tbl>
      <w:tblPr>
        <w:tblStyle w:val="12"/>
        <w:tblW w:w="0" w:type="auto"/>
        <w:jc w:val="center"/>
        <w:tblLayout w:type="fixed"/>
        <w:tblCellMar>
          <w:top w:w="0" w:type="dxa"/>
          <w:left w:w="108" w:type="dxa"/>
          <w:bottom w:w="0" w:type="dxa"/>
          <w:right w:w="108" w:type="dxa"/>
        </w:tblCellMar>
      </w:tblPr>
      <w:tblGrid>
        <w:gridCol w:w="9360"/>
      </w:tblGrid>
      <w:tr w14:paraId="3A9D6996">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268A138A">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Switzerland's E-Waste Success Story.</w:t>
            </w:r>
          </w:p>
        </w:tc>
      </w:tr>
    </w:tbl>
    <w:p w14:paraId="489D7874">
      <w:pPr>
        <w:spacing w:before="0" w:after="120"/>
      </w:pPr>
    </w:p>
    <w:p w14:paraId="34F0CC8A">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Switzerland pioneered global e-waste management under ORDEE rules, achieving &gt;90% recovery via Swico and SENS PROs financed by an Advance Recycling Fee (ARF) integrated into retail product prices.</w:t>
      </w:r>
    </w:p>
    <w:p w14:paraId="4B82AC51">
      <w:pPr>
        <w:pStyle w:val="4"/>
        <w:keepNext/>
        <w:spacing w:before="200" w:after="80"/>
      </w:pPr>
      <w:r>
        <w:rPr>
          <w:rFonts w:ascii="Calibri" w:hAnsi="Calibri"/>
          <w:b/>
          <w:color w:val="333333"/>
          <w:sz w:val="24"/>
        </w:rPr>
        <w:t>Key Statistics &amp; Data Points for High-Scoring Answers:</w:t>
      </w:r>
    </w:p>
    <w:p w14:paraId="7E997D25">
      <w:pPr>
        <w:pStyle w:val="23"/>
        <w:spacing w:before="40" w:after="80" w:line="276" w:lineRule="auto"/>
      </w:pPr>
      <w:r>
        <w:rPr>
          <w:rFonts w:ascii="Calibri" w:hAnsi="Calibri"/>
          <w:b/>
          <w:color w:val="1B365D"/>
          <w:sz w:val="22"/>
        </w:rPr>
        <w:t xml:space="preserve">Collection Volume: </w:t>
      </w:r>
      <w:r>
        <w:rPr>
          <w:rFonts w:ascii="Calibri" w:hAnsi="Calibri"/>
          <w:color w:val="222222"/>
          <w:sz w:val="22"/>
        </w:rPr>
        <w:t>140,000+ Tonnes WEEE processed annually (&gt;16 kg/capita)</w:t>
      </w:r>
    </w:p>
    <w:p w14:paraId="7C8C37FA">
      <w:pPr>
        <w:pStyle w:val="23"/>
        <w:spacing w:before="40" w:after="80" w:line="276" w:lineRule="auto"/>
      </w:pPr>
      <w:r>
        <w:rPr>
          <w:rFonts w:ascii="Calibri" w:hAnsi="Calibri"/>
          <w:b/>
          <w:color w:val="1B365D"/>
          <w:sz w:val="22"/>
        </w:rPr>
        <w:t xml:space="preserve">Recovery Efficiency: </w:t>
      </w:r>
      <w:r>
        <w:rPr>
          <w:rFonts w:ascii="Calibri" w:hAnsi="Calibri"/>
          <w:color w:val="222222"/>
          <w:sz w:val="22"/>
        </w:rPr>
        <w:t>&gt;90% WEEE recovery rate; 236,600 tonnes CO2eq avoided</w:t>
      </w:r>
    </w:p>
    <w:p w14:paraId="65E9650C">
      <w:pPr>
        <w:pStyle w:val="23"/>
        <w:spacing w:before="40" w:after="80" w:line="276" w:lineRule="auto"/>
      </w:pPr>
      <w:r>
        <w:rPr>
          <w:rFonts w:ascii="Calibri" w:hAnsi="Calibri"/>
          <w:b/>
          <w:color w:val="1B365D"/>
          <w:sz w:val="22"/>
        </w:rPr>
        <w:t xml:space="preserve">Collection Network: </w:t>
      </w:r>
      <w:r>
        <w:rPr>
          <w:rFonts w:ascii="Calibri" w:hAnsi="Calibri"/>
          <w:color w:val="222222"/>
          <w:sz w:val="22"/>
        </w:rPr>
        <w:t>600 official municipal collection points + 7,000 retail take-back stations</w:t>
      </w:r>
    </w:p>
    <w:p w14:paraId="4EC1BBF9">
      <w:pPr>
        <w:pStyle w:val="23"/>
        <w:spacing w:before="40" w:after="80" w:line="276" w:lineRule="auto"/>
      </w:pPr>
      <w:r>
        <w:rPr>
          <w:rFonts w:ascii="Calibri" w:hAnsi="Calibri"/>
          <w:b/>
          <w:color w:val="1B365D"/>
          <w:sz w:val="22"/>
        </w:rPr>
        <w:t xml:space="preserve">Technical Audit Standard: </w:t>
      </w:r>
      <w:r>
        <w:rPr>
          <w:rFonts w:ascii="Calibri" w:hAnsi="Calibri"/>
          <w:color w:val="222222"/>
          <w:sz w:val="22"/>
        </w:rPr>
        <w:t>100% compliance with SN EN 50625 audited annually by Empa</w:t>
      </w:r>
    </w:p>
    <w:p w14:paraId="6BEA6B1E">
      <w:pPr>
        <w:pStyle w:val="4"/>
        <w:keepNext/>
        <w:spacing w:before="200" w:after="80"/>
      </w:pPr>
      <w:r>
        <w:rPr>
          <w:rFonts w:ascii="Calibri" w:hAnsi="Calibri"/>
          <w:b/>
          <w:color w:val="333333"/>
          <w:sz w:val="24"/>
        </w:rPr>
        <w:t>Statutory Frameworks &amp; Key Terminology:</w:t>
      </w:r>
    </w:p>
    <w:p w14:paraId="0442A99D">
      <w:pPr>
        <w:pStyle w:val="23"/>
        <w:spacing w:before="40" w:after="80" w:line="276" w:lineRule="auto"/>
      </w:pPr>
      <w:r>
        <w:rPr>
          <w:rFonts w:ascii="Calibri" w:hAnsi="Calibri"/>
          <w:b/>
          <w:color w:val="1B365D"/>
          <w:sz w:val="22"/>
        </w:rPr>
        <w:t xml:space="preserve">ORDEE: </w:t>
      </w:r>
      <w:r>
        <w:rPr>
          <w:rFonts w:ascii="Calibri" w:hAnsi="Calibri"/>
          <w:color w:val="222222"/>
          <w:sz w:val="22"/>
        </w:rPr>
        <w:t>Ordinance on the Return, Taking Back and Disposal of Electrical Equipment (1998).</w:t>
      </w:r>
    </w:p>
    <w:p w14:paraId="69760C55">
      <w:pPr>
        <w:pStyle w:val="23"/>
        <w:spacing w:before="40" w:after="80" w:line="276" w:lineRule="auto"/>
      </w:pPr>
      <w:r>
        <w:rPr>
          <w:rFonts w:ascii="Calibri" w:hAnsi="Calibri"/>
          <w:b/>
          <w:color w:val="1B365D"/>
          <w:sz w:val="22"/>
        </w:rPr>
        <w:t xml:space="preserve">ARF / ARC: </w:t>
      </w:r>
      <w:r>
        <w:rPr>
          <w:rFonts w:ascii="Calibri" w:hAnsi="Calibri"/>
          <w:color w:val="222222"/>
          <w:sz w:val="22"/>
        </w:rPr>
        <w:t>Advance Recycling Fee / Contribution pre-funding end-of-life processing.</w:t>
      </w:r>
    </w:p>
    <w:p w14:paraId="292D8423">
      <w:pPr>
        <w:pStyle w:val="23"/>
        <w:spacing w:before="40" w:after="80" w:line="276" w:lineRule="auto"/>
      </w:pPr>
      <w:r>
        <w:rPr>
          <w:rFonts w:ascii="Calibri" w:hAnsi="Calibri"/>
          <w:b/>
          <w:color w:val="1B365D"/>
          <w:sz w:val="22"/>
        </w:rPr>
        <w:t xml:space="preserve">Swico &amp; SENS: </w:t>
      </w:r>
      <w:r>
        <w:rPr>
          <w:rFonts w:ascii="Calibri" w:hAnsi="Calibri"/>
          <w:color w:val="222222"/>
          <w:sz w:val="22"/>
        </w:rPr>
        <w:t>Dual non-profit PROs governing IT/Consumer Electronics and Home Appliances.</w:t>
      </w:r>
    </w:p>
    <w:p w14:paraId="7849E3E0">
      <w:pPr>
        <w:pStyle w:val="4"/>
        <w:keepNext/>
        <w:spacing w:before="200" w:after="80"/>
      </w:pPr>
      <w:r>
        <w:rPr>
          <w:rFonts w:ascii="Calibri" w:hAnsi="Calibri"/>
          <w:b/>
          <w:color w:val="333333"/>
          <w:sz w:val="24"/>
        </w:rPr>
        <w:t>Expected Exam Questions &amp; Analytical Points:</w:t>
      </w:r>
    </w:p>
    <w:p w14:paraId="44C3DE4A">
      <w:pPr>
        <w:spacing w:before="40" w:after="80" w:line="276" w:lineRule="auto"/>
        <w:jc w:val="left"/>
      </w:pPr>
      <w:r>
        <w:rPr>
          <w:rFonts w:ascii="Calibri" w:hAnsi="Calibri"/>
          <w:b/>
          <w:color w:val="1B365D"/>
          <w:sz w:val="22"/>
        </w:rPr>
        <w:t xml:space="preserve">Q1: </w:t>
      </w:r>
      <w:r>
        <w:rPr>
          <w:rFonts w:ascii="Calibri" w:hAnsi="Calibri"/>
          <w:i w:val="0"/>
          <w:color w:val="222222"/>
          <w:sz w:val="22"/>
        </w:rPr>
        <w:t>How does Switzerland's Advance Recycling Fee (ARF) mechanism ensure financial sustainability?</w:t>
      </w:r>
    </w:p>
    <w:p w14:paraId="668ABAF6">
      <w:pPr>
        <w:spacing w:before="40" w:after="80" w:line="276" w:lineRule="auto"/>
        <w:jc w:val="left"/>
      </w:pPr>
      <w:r>
        <w:rPr>
          <w:rFonts w:ascii="Calibri" w:hAnsi="Calibri"/>
          <w:b/>
          <w:color w:val="1B365D"/>
          <w:sz w:val="22"/>
        </w:rPr>
        <w:t xml:space="preserve">Q2: </w:t>
      </w:r>
      <w:r>
        <w:rPr>
          <w:rFonts w:ascii="Calibri" w:hAnsi="Calibri"/>
          <w:i w:val="0"/>
          <w:color w:val="222222"/>
          <w:sz w:val="22"/>
        </w:rPr>
        <w:t>Compare the operational roles of Swico and SENS in Swiss waste governance.</w:t>
      </w:r>
    </w:p>
    <w:p w14:paraId="3694CBAE">
      <w:pPr>
        <w:spacing w:before="40" w:after="80" w:line="276" w:lineRule="auto"/>
        <w:jc w:val="left"/>
      </w:pPr>
      <w:r>
        <w:rPr>
          <w:rFonts w:ascii="Calibri" w:hAnsi="Calibri"/>
          <w:b/>
          <w:color w:val="1B365D"/>
          <w:sz w:val="22"/>
        </w:rPr>
        <w:t xml:space="preserve">Q3: </w:t>
      </w:r>
      <w:r>
        <w:rPr>
          <w:rFonts w:ascii="Calibri" w:hAnsi="Calibri"/>
          <w:i w:val="0"/>
          <w:color w:val="222222"/>
          <w:sz w:val="22"/>
        </w:rPr>
        <w:t>What key lessons can India adopt from Switzerland's retail take-back and independent auditing framework?</w:t>
      </w:r>
    </w:p>
    <w:p w14:paraId="0B4D191A">
      <w:r>
        <w:br w:type="page"/>
      </w:r>
    </w:p>
    <w:p w14:paraId="0C65882B">
      <w:pPr>
        <w:pStyle w:val="2"/>
        <w:keepNext/>
        <w:spacing w:before="360" w:after="160"/>
      </w:pPr>
      <w:r>
        <w:rPr>
          <w:rFonts w:ascii="Calibri" w:hAnsi="Calibri"/>
          <w:b/>
          <w:color w:val="1B365D"/>
          <w:sz w:val="36"/>
        </w:rPr>
        <w:t>Topic 3: India's E-Waste Management Rules 2022</w:t>
      </w:r>
    </w:p>
    <w:p w14:paraId="1A5EBE95">
      <w:pPr>
        <w:pStyle w:val="3"/>
        <w:keepNext/>
        <w:spacing w:before="280" w:after="120"/>
      </w:pPr>
      <w:r>
        <w:rPr>
          <w:rFonts w:ascii="Calibri" w:hAnsi="Calibri"/>
          <w:b/>
          <w:color w:val="2E75B6"/>
          <w:sz w:val="28"/>
        </w:rPr>
        <w:t>1. Executive Summary</w:t>
      </w:r>
    </w:p>
    <w:p w14:paraId="718C8122">
      <w:pPr>
        <w:spacing w:before="0" w:after="120" w:line="276" w:lineRule="auto"/>
        <w:jc w:val="left"/>
      </w:pPr>
      <w:r>
        <w:rPr>
          <w:rFonts w:ascii="Calibri" w:hAnsi="Calibri"/>
          <w:i w:val="0"/>
          <w:color w:val="222222"/>
          <w:sz w:val="22"/>
        </w:rPr>
        <w:t>Notified by the Ministry of Environment, Forest and Climate Change (MoEFCC) on November 2, 2022, and effective from April 1, 2023, India's E-Waste (Management) Rules 2022 represent a major legislative overhaul replacing the earlier 2016 framework. The 2022 Rules expanded regulated equipment from 21 categories to 106 items across 7 broader categories, notably incorporating Solar Photovoltaic modules. The regulatory paradigm shifted from an authorization-based model managed by state bodies to a centralized, market-based Extended Producer Responsibility (EPR) digital portal run by the Central Pollution Control Board (CPCB). Under this regime, producers must meet escalating annual recycling targets (60% in 2023-24 to 80% by 2027-28) strictly by purchasing tradable EPR certificates generated by registered recyclers based on four end-product metrics (Gold, Copper, Aluminum, Iron).</w:t>
      </w:r>
    </w:p>
    <w:p w14:paraId="3BA34ED8">
      <w:pPr>
        <w:pStyle w:val="3"/>
        <w:keepNext/>
        <w:spacing w:before="280" w:after="120"/>
      </w:pPr>
      <w:r>
        <w:rPr>
          <w:rFonts w:ascii="Calibri" w:hAnsi="Calibri"/>
          <w:b/>
          <w:color w:val="2E75B6"/>
          <w:sz w:val="28"/>
        </w:rPr>
        <w:t>2. Background</w:t>
      </w:r>
    </w:p>
    <w:p w14:paraId="4ADC587C">
      <w:pPr>
        <w:spacing w:before="0" w:after="120" w:line="276" w:lineRule="auto"/>
        <w:jc w:val="left"/>
      </w:pPr>
      <w:r>
        <w:rPr>
          <w:rFonts w:ascii="Calibri" w:hAnsi="Calibri"/>
          <w:i w:val="0"/>
          <w:color w:val="222222"/>
          <w:sz w:val="22"/>
        </w:rPr>
        <w:t>India is the third-largest e-waste generator in the world, producing an estimated 1.6 to 1.7 million tonnes annually. Historically, over 90% of this waste flowed into the unorganized informal sector, characterized by hazardous open-acid stripping, crude PCB burning, and land dumping. Earlier regulatory attempts—the 2011 and 2016 E-Waste Rules—introduced Extended Producer Responsibility and Producer Responsibility Organizations (PROs). However, compliance suffered due to fragmented state-level authorizations, weak tracking of physical waste flows, and widespread paper compliance. To rectify these systemic flaws, the MoEFCC promulgated the 2022 Rules under the Environment (Protection) Act, 1986.</w:t>
      </w:r>
    </w:p>
    <w:p w14:paraId="0C232F00">
      <w:pPr>
        <w:pStyle w:val="3"/>
        <w:keepNext/>
        <w:spacing w:before="280" w:after="120"/>
      </w:pPr>
      <w:r>
        <w:rPr>
          <w:rFonts w:ascii="Calibri" w:hAnsi="Calibri"/>
          <w:b/>
          <w:color w:val="2E75B6"/>
          <w:sz w:val="28"/>
        </w:rPr>
        <w:t>3. Strategy / Initiative</w:t>
      </w:r>
    </w:p>
    <w:p w14:paraId="47BF07E4">
      <w:pPr>
        <w:spacing w:before="0" w:after="120" w:line="276" w:lineRule="auto"/>
        <w:jc w:val="left"/>
      </w:pPr>
      <w:r>
        <w:rPr>
          <w:rFonts w:ascii="Calibri" w:hAnsi="Calibri"/>
          <w:i w:val="0"/>
          <w:color w:val="222222"/>
          <w:sz w:val="22"/>
        </w:rPr>
        <w:t>The E-Waste Management Rules 2022 introduced four core strategic pillars:</w:t>
      </w:r>
    </w:p>
    <w:p w14:paraId="25C5214D">
      <w:pPr>
        <w:pStyle w:val="23"/>
        <w:spacing w:before="40" w:after="80" w:line="276" w:lineRule="auto"/>
      </w:pPr>
      <w:r>
        <w:rPr>
          <w:rFonts w:ascii="Calibri" w:hAnsi="Calibri"/>
          <w:b/>
          <w:color w:val="1B365D"/>
          <w:sz w:val="22"/>
        </w:rPr>
        <w:t xml:space="preserve">Centralized CPCB Digital Portal: </w:t>
      </w:r>
      <w:r>
        <w:rPr>
          <w:rFonts w:ascii="Calibri" w:hAnsi="Calibri"/>
          <w:color w:val="222222"/>
          <w:sz w:val="22"/>
        </w:rPr>
        <w:t>Mandatory online registration for all Producers, Manufacturers, Refurbishers, and Recyclers. Operating without portal registration is illegal.</w:t>
      </w:r>
    </w:p>
    <w:p w14:paraId="60D78FE2">
      <w:pPr>
        <w:pStyle w:val="23"/>
        <w:spacing w:before="40" w:after="80" w:line="276" w:lineRule="auto"/>
      </w:pPr>
      <w:r>
        <w:rPr>
          <w:rFonts w:ascii="Calibri" w:hAnsi="Calibri"/>
          <w:b/>
          <w:color w:val="1B365D"/>
          <w:sz w:val="22"/>
        </w:rPr>
        <w:t xml:space="preserve">Market-Based EPR Certificate Trading: </w:t>
      </w:r>
      <w:r>
        <w:rPr>
          <w:rFonts w:ascii="Calibri" w:hAnsi="Calibri"/>
          <w:color w:val="222222"/>
          <w:sz w:val="22"/>
        </w:rPr>
        <w:t>Producers fulfill targets by purchasing EPR certificates online from registered recyclers. Certificates are generated strictly in proportion to refined end-products recovered (Gold, Copper, Aluminum, Iron).</w:t>
      </w:r>
    </w:p>
    <w:p w14:paraId="6D5F909A">
      <w:pPr>
        <w:pStyle w:val="23"/>
        <w:spacing w:before="40" w:after="80" w:line="276" w:lineRule="auto"/>
      </w:pPr>
      <w:r>
        <w:rPr>
          <w:rFonts w:ascii="Calibri" w:hAnsi="Calibri"/>
          <w:b/>
          <w:color w:val="1B365D"/>
          <w:sz w:val="22"/>
        </w:rPr>
        <w:t xml:space="preserve">Escalating Statutory Recycling Targets: </w:t>
      </w:r>
      <w:r>
        <w:rPr>
          <w:rFonts w:ascii="Calibri" w:hAnsi="Calibri"/>
          <w:color w:val="222222"/>
          <w:sz w:val="22"/>
        </w:rPr>
        <w:t>Schedule III mandates recycling targets expressed as a percentage of sales volume: 60% for 2023-24 and 2024-25, 70% for 2025-26 and 2026-27, and 80% from 2027-28 onwards.</w:t>
      </w:r>
    </w:p>
    <w:p w14:paraId="686E60E8">
      <w:pPr>
        <w:pStyle w:val="23"/>
        <w:spacing w:before="40" w:after="80" w:line="276" w:lineRule="auto"/>
      </w:pPr>
      <w:r>
        <w:rPr>
          <w:rFonts w:ascii="Calibri" w:hAnsi="Calibri"/>
          <w:b/>
          <w:color w:val="1B365D"/>
          <w:sz w:val="22"/>
        </w:rPr>
        <w:t xml:space="preserve">Environmental Compensation (EC) Regime: </w:t>
      </w:r>
      <w:r>
        <w:rPr>
          <w:rFonts w:ascii="Calibri" w:hAnsi="Calibri"/>
          <w:color w:val="222222"/>
          <w:sz w:val="22"/>
        </w:rPr>
        <w:t>Non-compliant entities face non-refundable financial penalties (EC Regime 1 for target shortfalls and EC Regime 2 for illegal operations). Payment of EC does not waive the underlying recycling target.</w:t>
      </w:r>
    </w:p>
    <w:p w14:paraId="4E376B42">
      <w:pPr>
        <w:pStyle w:val="3"/>
        <w:keepNext/>
        <w:spacing w:before="280" w:after="120"/>
      </w:pPr>
      <w:r>
        <w:rPr>
          <w:rFonts w:ascii="Calibri" w:hAnsi="Calibri"/>
          <w:b/>
          <w:color w:val="2E75B6"/>
          <w:sz w:val="28"/>
        </w:rPr>
        <w:t>4. Impact &amp; Results with Data Table</w:t>
      </w:r>
    </w:p>
    <w:p w14:paraId="53290731">
      <w:pPr>
        <w:spacing w:before="0" w:after="120" w:line="276" w:lineRule="auto"/>
        <w:jc w:val="left"/>
      </w:pPr>
      <w:r>
        <w:rPr>
          <w:rFonts w:ascii="Calibri" w:hAnsi="Calibri"/>
          <w:i w:val="0"/>
          <w:color w:val="222222"/>
          <w:sz w:val="22"/>
        </w:rPr>
        <w:t>The 2022 Rules drastically elevated compliance monitoring by digitizing the entire certificate generation chain. Below is the statutory target trajectory and regulatory parameter comparison.</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340"/>
        <w:gridCol w:w="2340"/>
        <w:gridCol w:w="2340"/>
        <w:gridCol w:w="2340"/>
      </w:tblGrid>
      <w:tr w14:paraId="5D295A9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1B365D"/>
            <w:tcMar>
              <w:top w:w="120" w:type="dxa"/>
              <w:left w:w="150" w:type="dxa"/>
              <w:bottom w:w="120" w:type="dxa"/>
              <w:right w:w="150" w:type="dxa"/>
            </w:tcMar>
          </w:tcPr>
          <w:p w14:paraId="6AF21EBC">
            <w:pPr>
              <w:spacing w:before="0" w:after="0"/>
              <w:jc w:val="left"/>
            </w:pPr>
            <w:r>
              <w:rPr>
                <w:rFonts w:ascii="Calibri" w:hAnsi="Calibri"/>
                <w:b/>
                <w:color w:val="FFFFFF"/>
                <w:sz w:val="21"/>
              </w:rPr>
              <w:t>Regulatory Feature</w:t>
            </w:r>
          </w:p>
        </w:tc>
        <w:tc>
          <w:tcPr>
            <w:tcW w:w="2304" w:type="dxa"/>
            <w:shd w:val="clear" w:color="auto" w:fill="1B365D"/>
            <w:tcMar>
              <w:top w:w="120" w:type="dxa"/>
              <w:left w:w="150" w:type="dxa"/>
              <w:bottom w:w="120" w:type="dxa"/>
              <w:right w:w="150" w:type="dxa"/>
            </w:tcMar>
          </w:tcPr>
          <w:p w14:paraId="35D34C75">
            <w:pPr>
              <w:spacing w:before="0" w:after="0"/>
              <w:jc w:val="left"/>
            </w:pPr>
            <w:r>
              <w:rPr>
                <w:rFonts w:ascii="Calibri" w:hAnsi="Calibri"/>
                <w:b/>
                <w:color w:val="FFFFFF"/>
                <w:sz w:val="21"/>
              </w:rPr>
              <w:t>2016 E-Waste Rules Baseline</w:t>
            </w:r>
          </w:p>
        </w:tc>
        <w:tc>
          <w:tcPr>
            <w:tcW w:w="2592" w:type="dxa"/>
            <w:shd w:val="clear" w:color="auto" w:fill="1B365D"/>
            <w:tcMar>
              <w:top w:w="120" w:type="dxa"/>
              <w:left w:w="150" w:type="dxa"/>
              <w:bottom w:w="120" w:type="dxa"/>
              <w:right w:w="150" w:type="dxa"/>
            </w:tcMar>
          </w:tcPr>
          <w:p w14:paraId="37B48B73">
            <w:pPr>
              <w:spacing w:before="0" w:after="0"/>
              <w:jc w:val="left"/>
            </w:pPr>
            <w:r>
              <w:rPr>
                <w:rFonts w:ascii="Calibri" w:hAnsi="Calibri"/>
                <w:b/>
                <w:color w:val="FFFFFF"/>
                <w:sz w:val="21"/>
              </w:rPr>
              <w:t>2022 E-Waste Rules Framework</w:t>
            </w:r>
          </w:p>
        </w:tc>
        <w:tc>
          <w:tcPr>
            <w:tcW w:w="2304" w:type="dxa"/>
            <w:shd w:val="clear" w:color="auto" w:fill="1B365D"/>
            <w:tcMar>
              <w:top w:w="120" w:type="dxa"/>
              <w:left w:w="150" w:type="dxa"/>
              <w:bottom w:w="120" w:type="dxa"/>
              <w:right w:w="150" w:type="dxa"/>
            </w:tcMar>
          </w:tcPr>
          <w:p w14:paraId="37320576">
            <w:pPr>
              <w:spacing w:before="0" w:after="0"/>
              <w:jc w:val="left"/>
            </w:pPr>
            <w:r>
              <w:rPr>
                <w:rFonts w:ascii="Calibri" w:hAnsi="Calibri"/>
                <w:b/>
                <w:color w:val="FFFFFF"/>
                <w:sz w:val="21"/>
              </w:rPr>
              <w:t>Impact on Industry Compliance</w:t>
            </w:r>
          </w:p>
        </w:tc>
      </w:tr>
      <w:tr w14:paraId="048402A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675A3FD7">
            <w:pPr>
              <w:spacing w:before="0" w:after="0" w:line="276" w:lineRule="auto"/>
              <w:jc w:val="left"/>
            </w:pPr>
            <w:r>
              <w:rPr>
                <w:rFonts w:ascii="Calibri" w:hAnsi="Calibri"/>
                <w:color w:val="222222"/>
                <w:sz w:val="20"/>
              </w:rPr>
              <w:t>Regulated Categories</w:t>
            </w:r>
          </w:p>
        </w:tc>
        <w:tc>
          <w:tcPr>
            <w:tcW w:w="2304" w:type="dxa"/>
            <w:shd w:val="clear" w:color="auto" w:fill="FFFFFF"/>
            <w:tcMar>
              <w:top w:w="100" w:type="dxa"/>
              <w:left w:w="150" w:type="dxa"/>
              <w:bottom w:w="100" w:type="dxa"/>
              <w:right w:w="150" w:type="dxa"/>
            </w:tcMar>
          </w:tcPr>
          <w:p w14:paraId="4838CEC0">
            <w:pPr>
              <w:spacing w:before="0" w:after="0" w:line="276" w:lineRule="auto"/>
              <w:jc w:val="left"/>
            </w:pPr>
            <w:r>
              <w:rPr>
                <w:rFonts w:ascii="Calibri" w:hAnsi="Calibri"/>
                <w:color w:val="222222"/>
                <w:sz w:val="20"/>
              </w:rPr>
              <w:t>21 EEE items (mostly IT &amp; Consumer Durables)</w:t>
            </w:r>
          </w:p>
        </w:tc>
        <w:tc>
          <w:tcPr>
            <w:tcW w:w="2592" w:type="dxa"/>
            <w:shd w:val="clear" w:color="auto" w:fill="FFFFFF"/>
            <w:tcMar>
              <w:top w:w="100" w:type="dxa"/>
              <w:left w:w="150" w:type="dxa"/>
              <w:bottom w:w="100" w:type="dxa"/>
              <w:right w:w="150" w:type="dxa"/>
            </w:tcMar>
          </w:tcPr>
          <w:p w14:paraId="10A7AB90">
            <w:pPr>
              <w:spacing w:before="0" w:after="0" w:line="276" w:lineRule="auto"/>
              <w:jc w:val="left"/>
            </w:pPr>
            <w:r>
              <w:rPr>
                <w:rFonts w:ascii="Calibri" w:hAnsi="Calibri"/>
                <w:color w:val="222222"/>
                <w:sz w:val="20"/>
              </w:rPr>
              <w:t>106 EEE items across 7 categories + Solar PV panels</w:t>
            </w:r>
          </w:p>
        </w:tc>
        <w:tc>
          <w:tcPr>
            <w:tcW w:w="2304" w:type="dxa"/>
            <w:shd w:val="clear" w:color="auto" w:fill="FFFFFF"/>
            <w:tcMar>
              <w:top w:w="100" w:type="dxa"/>
              <w:left w:w="150" w:type="dxa"/>
              <w:bottom w:w="100" w:type="dxa"/>
              <w:right w:w="150" w:type="dxa"/>
            </w:tcMar>
          </w:tcPr>
          <w:p w14:paraId="7FFCDE21">
            <w:pPr>
              <w:spacing w:before="0" w:after="0" w:line="276" w:lineRule="auto"/>
              <w:jc w:val="left"/>
            </w:pPr>
            <w:r>
              <w:rPr>
                <w:rFonts w:ascii="Calibri" w:hAnsi="Calibri"/>
                <w:color w:val="222222"/>
                <w:sz w:val="20"/>
              </w:rPr>
              <w:t>Dramatically broadened producer coverage</w:t>
            </w:r>
          </w:p>
        </w:tc>
      </w:tr>
      <w:tr w14:paraId="59D2A08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61804D81">
            <w:pPr>
              <w:spacing w:before="0" w:after="0" w:line="276" w:lineRule="auto"/>
              <w:jc w:val="left"/>
            </w:pPr>
            <w:r>
              <w:rPr>
                <w:rFonts w:ascii="Calibri" w:hAnsi="Calibri"/>
                <w:color w:val="222222"/>
                <w:sz w:val="20"/>
              </w:rPr>
              <w:t>Governance Platform</w:t>
            </w:r>
          </w:p>
        </w:tc>
        <w:tc>
          <w:tcPr>
            <w:tcW w:w="2304" w:type="dxa"/>
            <w:shd w:val="clear" w:color="auto" w:fill="F8F9FA"/>
            <w:tcMar>
              <w:top w:w="100" w:type="dxa"/>
              <w:left w:w="150" w:type="dxa"/>
              <w:bottom w:w="100" w:type="dxa"/>
              <w:right w:w="150" w:type="dxa"/>
            </w:tcMar>
          </w:tcPr>
          <w:p w14:paraId="366CB48E">
            <w:pPr>
              <w:spacing w:before="0" w:after="0" w:line="276" w:lineRule="auto"/>
              <w:jc w:val="left"/>
            </w:pPr>
            <w:r>
              <w:rPr>
                <w:rFonts w:ascii="Calibri" w:hAnsi="Calibri"/>
                <w:color w:val="222222"/>
                <w:sz w:val="20"/>
              </w:rPr>
              <w:t>State Pollution Control Board (SPCB) Authorizations</w:t>
            </w:r>
          </w:p>
        </w:tc>
        <w:tc>
          <w:tcPr>
            <w:tcW w:w="2592" w:type="dxa"/>
            <w:shd w:val="clear" w:color="auto" w:fill="F8F9FA"/>
            <w:tcMar>
              <w:top w:w="100" w:type="dxa"/>
              <w:left w:w="150" w:type="dxa"/>
              <w:bottom w:w="100" w:type="dxa"/>
              <w:right w:w="150" w:type="dxa"/>
            </w:tcMar>
          </w:tcPr>
          <w:p w14:paraId="4B491D6D">
            <w:pPr>
              <w:spacing w:before="0" w:after="0" w:line="276" w:lineRule="auto"/>
              <w:jc w:val="left"/>
            </w:pPr>
            <w:r>
              <w:rPr>
                <w:rFonts w:ascii="Calibri" w:hAnsi="Calibri"/>
                <w:color w:val="222222"/>
                <w:sz w:val="20"/>
              </w:rPr>
              <w:t>Centralized CPCB Portal (single window registration)</w:t>
            </w:r>
          </w:p>
        </w:tc>
        <w:tc>
          <w:tcPr>
            <w:tcW w:w="2304" w:type="dxa"/>
            <w:shd w:val="clear" w:color="auto" w:fill="F8F9FA"/>
            <w:tcMar>
              <w:top w:w="100" w:type="dxa"/>
              <w:left w:w="150" w:type="dxa"/>
              <w:bottom w:w="100" w:type="dxa"/>
              <w:right w:w="150" w:type="dxa"/>
            </w:tcMar>
          </w:tcPr>
          <w:p w14:paraId="080A9A35">
            <w:pPr>
              <w:spacing w:before="0" w:after="0" w:line="276" w:lineRule="auto"/>
              <w:jc w:val="left"/>
            </w:pPr>
            <w:r>
              <w:rPr>
                <w:rFonts w:ascii="Calibri" w:hAnsi="Calibri"/>
                <w:color w:val="222222"/>
                <w:sz w:val="20"/>
              </w:rPr>
              <w:t>Eliminated state-level regulatory arbitrage</w:t>
            </w:r>
          </w:p>
        </w:tc>
      </w:tr>
      <w:tr w14:paraId="0EF7E01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34A35E53">
            <w:pPr>
              <w:spacing w:before="0" w:after="0" w:line="276" w:lineRule="auto"/>
              <w:jc w:val="left"/>
            </w:pPr>
            <w:r>
              <w:rPr>
                <w:rFonts w:ascii="Calibri" w:hAnsi="Calibri"/>
                <w:color w:val="222222"/>
                <w:sz w:val="20"/>
              </w:rPr>
              <w:t>Compliance Currency</w:t>
            </w:r>
          </w:p>
        </w:tc>
        <w:tc>
          <w:tcPr>
            <w:tcW w:w="2304" w:type="dxa"/>
            <w:shd w:val="clear" w:color="auto" w:fill="FFFFFF"/>
            <w:tcMar>
              <w:top w:w="100" w:type="dxa"/>
              <w:left w:w="150" w:type="dxa"/>
              <w:bottom w:w="100" w:type="dxa"/>
              <w:right w:w="150" w:type="dxa"/>
            </w:tcMar>
          </w:tcPr>
          <w:p w14:paraId="5094D321">
            <w:pPr>
              <w:spacing w:before="0" w:after="0" w:line="276" w:lineRule="auto"/>
              <w:jc w:val="left"/>
            </w:pPr>
            <w:r>
              <w:rPr>
                <w:rFonts w:ascii="Calibri" w:hAnsi="Calibri"/>
                <w:color w:val="222222"/>
                <w:sz w:val="20"/>
              </w:rPr>
              <w:t>PRO collection physical proof / returns</w:t>
            </w:r>
          </w:p>
        </w:tc>
        <w:tc>
          <w:tcPr>
            <w:tcW w:w="2592" w:type="dxa"/>
            <w:shd w:val="clear" w:color="auto" w:fill="FFFFFF"/>
            <w:tcMar>
              <w:top w:w="100" w:type="dxa"/>
              <w:left w:w="150" w:type="dxa"/>
              <w:bottom w:w="100" w:type="dxa"/>
              <w:right w:w="150" w:type="dxa"/>
            </w:tcMar>
          </w:tcPr>
          <w:p w14:paraId="60D0F1AC">
            <w:pPr>
              <w:spacing w:before="0" w:after="0" w:line="276" w:lineRule="auto"/>
              <w:jc w:val="left"/>
            </w:pPr>
            <w:r>
              <w:rPr>
                <w:rFonts w:ascii="Calibri" w:hAnsi="Calibri"/>
                <w:color w:val="222222"/>
                <w:sz w:val="20"/>
              </w:rPr>
              <w:t>Tradable EPR Certificates based on 4 refined metals</w:t>
            </w:r>
          </w:p>
        </w:tc>
        <w:tc>
          <w:tcPr>
            <w:tcW w:w="2304" w:type="dxa"/>
            <w:shd w:val="clear" w:color="auto" w:fill="FFFFFF"/>
            <w:tcMar>
              <w:top w:w="100" w:type="dxa"/>
              <w:left w:w="150" w:type="dxa"/>
              <w:bottom w:w="100" w:type="dxa"/>
              <w:right w:w="150" w:type="dxa"/>
            </w:tcMar>
          </w:tcPr>
          <w:p w14:paraId="5769881C">
            <w:pPr>
              <w:spacing w:before="0" w:after="0" w:line="276" w:lineRule="auto"/>
              <w:jc w:val="left"/>
            </w:pPr>
            <w:r>
              <w:rPr>
                <w:rFonts w:ascii="Calibri" w:hAnsi="Calibri"/>
                <w:color w:val="222222"/>
                <w:sz w:val="20"/>
              </w:rPr>
              <w:t>Created formal market price for e-waste certificates</w:t>
            </w:r>
          </w:p>
        </w:tc>
      </w:tr>
      <w:tr w14:paraId="1758985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75627C63">
            <w:pPr>
              <w:spacing w:before="0" w:after="0" w:line="276" w:lineRule="auto"/>
              <w:jc w:val="left"/>
            </w:pPr>
            <w:r>
              <w:rPr>
                <w:rFonts w:ascii="Calibri" w:hAnsi="Calibri"/>
                <w:color w:val="222222"/>
                <w:sz w:val="20"/>
              </w:rPr>
              <w:t>Recycling Target Trajectory</w:t>
            </w:r>
          </w:p>
        </w:tc>
        <w:tc>
          <w:tcPr>
            <w:tcW w:w="2304" w:type="dxa"/>
            <w:shd w:val="clear" w:color="auto" w:fill="F8F9FA"/>
            <w:tcMar>
              <w:top w:w="100" w:type="dxa"/>
              <w:left w:w="150" w:type="dxa"/>
              <w:bottom w:w="100" w:type="dxa"/>
              <w:right w:w="150" w:type="dxa"/>
            </w:tcMar>
          </w:tcPr>
          <w:p w14:paraId="378C95CE">
            <w:pPr>
              <w:spacing w:before="0" w:after="0" w:line="276" w:lineRule="auto"/>
              <w:jc w:val="left"/>
            </w:pPr>
            <w:r>
              <w:rPr>
                <w:rFonts w:ascii="Calibri" w:hAnsi="Calibri"/>
                <w:color w:val="222222"/>
                <w:sz w:val="20"/>
              </w:rPr>
              <w:t>10% scaling to 70% over 7 years</w:t>
            </w:r>
          </w:p>
        </w:tc>
        <w:tc>
          <w:tcPr>
            <w:tcW w:w="2592" w:type="dxa"/>
            <w:shd w:val="clear" w:color="auto" w:fill="F8F9FA"/>
            <w:tcMar>
              <w:top w:w="100" w:type="dxa"/>
              <w:left w:w="150" w:type="dxa"/>
              <w:bottom w:w="100" w:type="dxa"/>
              <w:right w:w="150" w:type="dxa"/>
            </w:tcMar>
          </w:tcPr>
          <w:p w14:paraId="113A541F">
            <w:pPr>
              <w:spacing w:before="0" w:after="0" w:line="276" w:lineRule="auto"/>
              <w:jc w:val="left"/>
            </w:pPr>
            <w:r>
              <w:rPr>
                <w:rFonts w:ascii="Calibri" w:hAnsi="Calibri"/>
                <w:color w:val="222222"/>
                <w:sz w:val="20"/>
              </w:rPr>
              <w:t>60% (2023-24), 70% (2025-26), 80% (2027-28+)</w:t>
            </w:r>
          </w:p>
        </w:tc>
        <w:tc>
          <w:tcPr>
            <w:tcW w:w="2304" w:type="dxa"/>
            <w:shd w:val="clear" w:color="auto" w:fill="F8F9FA"/>
            <w:tcMar>
              <w:top w:w="100" w:type="dxa"/>
              <w:left w:w="150" w:type="dxa"/>
              <w:bottom w:w="100" w:type="dxa"/>
              <w:right w:w="150" w:type="dxa"/>
            </w:tcMar>
          </w:tcPr>
          <w:p w14:paraId="6603DA3A">
            <w:pPr>
              <w:spacing w:before="0" w:after="0" w:line="276" w:lineRule="auto"/>
              <w:jc w:val="left"/>
            </w:pPr>
            <w:r>
              <w:rPr>
                <w:rFonts w:ascii="Calibri" w:hAnsi="Calibri"/>
                <w:color w:val="222222"/>
                <w:sz w:val="20"/>
              </w:rPr>
              <w:t>Accelerated target obligations for producers</w:t>
            </w:r>
          </w:p>
        </w:tc>
      </w:tr>
      <w:tr w14:paraId="4FAE67B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00CCDEF7">
            <w:pPr>
              <w:spacing w:before="0" w:after="0" w:line="276" w:lineRule="auto"/>
              <w:jc w:val="left"/>
            </w:pPr>
            <w:r>
              <w:rPr>
                <w:rFonts w:ascii="Calibri" w:hAnsi="Calibri"/>
                <w:color w:val="222222"/>
                <w:sz w:val="20"/>
              </w:rPr>
              <w:t>Penalty Mechanism</w:t>
            </w:r>
          </w:p>
        </w:tc>
        <w:tc>
          <w:tcPr>
            <w:tcW w:w="2304" w:type="dxa"/>
            <w:shd w:val="clear" w:color="auto" w:fill="FFFFFF"/>
            <w:tcMar>
              <w:top w:w="100" w:type="dxa"/>
              <w:left w:w="150" w:type="dxa"/>
              <w:bottom w:w="100" w:type="dxa"/>
              <w:right w:w="150" w:type="dxa"/>
            </w:tcMar>
          </w:tcPr>
          <w:p w14:paraId="60018313">
            <w:pPr>
              <w:spacing w:before="0" w:after="0" w:line="276" w:lineRule="auto"/>
              <w:jc w:val="left"/>
            </w:pPr>
            <w:r>
              <w:rPr>
                <w:rFonts w:ascii="Calibri" w:hAnsi="Calibri"/>
                <w:color w:val="222222"/>
                <w:sz w:val="20"/>
              </w:rPr>
              <w:t>Generic penal action under Section 15 EPA 1986</w:t>
            </w:r>
          </w:p>
        </w:tc>
        <w:tc>
          <w:tcPr>
            <w:tcW w:w="2592" w:type="dxa"/>
            <w:shd w:val="clear" w:color="auto" w:fill="FFFFFF"/>
            <w:tcMar>
              <w:top w:w="100" w:type="dxa"/>
              <w:left w:w="150" w:type="dxa"/>
              <w:bottom w:w="100" w:type="dxa"/>
              <w:right w:w="150" w:type="dxa"/>
            </w:tcMar>
          </w:tcPr>
          <w:p w14:paraId="1415B72B">
            <w:pPr>
              <w:spacing w:before="0" w:after="0" w:line="276" w:lineRule="auto"/>
              <w:jc w:val="left"/>
            </w:pPr>
            <w:r>
              <w:rPr>
                <w:rFonts w:ascii="Calibri" w:hAnsi="Calibri"/>
                <w:color w:val="222222"/>
                <w:sz w:val="20"/>
              </w:rPr>
              <w:t>Structured Environmental Compensation (EC Regimes 1 &amp; 2)</w:t>
            </w:r>
          </w:p>
        </w:tc>
        <w:tc>
          <w:tcPr>
            <w:tcW w:w="2304" w:type="dxa"/>
            <w:shd w:val="clear" w:color="auto" w:fill="FFFFFF"/>
            <w:tcMar>
              <w:top w:w="100" w:type="dxa"/>
              <w:left w:w="150" w:type="dxa"/>
              <w:bottom w:w="100" w:type="dxa"/>
              <w:right w:w="150" w:type="dxa"/>
            </w:tcMar>
          </w:tcPr>
          <w:p w14:paraId="47CB0B68">
            <w:pPr>
              <w:spacing w:before="0" w:after="0" w:line="276" w:lineRule="auto"/>
              <w:jc w:val="left"/>
            </w:pPr>
            <w:r>
              <w:rPr>
                <w:rFonts w:ascii="Calibri" w:hAnsi="Calibri"/>
                <w:color w:val="222222"/>
                <w:sz w:val="20"/>
              </w:rPr>
              <w:t>Imposed quantifiable financial liabilities</w:t>
            </w:r>
          </w:p>
        </w:tc>
      </w:tr>
    </w:tbl>
    <w:p w14:paraId="1A34273F">
      <w:pPr>
        <w:spacing w:before="0" w:after="160"/>
      </w:pPr>
    </w:p>
    <w:p w14:paraId="18B7AB48">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4168E9C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PrEx>
        <w:trPr>
          <w:jc w:val="center"/>
        </w:trPr>
        <w:tc>
          <w:tcPr>
            <w:tcW w:w="4680" w:type="dxa"/>
            <w:shd w:val="clear" w:color="auto" w:fill="E8F5E9"/>
            <w:tcMar>
              <w:top w:w="120" w:type="dxa"/>
              <w:left w:w="150" w:type="dxa"/>
              <w:bottom w:w="120" w:type="dxa"/>
              <w:right w:w="150" w:type="dxa"/>
            </w:tcMar>
          </w:tcPr>
          <w:p w14:paraId="1A2AE60B">
            <w:pPr>
              <w:spacing w:before="0" w:after="80"/>
            </w:pPr>
            <w:r>
              <w:rPr>
                <w:rFonts w:ascii="Calibri" w:hAnsi="Calibri"/>
                <w:b/>
                <w:color w:val="2E7D32"/>
                <w:sz w:val="22"/>
              </w:rPr>
              <w:t>💪 STRENGTHS (Internal)</w:t>
            </w:r>
          </w:p>
          <w:p w14:paraId="66504D25">
            <w:pPr>
              <w:pStyle w:val="23"/>
              <w:spacing w:before="40" w:after="40" w:line="276" w:lineRule="auto"/>
            </w:pPr>
            <w:r>
              <w:rPr>
                <w:rFonts w:ascii="Calibri" w:hAnsi="Calibri"/>
                <w:color w:val="333333"/>
                <w:sz w:val="19"/>
              </w:rPr>
              <w:t>Transparent digital tracking via centralized CPCB portal</w:t>
            </w:r>
          </w:p>
          <w:p w14:paraId="4E7B2F77">
            <w:pPr>
              <w:pStyle w:val="23"/>
              <w:spacing w:before="40" w:after="40" w:line="276" w:lineRule="auto"/>
            </w:pPr>
            <w:r>
              <w:rPr>
                <w:rFonts w:ascii="Calibri" w:hAnsi="Calibri"/>
                <w:color w:val="333333"/>
                <w:sz w:val="19"/>
              </w:rPr>
              <w:t>Objective certificate generation based on 4 end-product metals</w:t>
            </w:r>
          </w:p>
          <w:p w14:paraId="286A5B30">
            <w:pPr>
              <w:pStyle w:val="23"/>
              <w:spacing w:before="40" w:after="40" w:line="276" w:lineRule="auto"/>
            </w:pPr>
            <w:r>
              <w:rPr>
                <w:rFonts w:ascii="Calibri" w:hAnsi="Calibri"/>
                <w:color w:val="333333"/>
                <w:sz w:val="19"/>
              </w:rPr>
              <w:t>Expanded scope incorporating 106 EEE items and solar panels</w:t>
            </w:r>
          </w:p>
          <w:p w14:paraId="2E97D9C2">
            <w:pPr>
              <w:pStyle w:val="23"/>
              <w:spacing w:before="40" w:after="40" w:line="276" w:lineRule="auto"/>
            </w:pPr>
            <w:r>
              <w:rPr>
                <w:rFonts w:ascii="Calibri" w:hAnsi="Calibri"/>
                <w:color w:val="333333"/>
                <w:sz w:val="19"/>
              </w:rPr>
              <w:t>Strict financial penalties via Environmental Compensation</w:t>
            </w:r>
          </w:p>
        </w:tc>
        <w:tc>
          <w:tcPr>
            <w:tcW w:w="4680" w:type="dxa"/>
            <w:shd w:val="clear" w:color="auto" w:fill="FFEBEE"/>
            <w:tcMar>
              <w:top w:w="120" w:type="dxa"/>
              <w:left w:w="150" w:type="dxa"/>
              <w:bottom w:w="120" w:type="dxa"/>
              <w:right w:w="150" w:type="dxa"/>
            </w:tcMar>
          </w:tcPr>
          <w:p w14:paraId="29A5983A">
            <w:pPr>
              <w:spacing w:before="0" w:after="80"/>
            </w:pPr>
            <w:r>
              <w:rPr>
                <w:rFonts w:ascii="Calibri" w:hAnsi="Calibri"/>
                <w:b/>
                <w:color w:val="C62828"/>
                <w:sz w:val="22"/>
              </w:rPr>
              <w:t>⚠️ WEAKNESSES (Internal)</w:t>
            </w:r>
          </w:p>
          <w:p w14:paraId="45A683EA">
            <w:pPr>
              <w:pStyle w:val="23"/>
              <w:spacing w:before="40" w:after="40" w:line="276" w:lineRule="auto"/>
            </w:pPr>
            <w:r>
              <w:rPr>
                <w:rFonts w:ascii="Calibri" w:hAnsi="Calibri"/>
                <w:color w:val="333333"/>
                <w:sz w:val="19"/>
              </w:rPr>
              <w:t>Exclusion of PROs created transitional market confusion</w:t>
            </w:r>
          </w:p>
          <w:p w14:paraId="77CEF33D">
            <w:pPr>
              <w:pStyle w:val="23"/>
              <w:spacing w:before="40" w:after="40" w:line="276" w:lineRule="auto"/>
            </w:pPr>
            <w:r>
              <w:rPr>
                <w:rFonts w:ascii="Calibri" w:hAnsi="Calibri"/>
                <w:color w:val="333333"/>
                <w:sz w:val="19"/>
              </w:rPr>
              <w:t>Persistent lack of formal consumer collection infrastructure</w:t>
            </w:r>
          </w:p>
          <w:p w14:paraId="600C36F3">
            <w:pPr>
              <w:pStyle w:val="23"/>
              <w:spacing w:before="40" w:after="40" w:line="276" w:lineRule="auto"/>
            </w:pPr>
            <w:r>
              <w:rPr>
                <w:rFonts w:ascii="Calibri" w:hAnsi="Calibri"/>
                <w:color w:val="333333"/>
                <w:sz w:val="19"/>
              </w:rPr>
              <w:t>Risk of fraudulent certificate generation by rogue recyclers</w:t>
            </w:r>
          </w:p>
        </w:tc>
      </w:tr>
      <w:tr w14:paraId="0AFA63D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03FAE2A7">
            <w:pPr>
              <w:spacing w:before="0" w:after="80"/>
            </w:pPr>
            <w:r>
              <w:rPr>
                <w:rFonts w:ascii="Calibri" w:hAnsi="Calibri"/>
                <w:b/>
                <w:color w:val="1565C0"/>
                <w:sz w:val="22"/>
              </w:rPr>
              <w:t>🚀 OPPORTUNITIES (External)</w:t>
            </w:r>
          </w:p>
          <w:p w14:paraId="4A26BA2A">
            <w:pPr>
              <w:pStyle w:val="23"/>
              <w:spacing w:before="40" w:after="40" w:line="276" w:lineRule="auto"/>
            </w:pPr>
            <w:r>
              <w:rPr>
                <w:rFonts w:ascii="Calibri" w:hAnsi="Calibri"/>
                <w:color w:val="333333"/>
                <w:sz w:val="19"/>
              </w:rPr>
              <w:t>Formalization of informal waste channels via recycler tie-ups</w:t>
            </w:r>
          </w:p>
          <w:p w14:paraId="10F05050">
            <w:pPr>
              <w:pStyle w:val="23"/>
              <w:spacing w:before="40" w:after="40" w:line="276" w:lineRule="auto"/>
            </w:pPr>
            <w:r>
              <w:rPr>
                <w:rFonts w:ascii="Calibri" w:hAnsi="Calibri"/>
                <w:color w:val="333333"/>
                <w:sz w:val="19"/>
              </w:rPr>
              <w:t>Development of domestic secondary precious metal refining industry</w:t>
            </w:r>
          </w:p>
          <w:p w14:paraId="6E8617B8">
            <w:pPr>
              <w:pStyle w:val="23"/>
              <w:spacing w:before="40" w:after="40" w:line="276" w:lineRule="auto"/>
            </w:pPr>
            <w:r>
              <w:rPr>
                <w:rFonts w:ascii="Calibri" w:hAnsi="Calibri"/>
                <w:color w:val="333333"/>
                <w:sz w:val="19"/>
              </w:rPr>
              <w:t>Expansion of electronics refurbishing and circular economy jobs</w:t>
            </w:r>
          </w:p>
        </w:tc>
        <w:tc>
          <w:tcPr>
            <w:tcW w:w="4680" w:type="dxa"/>
            <w:shd w:val="clear" w:color="auto" w:fill="FFF3E0"/>
            <w:tcMar>
              <w:top w:w="120" w:type="dxa"/>
              <w:left w:w="150" w:type="dxa"/>
              <w:bottom w:w="120" w:type="dxa"/>
              <w:right w:w="150" w:type="dxa"/>
            </w:tcMar>
          </w:tcPr>
          <w:p w14:paraId="06A51FB8">
            <w:pPr>
              <w:spacing w:before="0" w:after="80"/>
            </w:pPr>
            <w:r>
              <w:rPr>
                <w:rFonts w:ascii="Calibri" w:hAnsi="Calibri"/>
                <w:b/>
                <w:color w:val="E65100"/>
                <w:sz w:val="22"/>
              </w:rPr>
              <w:t>⚡ THREATS (External)</w:t>
            </w:r>
          </w:p>
          <w:p w14:paraId="4AFC088D">
            <w:pPr>
              <w:pStyle w:val="23"/>
              <w:spacing w:before="40" w:after="40" w:line="276" w:lineRule="auto"/>
            </w:pPr>
            <w:r>
              <w:rPr>
                <w:rFonts w:ascii="Calibri" w:hAnsi="Calibri"/>
                <w:color w:val="333333"/>
                <w:sz w:val="19"/>
              </w:rPr>
              <w:t>Under-reporting of sales figures by non-compliant producers</w:t>
            </w:r>
          </w:p>
          <w:p w14:paraId="41CD6F2B">
            <w:pPr>
              <w:pStyle w:val="23"/>
              <w:spacing w:before="40" w:after="40" w:line="276" w:lineRule="auto"/>
            </w:pPr>
            <w:r>
              <w:rPr>
                <w:rFonts w:ascii="Calibri" w:hAnsi="Calibri"/>
                <w:color w:val="333333"/>
                <w:sz w:val="19"/>
              </w:rPr>
              <w:t>Cybersecurity vulnerabilities on the centralized CPCB digital portal</w:t>
            </w:r>
          </w:p>
          <w:p w14:paraId="608173E7">
            <w:pPr>
              <w:pStyle w:val="23"/>
              <w:spacing w:before="40" w:after="40" w:line="276" w:lineRule="auto"/>
            </w:pPr>
            <w:r>
              <w:rPr>
                <w:rFonts w:ascii="Calibri" w:hAnsi="Calibri"/>
                <w:color w:val="333333"/>
                <w:sz w:val="19"/>
              </w:rPr>
              <w:t>Legal disputes regarding Environmental Compensation assessments</w:t>
            </w:r>
          </w:p>
        </w:tc>
      </w:tr>
    </w:tbl>
    <w:p w14:paraId="1597A8C4">
      <w:pPr>
        <w:spacing w:before="0" w:after="160"/>
      </w:pPr>
    </w:p>
    <w:p w14:paraId="2717C367">
      <w:pPr>
        <w:pStyle w:val="3"/>
        <w:keepNext/>
        <w:spacing w:before="280" w:after="120"/>
      </w:pPr>
      <w:r>
        <w:rPr>
          <w:rFonts w:ascii="Calibri" w:hAnsi="Calibri"/>
          <w:b/>
          <w:color w:val="2E75B6"/>
          <w:sz w:val="28"/>
        </w:rPr>
        <w:t>6. Comparison with Global Models</w:t>
      </w:r>
    </w:p>
    <w:p w14:paraId="233FD6F2">
      <w:pPr>
        <w:pStyle w:val="23"/>
        <w:spacing w:before="40" w:after="80" w:line="276" w:lineRule="auto"/>
      </w:pPr>
      <w:r>
        <w:rPr>
          <w:rFonts w:ascii="Calibri" w:hAnsi="Calibri"/>
          <w:b/>
          <w:color w:val="1B365D"/>
          <w:sz w:val="22"/>
        </w:rPr>
        <w:t xml:space="preserve">Certificate Model vs Physical Flow: </w:t>
      </w:r>
      <w:r>
        <w:rPr>
          <w:rFonts w:ascii="Calibri" w:hAnsi="Calibri"/>
          <w:color w:val="222222"/>
          <w:sz w:val="22"/>
        </w:rPr>
        <w:t>India's 2022 model relies on market certificate trading similar to carbon credits. European and Swiss models enforce direct physical take-back compliance managed by non-profit PROs.</w:t>
      </w:r>
    </w:p>
    <w:p w14:paraId="7A067E31">
      <w:pPr>
        <w:pStyle w:val="23"/>
        <w:spacing w:before="40" w:after="80" w:line="276" w:lineRule="auto"/>
      </w:pPr>
      <w:r>
        <w:rPr>
          <w:rFonts w:ascii="Calibri" w:hAnsi="Calibri"/>
          <w:b/>
          <w:color w:val="1B365D"/>
          <w:sz w:val="22"/>
        </w:rPr>
        <w:t xml:space="preserve">End-Product Accounting: </w:t>
      </w:r>
      <w:r>
        <w:rPr>
          <w:rFonts w:ascii="Calibri" w:hAnsi="Calibri"/>
          <w:color w:val="222222"/>
          <w:sz w:val="22"/>
        </w:rPr>
        <w:t>India uniquely ties EPR certificate value to 4 extracted metals (Au, Cu, Al, Fe), incentivizing deep material recovery over superficial dismantling.</w:t>
      </w:r>
    </w:p>
    <w:p w14:paraId="0F5BC1DC">
      <w:pPr>
        <w:pStyle w:val="3"/>
        <w:keepNext/>
        <w:spacing w:before="280" w:after="120"/>
      </w:pPr>
      <w:r>
        <w:rPr>
          <w:rFonts w:ascii="Calibri" w:hAnsi="Calibri"/>
          <w:b/>
          <w:color w:val="2E75B6"/>
          <w:sz w:val="28"/>
        </w:rPr>
        <w:t>7. Recommendations</w:t>
      </w:r>
    </w:p>
    <w:p w14:paraId="1DE2F128">
      <w:pPr>
        <w:pStyle w:val="23"/>
        <w:spacing w:before="40" w:after="80" w:line="276" w:lineRule="auto"/>
      </w:pPr>
      <w:r>
        <w:rPr>
          <w:rFonts w:ascii="Calibri" w:hAnsi="Calibri"/>
          <w:b/>
          <w:color w:val="1B365D"/>
          <w:sz w:val="22"/>
        </w:rPr>
        <w:t xml:space="preserve">Mandate Third-Party Audits: </w:t>
      </w:r>
      <w:r>
        <w:rPr>
          <w:rFonts w:ascii="Calibri" w:hAnsi="Calibri"/>
          <w:color w:val="222222"/>
          <w:sz w:val="22"/>
        </w:rPr>
        <w:t>Perform random physical mass-balance verification audits on registered recyclers to prevent fake certificate generation.</w:t>
      </w:r>
    </w:p>
    <w:p w14:paraId="7C0EB02E">
      <w:pPr>
        <w:pStyle w:val="23"/>
        <w:spacing w:before="40" w:after="80" w:line="276" w:lineRule="auto"/>
      </w:pPr>
      <w:r>
        <w:rPr>
          <w:rFonts w:ascii="Calibri" w:hAnsi="Calibri"/>
          <w:b/>
          <w:color w:val="1B365D"/>
          <w:sz w:val="22"/>
        </w:rPr>
        <w:t xml:space="preserve">Integrate Refurbishing Certificates: </w:t>
      </w:r>
      <w:r>
        <w:rPr>
          <w:rFonts w:ascii="Calibri" w:hAnsi="Calibri"/>
          <w:color w:val="222222"/>
          <w:sz w:val="22"/>
        </w:rPr>
        <w:t>Actively incentivize electronics refurbishing to extend product lifespans before final recycling.</w:t>
      </w:r>
    </w:p>
    <w:p w14:paraId="03A0C24C">
      <w:pPr>
        <w:pStyle w:val="23"/>
        <w:spacing w:before="40" w:after="80" w:line="276" w:lineRule="auto"/>
      </w:pPr>
      <w:r>
        <w:rPr>
          <w:rFonts w:ascii="Calibri" w:hAnsi="Calibri"/>
          <w:b/>
          <w:color w:val="1B365D"/>
          <w:sz w:val="22"/>
        </w:rPr>
        <w:t xml:space="preserve">Incorporate Informal Scrap Pickers: </w:t>
      </w:r>
      <w:r>
        <w:rPr>
          <w:rFonts w:ascii="Calibri" w:hAnsi="Calibri"/>
          <w:color w:val="222222"/>
          <w:sz w:val="22"/>
        </w:rPr>
        <w:t>Create legal mechanisms allowing registered recyclers to aggregate raw waste from informal 'kabadiwalas'.</w:t>
      </w:r>
    </w:p>
    <w:p w14:paraId="1CF24854">
      <w:pPr>
        <w:pStyle w:val="3"/>
        <w:keepNext/>
        <w:spacing w:before="280" w:after="120"/>
      </w:pPr>
      <w:r>
        <w:rPr>
          <w:rFonts w:ascii="Calibri" w:hAnsi="Calibri"/>
          <w:b/>
          <w:color w:val="2E75B6"/>
          <w:sz w:val="28"/>
        </w:rPr>
        <w:t>8. Conclusion</w:t>
      </w:r>
    </w:p>
    <w:p w14:paraId="21504A56">
      <w:pPr>
        <w:spacing w:before="0" w:after="120" w:line="276" w:lineRule="auto"/>
        <w:jc w:val="left"/>
      </w:pPr>
      <w:r>
        <w:rPr>
          <w:rFonts w:ascii="Calibri" w:hAnsi="Calibri"/>
          <w:i w:val="0"/>
          <w:color w:val="222222"/>
          <w:sz w:val="22"/>
        </w:rPr>
        <w:t>The E-Waste Management Rules 2022 represent a pivotal transformation toward digital, market-driven environmental governance in India, establishing a firm statutory foundation for sustainable resource recovery.</w:t>
      </w:r>
    </w:p>
    <w:p w14:paraId="15C64CD5">
      <w:pPr>
        <w:pStyle w:val="3"/>
        <w:keepNext/>
        <w:spacing w:before="280" w:after="120"/>
      </w:pPr>
      <w:r>
        <w:rPr>
          <w:rFonts w:ascii="Calibri" w:hAnsi="Calibri"/>
          <w:b/>
          <w:color w:val="2E75B6"/>
          <w:sz w:val="28"/>
        </w:rPr>
        <w:t>9. References</w:t>
      </w:r>
    </w:p>
    <w:p w14:paraId="108EF84E">
      <w:pPr>
        <w:pStyle w:val="23"/>
        <w:spacing w:before="40" w:after="80" w:line="276" w:lineRule="auto"/>
      </w:pPr>
      <w:r>
        <w:rPr>
          <w:rFonts w:ascii="Calibri" w:hAnsi="Calibri"/>
          <w:b/>
          <w:color w:val="1B365D"/>
          <w:sz w:val="22"/>
        </w:rPr>
        <w:t xml:space="preserve">Ministry of Environment, Forest and Climate Change (MoEFCC). </w:t>
      </w:r>
      <w:r>
        <w:rPr>
          <w:rFonts w:ascii="Calibri" w:hAnsi="Calibri"/>
          <w:color w:val="222222"/>
          <w:sz w:val="22"/>
        </w:rPr>
        <w:t>'E-Waste (Management) Rules, 2022 Notification Gazette G.S.R. 801(E).' New Delhi, 2022.</w:t>
      </w:r>
    </w:p>
    <w:p w14:paraId="7EF07406">
      <w:pPr>
        <w:pStyle w:val="23"/>
        <w:spacing w:before="40" w:after="80" w:line="276" w:lineRule="auto"/>
      </w:pPr>
      <w:r>
        <w:rPr>
          <w:rFonts w:ascii="Calibri" w:hAnsi="Calibri"/>
          <w:b/>
          <w:color w:val="1B365D"/>
          <w:sz w:val="22"/>
        </w:rPr>
        <w:t xml:space="preserve">Central Pollution Control Board (CPCB). </w:t>
      </w:r>
      <w:r>
        <w:rPr>
          <w:rFonts w:ascii="Calibri" w:hAnsi="Calibri"/>
          <w:color w:val="222222"/>
          <w:sz w:val="22"/>
        </w:rPr>
        <w:t>'Guidelines on Environmental Compensation under E-Waste Rules 2022.' New Delhi, 2024.</w:t>
      </w:r>
    </w:p>
    <w:p w14:paraId="505BDDB2">
      <w:pPr>
        <w:pStyle w:val="23"/>
        <w:spacing w:before="40" w:after="80" w:line="276" w:lineRule="auto"/>
      </w:pPr>
      <w:r>
        <w:rPr>
          <w:rFonts w:ascii="Calibri" w:hAnsi="Calibri"/>
          <w:b/>
          <w:color w:val="1B365D"/>
          <w:sz w:val="22"/>
        </w:rPr>
        <w:t xml:space="preserve">Centre for Science and Environment (CSE). </w:t>
      </w:r>
      <w:r>
        <w:rPr>
          <w:rFonts w:ascii="Calibri" w:hAnsi="Calibri"/>
          <w:color w:val="222222"/>
          <w:sz w:val="22"/>
        </w:rPr>
        <w:t>'Analysis of India's New E-Waste Regime.' 2023.</w:t>
      </w:r>
    </w:p>
    <w:p w14:paraId="495A6557">
      <w:r>
        <w:br w:type="page"/>
      </w:r>
    </w:p>
    <w:p w14:paraId="5A61E204">
      <w:pPr>
        <w:pStyle w:val="3"/>
        <w:keepNext/>
        <w:spacing w:before="280" w:after="120"/>
      </w:pPr>
      <w:r>
        <w:rPr>
          <w:rFonts w:ascii="Calibri" w:hAnsi="Calibri"/>
          <w:b/>
          <w:color w:val="2E75B6"/>
          <w:sz w:val="28"/>
        </w:rPr>
        <w:t>11. One-Page Exam Revision Sheet — Topic 3</w:t>
      </w:r>
    </w:p>
    <w:tbl>
      <w:tblPr>
        <w:tblStyle w:val="12"/>
        <w:tblW w:w="0" w:type="auto"/>
        <w:jc w:val="center"/>
        <w:tblLayout w:type="fixed"/>
        <w:tblCellMar>
          <w:top w:w="0" w:type="dxa"/>
          <w:left w:w="108" w:type="dxa"/>
          <w:bottom w:w="0" w:type="dxa"/>
          <w:right w:w="108" w:type="dxa"/>
        </w:tblCellMar>
      </w:tblPr>
      <w:tblGrid>
        <w:gridCol w:w="9360"/>
      </w:tblGrid>
      <w:tr w14:paraId="3B979DD0">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614E55CC">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India's E-Waste Management Rules 2022.</w:t>
            </w:r>
          </w:p>
        </w:tc>
      </w:tr>
    </w:tbl>
    <w:p w14:paraId="2EF8A177">
      <w:pPr>
        <w:spacing w:before="0" w:after="120"/>
      </w:pPr>
    </w:p>
    <w:p w14:paraId="2B1CD67A">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India's 2022 Rules established a centralized CPCB digital portal, expanded coverage to 106 EEE items + solar panels, and enforced escalating EPR recycling targets (60%-80%) via tradable certificates.</w:t>
      </w:r>
    </w:p>
    <w:p w14:paraId="33AC34FD">
      <w:pPr>
        <w:pStyle w:val="4"/>
        <w:keepNext/>
        <w:spacing w:before="200" w:after="80"/>
      </w:pPr>
      <w:r>
        <w:rPr>
          <w:rFonts w:ascii="Calibri" w:hAnsi="Calibri"/>
          <w:b/>
          <w:color w:val="333333"/>
          <w:sz w:val="24"/>
        </w:rPr>
        <w:t>Key Statistics &amp; Data Points for High-Scoring Answers:</w:t>
      </w:r>
    </w:p>
    <w:p w14:paraId="2CB9E609">
      <w:pPr>
        <w:pStyle w:val="23"/>
        <w:spacing w:before="40" w:after="80" w:line="276" w:lineRule="auto"/>
      </w:pPr>
      <w:r>
        <w:rPr>
          <w:rFonts w:ascii="Calibri" w:hAnsi="Calibri"/>
          <w:b/>
          <w:color w:val="1B365D"/>
          <w:sz w:val="22"/>
        </w:rPr>
        <w:t xml:space="preserve">Enforcement Date: </w:t>
      </w:r>
      <w:r>
        <w:rPr>
          <w:rFonts w:ascii="Calibri" w:hAnsi="Calibri"/>
          <w:color w:val="222222"/>
          <w:sz w:val="22"/>
        </w:rPr>
        <w:t>April 1, 2023 (Notified Nov 2, 2022 under EPA 1986)</w:t>
      </w:r>
    </w:p>
    <w:p w14:paraId="768F90FC">
      <w:pPr>
        <w:pStyle w:val="23"/>
        <w:spacing w:before="40" w:after="80" w:line="276" w:lineRule="auto"/>
      </w:pPr>
      <w:r>
        <w:rPr>
          <w:rFonts w:ascii="Calibri" w:hAnsi="Calibri"/>
          <w:b/>
          <w:color w:val="1B365D"/>
          <w:sz w:val="22"/>
        </w:rPr>
        <w:t xml:space="preserve">Scope Expansion: </w:t>
      </w:r>
      <w:r>
        <w:rPr>
          <w:rFonts w:ascii="Calibri" w:hAnsi="Calibri"/>
          <w:color w:val="222222"/>
          <w:sz w:val="22"/>
        </w:rPr>
        <w:t>106 EEE items across 7 categories (up from 21 items in 2016)</w:t>
      </w:r>
    </w:p>
    <w:p w14:paraId="2AFAE9BF">
      <w:pPr>
        <w:pStyle w:val="23"/>
        <w:spacing w:before="40" w:after="80" w:line="276" w:lineRule="auto"/>
      </w:pPr>
      <w:r>
        <w:rPr>
          <w:rFonts w:ascii="Calibri" w:hAnsi="Calibri"/>
          <w:b/>
          <w:color w:val="1B365D"/>
          <w:sz w:val="22"/>
        </w:rPr>
        <w:t xml:space="preserve">Statutory Targets: </w:t>
      </w:r>
      <w:r>
        <w:rPr>
          <w:rFonts w:ascii="Calibri" w:hAnsi="Calibri"/>
          <w:color w:val="222222"/>
          <w:sz w:val="22"/>
        </w:rPr>
        <w:t>2023-25: 60% | 2025-27: 70% | 2027-28 onwards: 80%</w:t>
      </w:r>
    </w:p>
    <w:p w14:paraId="184893D6">
      <w:pPr>
        <w:pStyle w:val="23"/>
        <w:spacing w:before="40" w:after="80" w:line="276" w:lineRule="auto"/>
      </w:pPr>
      <w:r>
        <w:rPr>
          <w:rFonts w:ascii="Calibri" w:hAnsi="Calibri"/>
          <w:b/>
          <w:color w:val="1B365D"/>
          <w:sz w:val="22"/>
        </w:rPr>
        <w:t xml:space="preserve">Certificate Basis: </w:t>
      </w:r>
      <w:r>
        <w:rPr>
          <w:rFonts w:ascii="Calibri" w:hAnsi="Calibri"/>
          <w:color w:val="222222"/>
          <w:sz w:val="22"/>
        </w:rPr>
        <w:t>Generated on CPCB portal based on 4 end-product metals (Gold, Copper, Al, Iron)</w:t>
      </w:r>
    </w:p>
    <w:p w14:paraId="1756493B">
      <w:pPr>
        <w:pStyle w:val="4"/>
        <w:keepNext/>
        <w:spacing w:before="200" w:after="80"/>
      </w:pPr>
      <w:r>
        <w:rPr>
          <w:rFonts w:ascii="Calibri" w:hAnsi="Calibri"/>
          <w:b/>
          <w:color w:val="333333"/>
          <w:sz w:val="24"/>
        </w:rPr>
        <w:t>Statutory Frameworks &amp; Key Terminology:</w:t>
      </w:r>
    </w:p>
    <w:p w14:paraId="7F3A95A1">
      <w:pPr>
        <w:pStyle w:val="23"/>
        <w:spacing w:before="40" w:after="80" w:line="276" w:lineRule="auto"/>
      </w:pPr>
      <w:r>
        <w:rPr>
          <w:rFonts w:ascii="Calibri" w:hAnsi="Calibri"/>
          <w:b/>
          <w:color w:val="1B365D"/>
          <w:sz w:val="22"/>
        </w:rPr>
        <w:t xml:space="preserve">CPCB Portal: </w:t>
      </w:r>
      <w:r>
        <w:rPr>
          <w:rFonts w:ascii="Calibri" w:hAnsi="Calibri"/>
          <w:color w:val="222222"/>
          <w:sz w:val="22"/>
        </w:rPr>
        <w:t>Centralized digital registry for Producers, Manufacturers, Refurbishers, Recyclers.</w:t>
      </w:r>
    </w:p>
    <w:p w14:paraId="593F6F2B">
      <w:pPr>
        <w:pStyle w:val="23"/>
        <w:spacing w:before="40" w:after="80" w:line="276" w:lineRule="auto"/>
      </w:pPr>
      <w:r>
        <w:rPr>
          <w:rFonts w:ascii="Calibri" w:hAnsi="Calibri"/>
          <w:b/>
          <w:color w:val="1B365D"/>
          <w:sz w:val="22"/>
        </w:rPr>
        <w:t xml:space="preserve">EPR Certificate: </w:t>
      </w:r>
      <w:r>
        <w:rPr>
          <w:rFonts w:ascii="Calibri" w:hAnsi="Calibri"/>
          <w:color w:val="222222"/>
          <w:sz w:val="22"/>
        </w:rPr>
        <w:t>Tradable electronic token purchased by producers to fulfill recycling targets.</w:t>
      </w:r>
    </w:p>
    <w:p w14:paraId="0808C1F0">
      <w:pPr>
        <w:pStyle w:val="23"/>
        <w:spacing w:before="40" w:after="80" w:line="276" w:lineRule="auto"/>
      </w:pPr>
      <w:r>
        <w:rPr>
          <w:rFonts w:ascii="Calibri" w:hAnsi="Calibri"/>
          <w:b/>
          <w:color w:val="1B365D"/>
          <w:sz w:val="22"/>
        </w:rPr>
        <w:t xml:space="preserve">Environmental Compensation: </w:t>
      </w:r>
      <w:r>
        <w:rPr>
          <w:rFonts w:ascii="Calibri" w:hAnsi="Calibri"/>
          <w:color w:val="222222"/>
          <w:sz w:val="22"/>
        </w:rPr>
        <w:t>Financial penalty assessed for non-compliance; does not discharge target.</w:t>
      </w:r>
    </w:p>
    <w:p w14:paraId="671F0CAE">
      <w:pPr>
        <w:pStyle w:val="4"/>
        <w:keepNext/>
        <w:spacing w:before="200" w:after="80"/>
      </w:pPr>
      <w:r>
        <w:rPr>
          <w:rFonts w:ascii="Calibri" w:hAnsi="Calibri"/>
          <w:b/>
          <w:color w:val="333333"/>
          <w:sz w:val="24"/>
        </w:rPr>
        <w:t>Expected Exam Questions &amp; Analytical Points:</w:t>
      </w:r>
    </w:p>
    <w:p w14:paraId="6FAD756E">
      <w:pPr>
        <w:spacing w:before="40" w:after="80" w:line="276" w:lineRule="auto"/>
        <w:jc w:val="left"/>
      </w:pPr>
      <w:r>
        <w:rPr>
          <w:rFonts w:ascii="Calibri" w:hAnsi="Calibri"/>
          <w:b/>
          <w:color w:val="1B365D"/>
          <w:sz w:val="22"/>
        </w:rPr>
        <w:t xml:space="preserve">Q1: </w:t>
      </w:r>
      <w:r>
        <w:rPr>
          <w:rFonts w:ascii="Calibri" w:hAnsi="Calibri"/>
          <w:i w:val="0"/>
          <w:color w:val="222222"/>
          <w:sz w:val="22"/>
        </w:rPr>
        <w:t>What are the major structural differences between India's 2016 and 2022 E-Waste Management Rules?</w:t>
      </w:r>
    </w:p>
    <w:p w14:paraId="74CC3C36">
      <w:pPr>
        <w:spacing w:before="40" w:after="80" w:line="276" w:lineRule="auto"/>
        <w:jc w:val="left"/>
      </w:pPr>
      <w:r>
        <w:rPr>
          <w:rFonts w:ascii="Calibri" w:hAnsi="Calibri"/>
          <w:b/>
          <w:color w:val="1B365D"/>
          <w:sz w:val="22"/>
        </w:rPr>
        <w:t xml:space="preserve">Q2: </w:t>
      </w:r>
      <w:r>
        <w:rPr>
          <w:rFonts w:ascii="Calibri" w:hAnsi="Calibri"/>
          <w:i w:val="0"/>
          <w:color w:val="222222"/>
          <w:sz w:val="22"/>
        </w:rPr>
        <w:t>Explain how EPR certificates are generated and traded on the CPCB digital portal.</w:t>
      </w:r>
    </w:p>
    <w:p w14:paraId="5093B805">
      <w:pPr>
        <w:spacing w:before="40" w:after="80" w:line="276" w:lineRule="auto"/>
        <w:jc w:val="left"/>
      </w:pPr>
      <w:r>
        <w:rPr>
          <w:rFonts w:ascii="Calibri" w:hAnsi="Calibri"/>
          <w:b/>
          <w:color w:val="1B365D"/>
          <w:sz w:val="22"/>
        </w:rPr>
        <w:t xml:space="preserve">Q3: </w:t>
      </w:r>
      <w:r>
        <w:rPr>
          <w:rFonts w:ascii="Calibri" w:hAnsi="Calibri"/>
          <w:i w:val="0"/>
          <w:color w:val="222222"/>
          <w:sz w:val="22"/>
        </w:rPr>
        <w:t>Detail the statutory recycling target schedule and Environmental Compensation regime under the 2022 Rules.</w:t>
      </w:r>
    </w:p>
    <w:p w14:paraId="0E2E2A01">
      <w:r>
        <w:br w:type="page"/>
      </w:r>
    </w:p>
    <w:p w14:paraId="6FE484B0">
      <w:pPr>
        <w:pStyle w:val="2"/>
        <w:keepNext/>
        <w:spacing w:before="360" w:after="160"/>
      </w:pPr>
      <w:r>
        <w:rPr>
          <w:rFonts w:ascii="Calibri" w:hAnsi="Calibri"/>
          <w:b/>
          <w:color w:val="1B365D"/>
          <w:sz w:val="36"/>
        </w:rPr>
        <w:t>Topic 4: Extended Producer Responsibility (EPR): Success or Paper Compliance?</w:t>
      </w:r>
    </w:p>
    <w:p w14:paraId="7F96EB34">
      <w:pPr>
        <w:pStyle w:val="3"/>
        <w:keepNext/>
        <w:spacing w:before="280" w:after="120"/>
      </w:pPr>
      <w:r>
        <w:rPr>
          <w:rFonts w:ascii="Calibri" w:hAnsi="Calibri"/>
          <w:b/>
          <w:color w:val="2E75B6"/>
          <w:sz w:val="28"/>
        </w:rPr>
        <w:t>1. Executive Summary</w:t>
      </w:r>
    </w:p>
    <w:p w14:paraId="2FFF11A5">
      <w:pPr>
        <w:spacing w:before="0" w:after="120" w:line="276" w:lineRule="auto"/>
        <w:jc w:val="left"/>
      </w:pPr>
      <w:r>
        <w:rPr>
          <w:rFonts w:ascii="Calibri" w:hAnsi="Calibri"/>
          <w:i w:val="0"/>
          <w:color w:val="222222"/>
          <w:sz w:val="22"/>
        </w:rPr>
        <w:t>Extended Producer Responsibility (EPR) is the foundational environmental policy approach holding electronic manufacturers financially and operationally accountable for post-consumer waste management. In India, while EPR has succeeded in creating a formal statutory mandate and a multi-crore compliance economy, it faces serious criticism regarding whether it achieves real ground-level circularity or merely 'paper compliance'. This report critically examines the gap between digital EPR certificate trading and physical e-waste collection. With over 90% of e-waste remaining in informal channels, the practice of purchasing certificates from recyclers processing industrial or scrap metal waste—without collecting post-consumer electronics—exposes critical enforcement vulnerabilities that require urgent mass-balance tracking and informal sector integration.</w:t>
      </w:r>
    </w:p>
    <w:p w14:paraId="61100255">
      <w:pPr>
        <w:pStyle w:val="3"/>
        <w:keepNext/>
        <w:spacing w:before="280" w:after="120"/>
      </w:pPr>
      <w:r>
        <w:rPr>
          <w:rFonts w:ascii="Calibri" w:hAnsi="Calibri"/>
          <w:b/>
          <w:color w:val="2E75B6"/>
          <w:sz w:val="28"/>
        </w:rPr>
        <w:t>2. Background</w:t>
      </w:r>
    </w:p>
    <w:p w14:paraId="62832EB0">
      <w:pPr>
        <w:spacing w:before="0" w:after="120" w:line="276" w:lineRule="auto"/>
        <w:jc w:val="left"/>
      </w:pPr>
      <w:r>
        <w:rPr>
          <w:rFonts w:ascii="Calibri" w:hAnsi="Calibri"/>
          <w:i w:val="0"/>
          <w:color w:val="222222"/>
          <w:sz w:val="22"/>
        </w:rPr>
        <w:t>First formulated by Swedish academic Thomas Lindhqvist in 1990, EPR operationalizes the 'Polluter-Pays Principle'. India introduced EPR into e-waste regulation in 2011 and strengthened it in 2016 by allowing Producer Responsibility Organizations (PROs) to aggregate waste on behalf of brands. However, brand owners frequently treated PRO fees as a mere operational tax, outsourcing compliance without verifying actual collection. Under the 2022 Rules, PROs were removed as recognized compliance intermediaries, replacing them with a direct online certificate trading portal. Despite this change, systemic questions remain about whether physical waste is actually diverted from toxic informal dumpsites.</w:t>
      </w:r>
    </w:p>
    <w:p w14:paraId="7099084A">
      <w:pPr>
        <w:pStyle w:val="3"/>
        <w:keepNext/>
        <w:spacing w:before="280" w:after="120"/>
      </w:pPr>
      <w:r>
        <w:rPr>
          <w:rFonts w:ascii="Calibri" w:hAnsi="Calibri"/>
          <w:b/>
          <w:color w:val="2E75B6"/>
          <w:sz w:val="28"/>
        </w:rPr>
        <w:t>3. Strategy / Initiative</w:t>
      </w:r>
    </w:p>
    <w:p w14:paraId="2B6EE2FD">
      <w:pPr>
        <w:spacing w:before="0" w:after="120" w:line="276" w:lineRule="auto"/>
        <w:jc w:val="left"/>
      </w:pPr>
      <w:r>
        <w:rPr>
          <w:rFonts w:ascii="Calibri" w:hAnsi="Calibri"/>
          <w:i w:val="0"/>
          <w:color w:val="222222"/>
          <w:sz w:val="22"/>
        </w:rPr>
        <w:t>The current Indian EPR execution framework operates through market mechanisms:</w:t>
      </w:r>
    </w:p>
    <w:p w14:paraId="256A280E">
      <w:pPr>
        <w:pStyle w:val="23"/>
        <w:spacing w:before="40" w:after="80" w:line="276" w:lineRule="auto"/>
      </w:pPr>
      <w:r>
        <w:rPr>
          <w:rFonts w:ascii="Calibri" w:hAnsi="Calibri"/>
          <w:b/>
          <w:color w:val="1B365D"/>
          <w:sz w:val="22"/>
        </w:rPr>
        <w:t xml:space="preserve">Target Calculation: </w:t>
      </w:r>
      <w:r>
        <w:rPr>
          <w:rFonts w:ascii="Calibri" w:hAnsi="Calibri"/>
          <w:color w:val="222222"/>
          <w:sz w:val="22"/>
        </w:rPr>
        <w:t>Producer obligations are calculated based on sales volume and average product lifespan schedules defined in Schedule III.</w:t>
      </w:r>
    </w:p>
    <w:p w14:paraId="35C15D4D">
      <w:pPr>
        <w:pStyle w:val="23"/>
        <w:spacing w:before="40" w:after="80" w:line="276" w:lineRule="auto"/>
      </w:pPr>
      <w:r>
        <w:rPr>
          <w:rFonts w:ascii="Calibri" w:hAnsi="Calibri"/>
          <w:b/>
          <w:color w:val="1B365D"/>
          <w:sz w:val="22"/>
        </w:rPr>
        <w:t xml:space="preserve">Certificate Generation: </w:t>
      </w:r>
      <w:r>
        <w:rPr>
          <w:rFonts w:ascii="Calibri" w:hAnsi="Calibri"/>
          <w:color w:val="222222"/>
          <w:sz w:val="22"/>
        </w:rPr>
        <w:t>Registered recyclers upload GST invoices, electricity consumption records, and material output weight data into the CPCB portal to generate EPR certificates.</w:t>
      </w:r>
    </w:p>
    <w:p w14:paraId="1F5D63C5">
      <w:pPr>
        <w:pStyle w:val="23"/>
        <w:spacing w:before="40" w:after="80" w:line="276" w:lineRule="auto"/>
      </w:pPr>
      <w:r>
        <w:rPr>
          <w:rFonts w:ascii="Calibri" w:hAnsi="Calibri"/>
          <w:b/>
          <w:color w:val="1B365D"/>
          <w:sz w:val="22"/>
        </w:rPr>
        <w:t xml:space="preserve">Market Exchange: </w:t>
      </w:r>
      <w:r>
        <w:rPr>
          <w:rFonts w:ascii="Calibri" w:hAnsi="Calibri"/>
          <w:color w:val="222222"/>
          <w:sz w:val="22"/>
        </w:rPr>
        <w:t>Producers buy certificates from recyclers at market-determined prices (bounded between 30% and 100% of the Environmental Compensation rate).</w:t>
      </w:r>
    </w:p>
    <w:p w14:paraId="79A1D2DF">
      <w:pPr>
        <w:pStyle w:val="3"/>
        <w:keepNext/>
        <w:spacing w:before="280" w:after="120"/>
      </w:pPr>
      <w:r>
        <w:rPr>
          <w:rFonts w:ascii="Calibri" w:hAnsi="Calibri"/>
          <w:b/>
          <w:color w:val="2E75B6"/>
          <w:sz w:val="28"/>
        </w:rPr>
        <w:t>4. Impact &amp; Results with Data Table</w:t>
      </w:r>
    </w:p>
    <w:p w14:paraId="181E96E6">
      <w:pPr>
        <w:spacing w:before="0" w:after="120" w:line="276" w:lineRule="auto"/>
        <w:jc w:val="left"/>
      </w:pPr>
      <w:r>
        <w:rPr>
          <w:rFonts w:ascii="Calibri" w:hAnsi="Calibri"/>
          <w:i w:val="0"/>
          <w:color w:val="222222"/>
          <w:sz w:val="22"/>
        </w:rPr>
        <w:t>Analyses of compliance data highlight the dichotomy between digital certificate trading and physical ground realities.</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340"/>
        <w:gridCol w:w="2340"/>
        <w:gridCol w:w="2340"/>
        <w:gridCol w:w="2340"/>
      </w:tblGrid>
      <w:tr w14:paraId="4A46790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1B365D"/>
            <w:tcMar>
              <w:top w:w="120" w:type="dxa"/>
              <w:left w:w="150" w:type="dxa"/>
              <w:bottom w:w="120" w:type="dxa"/>
              <w:right w:w="150" w:type="dxa"/>
            </w:tcMar>
          </w:tcPr>
          <w:p w14:paraId="23CA5278">
            <w:pPr>
              <w:spacing w:before="0" w:after="0"/>
              <w:jc w:val="left"/>
            </w:pPr>
            <w:r>
              <w:rPr>
                <w:rFonts w:ascii="Calibri" w:hAnsi="Calibri"/>
                <w:b/>
                <w:color w:val="FFFFFF"/>
                <w:sz w:val="21"/>
              </w:rPr>
              <w:t>EPR Assessment Dimension</w:t>
            </w:r>
          </w:p>
        </w:tc>
        <w:tc>
          <w:tcPr>
            <w:tcW w:w="2304" w:type="dxa"/>
            <w:shd w:val="clear" w:color="auto" w:fill="1B365D"/>
            <w:tcMar>
              <w:top w:w="120" w:type="dxa"/>
              <w:left w:w="150" w:type="dxa"/>
              <w:bottom w:w="120" w:type="dxa"/>
              <w:right w:w="150" w:type="dxa"/>
            </w:tcMar>
          </w:tcPr>
          <w:p w14:paraId="3F0DA7D0">
            <w:pPr>
              <w:spacing w:before="0" w:after="0"/>
              <w:jc w:val="left"/>
            </w:pPr>
            <w:r>
              <w:rPr>
                <w:rFonts w:ascii="Calibri" w:hAnsi="Calibri"/>
                <w:b/>
                <w:color w:val="FFFFFF"/>
                <w:sz w:val="21"/>
              </w:rPr>
              <w:t>Formal Regulatory Portal Claims</w:t>
            </w:r>
          </w:p>
        </w:tc>
        <w:tc>
          <w:tcPr>
            <w:tcW w:w="2592" w:type="dxa"/>
            <w:shd w:val="clear" w:color="auto" w:fill="1B365D"/>
            <w:tcMar>
              <w:top w:w="120" w:type="dxa"/>
              <w:left w:w="150" w:type="dxa"/>
              <w:bottom w:w="120" w:type="dxa"/>
              <w:right w:w="150" w:type="dxa"/>
            </w:tcMar>
          </w:tcPr>
          <w:p w14:paraId="4107A99F">
            <w:pPr>
              <w:spacing w:before="0" w:after="0"/>
              <w:jc w:val="left"/>
            </w:pPr>
            <w:r>
              <w:rPr>
                <w:rFonts w:ascii="Calibri" w:hAnsi="Calibri"/>
                <w:b/>
                <w:color w:val="FFFFFF"/>
                <w:sz w:val="21"/>
              </w:rPr>
              <w:t>Ground-Level Physical Realities</w:t>
            </w:r>
          </w:p>
        </w:tc>
        <w:tc>
          <w:tcPr>
            <w:tcW w:w="2304" w:type="dxa"/>
            <w:shd w:val="clear" w:color="auto" w:fill="1B365D"/>
            <w:tcMar>
              <w:top w:w="120" w:type="dxa"/>
              <w:left w:w="150" w:type="dxa"/>
              <w:bottom w:w="120" w:type="dxa"/>
              <w:right w:w="150" w:type="dxa"/>
            </w:tcMar>
          </w:tcPr>
          <w:p w14:paraId="4D9D3EA2">
            <w:pPr>
              <w:spacing w:before="0" w:after="0"/>
              <w:jc w:val="left"/>
            </w:pPr>
            <w:r>
              <w:rPr>
                <w:rFonts w:ascii="Calibri" w:hAnsi="Calibri"/>
                <w:b/>
                <w:color w:val="FFFFFF"/>
                <w:sz w:val="21"/>
              </w:rPr>
              <w:t>Policy Vulnerability Identified</w:t>
            </w:r>
          </w:p>
        </w:tc>
      </w:tr>
      <w:tr w14:paraId="1A3EE25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1E7CD14D">
            <w:pPr>
              <w:spacing w:before="0" w:after="0" w:line="276" w:lineRule="auto"/>
              <w:jc w:val="left"/>
            </w:pPr>
            <w:r>
              <w:rPr>
                <w:rFonts w:ascii="Calibri" w:hAnsi="Calibri"/>
                <w:color w:val="222222"/>
                <w:sz w:val="20"/>
              </w:rPr>
              <w:t>Annual E-Waste Collection Volume</w:t>
            </w:r>
          </w:p>
        </w:tc>
        <w:tc>
          <w:tcPr>
            <w:tcW w:w="2304" w:type="dxa"/>
            <w:shd w:val="clear" w:color="auto" w:fill="FFFFFF"/>
            <w:tcMar>
              <w:top w:w="100" w:type="dxa"/>
              <w:left w:w="150" w:type="dxa"/>
              <w:bottom w:w="100" w:type="dxa"/>
              <w:right w:w="150" w:type="dxa"/>
            </w:tcMar>
          </w:tcPr>
          <w:p w14:paraId="00BABBE5">
            <w:pPr>
              <w:spacing w:before="0" w:after="0" w:line="276" w:lineRule="auto"/>
              <w:jc w:val="left"/>
            </w:pPr>
            <w:r>
              <w:rPr>
                <w:rFonts w:ascii="Calibri" w:hAnsi="Calibri"/>
                <w:color w:val="222222"/>
                <w:sz w:val="20"/>
              </w:rPr>
              <w:t>Formal portal claims &gt;700,000 tonnes recycled annually</w:t>
            </w:r>
          </w:p>
        </w:tc>
        <w:tc>
          <w:tcPr>
            <w:tcW w:w="2592" w:type="dxa"/>
            <w:shd w:val="clear" w:color="auto" w:fill="FFFFFF"/>
            <w:tcMar>
              <w:top w:w="100" w:type="dxa"/>
              <w:left w:w="150" w:type="dxa"/>
              <w:bottom w:w="100" w:type="dxa"/>
              <w:right w:w="150" w:type="dxa"/>
            </w:tcMar>
          </w:tcPr>
          <w:p w14:paraId="3AFF649D">
            <w:pPr>
              <w:spacing w:before="0" w:after="0" w:line="276" w:lineRule="auto"/>
              <w:jc w:val="left"/>
            </w:pPr>
            <w:r>
              <w:rPr>
                <w:rFonts w:ascii="Calibri" w:hAnsi="Calibri"/>
                <w:color w:val="222222"/>
                <w:sz w:val="20"/>
              </w:rPr>
              <w:t>Actual formal consumer collection remains &lt;20% of generation</w:t>
            </w:r>
          </w:p>
        </w:tc>
        <w:tc>
          <w:tcPr>
            <w:tcW w:w="2304" w:type="dxa"/>
            <w:shd w:val="clear" w:color="auto" w:fill="FFFFFF"/>
            <w:tcMar>
              <w:top w:w="100" w:type="dxa"/>
              <w:left w:w="150" w:type="dxa"/>
              <w:bottom w:w="100" w:type="dxa"/>
              <w:right w:w="150" w:type="dxa"/>
            </w:tcMar>
          </w:tcPr>
          <w:p w14:paraId="6CCCC98A">
            <w:pPr>
              <w:spacing w:before="0" w:after="0" w:line="276" w:lineRule="auto"/>
              <w:jc w:val="left"/>
            </w:pPr>
            <w:r>
              <w:rPr>
                <w:rFonts w:ascii="Calibri" w:hAnsi="Calibri"/>
                <w:color w:val="222222"/>
                <w:sz w:val="20"/>
              </w:rPr>
              <w:t>Certificates generated from commercial/factory scrap, not household WEEE</w:t>
            </w:r>
          </w:p>
        </w:tc>
      </w:tr>
      <w:tr w14:paraId="219B7B4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440690A4">
            <w:pPr>
              <w:spacing w:before="0" w:after="0" w:line="276" w:lineRule="auto"/>
              <w:jc w:val="left"/>
            </w:pPr>
            <w:r>
              <w:rPr>
                <w:rFonts w:ascii="Calibri" w:hAnsi="Calibri"/>
                <w:color w:val="222222"/>
                <w:sz w:val="20"/>
              </w:rPr>
              <w:t>Informal Sector Integration</w:t>
            </w:r>
          </w:p>
        </w:tc>
        <w:tc>
          <w:tcPr>
            <w:tcW w:w="2304" w:type="dxa"/>
            <w:shd w:val="clear" w:color="auto" w:fill="F8F9FA"/>
            <w:tcMar>
              <w:top w:w="100" w:type="dxa"/>
              <w:left w:w="150" w:type="dxa"/>
              <w:bottom w:w="100" w:type="dxa"/>
              <w:right w:w="150" w:type="dxa"/>
            </w:tcMar>
          </w:tcPr>
          <w:p w14:paraId="58E4A417">
            <w:pPr>
              <w:spacing w:before="0" w:after="0" w:line="276" w:lineRule="auto"/>
              <w:jc w:val="left"/>
            </w:pPr>
            <w:r>
              <w:rPr>
                <w:rFonts w:ascii="Calibri" w:hAnsi="Calibri"/>
                <w:color w:val="222222"/>
                <w:sz w:val="20"/>
              </w:rPr>
              <w:t>Informal entities excluded from direct portal registration</w:t>
            </w:r>
          </w:p>
        </w:tc>
        <w:tc>
          <w:tcPr>
            <w:tcW w:w="2592" w:type="dxa"/>
            <w:shd w:val="clear" w:color="auto" w:fill="F8F9FA"/>
            <w:tcMar>
              <w:top w:w="100" w:type="dxa"/>
              <w:left w:w="150" w:type="dxa"/>
              <w:bottom w:w="100" w:type="dxa"/>
              <w:right w:w="150" w:type="dxa"/>
            </w:tcMar>
          </w:tcPr>
          <w:p w14:paraId="300DD155">
            <w:pPr>
              <w:spacing w:before="0" w:after="0" w:line="276" w:lineRule="auto"/>
              <w:jc w:val="left"/>
            </w:pPr>
            <w:r>
              <w:rPr>
                <w:rFonts w:ascii="Calibri" w:hAnsi="Calibri"/>
                <w:color w:val="222222"/>
                <w:sz w:val="20"/>
              </w:rPr>
              <w:t>&gt;90% of household WEEE processed by informal scrap dealers</w:t>
            </w:r>
          </w:p>
        </w:tc>
        <w:tc>
          <w:tcPr>
            <w:tcW w:w="2304" w:type="dxa"/>
            <w:shd w:val="clear" w:color="auto" w:fill="F8F9FA"/>
            <w:tcMar>
              <w:top w:w="100" w:type="dxa"/>
              <w:left w:w="150" w:type="dxa"/>
              <w:bottom w:w="100" w:type="dxa"/>
              <w:right w:w="150" w:type="dxa"/>
            </w:tcMar>
          </w:tcPr>
          <w:p w14:paraId="021D7CEB">
            <w:pPr>
              <w:spacing w:before="0" w:after="0" w:line="276" w:lineRule="auto"/>
              <w:jc w:val="left"/>
            </w:pPr>
            <w:r>
              <w:rPr>
                <w:rFonts w:ascii="Calibri" w:hAnsi="Calibri"/>
                <w:color w:val="222222"/>
                <w:sz w:val="20"/>
              </w:rPr>
              <w:t>Informal sector continues unsafe acid stripping and open burning</w:t>
            </w:r>
          </w:p>
        </w:tc>
      </w:tr>
      <w:tr w14:paraId="4C47AED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6A8DD0D1">
            <w:pPr>
              <w:spacing w:before="0" w:after="0" w:line="276" w:lineRule="auto"/>
              <w:jc w:val="left"/>
            </w:pPr>
            <w:r>
              <w:rPr>
                <w:rFonts w:ascii="Calibri" w:hAnsi="Calibri"/>
                <w:color w:val="222222"/>
                <w:sz w:val="20"/>
              </w:rPr>
              <w:t>Certificate Verification</w:t>
            </w:r>
          </w:p>
        </w:tc>
        <w:tc>
          <w:tcPr>
            <w:tcW w:w="2304" w:type="dxa"/>
            <w:shd w:val="clear" w:color="auto" w:fill="FFFFFF"/>
            <w:tcMar>
              <w:top w:w="100" w:type="dxa"/>
              <w:left w:w="150" w:type="dxa"/>
              <w:bottom w:w="100" w:type="dxa"/>
              <w:right w:w="150" w:type="dxa"/>
            </w:tcMar>
          </w:tcPr>
          <w:p w14:paraId="168FD1B6">
            <w:pPr>
              <w:spacing w:before="0" w:after="0" w:line="276" w:lineRule="auto"/>
              <w:jc w:val="left"/>
            </w:pPr>
            <w:r>
              <w:rPr>
                <w:rFonts w:ascii="Calibri" w:hAnsi="Calibri"/>
                <w:color w:val="222222"/>
                <w:sz w:val="20"/>
              </w:rPr>
              <w:t>Digital certificate generation backed by GST invoice uploads</w:t>
            </w:r>
          </w:p>
        </w:tc>
        <w:tc>
          <w:tcPr>
            <w:tcW w:w="2592" w:type="dxa"/>
            <w:shd w:val="clear" w:color="auto" w:fill="FFFFFF"/>
            <w:tcMar>
              <w:top w:w="100" w:type="dxa"/>
              <w:left w:w="150" w:type="dxa"/>
              <w:bottom w:w="100" w:type="dxa"/>
              <w:right w:w="150" w:type="dxa"/>
            </w:tcMar>
          </w:tcPr>
          <w:p w14:paraId="30317909">
            <w:pPr>
              <w:spacing w:before="0" w:after="0" w:line="276" w:lineRule="auto"/>
              <w:jc w:val="left"/>
            </w:pPr>
            <w:r>
              <w:rPr>
                <w:rFonts w:ascii="Calibri" w:hAnsi="Calibri"/>
                <w:color w:val="222222"/>
                <w:sz w:val="20"/>
              </w:rPr>
              <w:t>Widespread invoice inflation and double-counting risks</w:t>
            </w:r>
          </w:p>
        </w:tc>
        <w:tc>
          <w:tcPr>
            <w:tcW w:w="2304" w:type="dxa"/>
            <w:shd w:val="clear" w:color="auto" w:fill="FFFFFF"/>
            <w:tcMar>
              <w:top w:w="100" w:type="dxa"/>
              <w:left w:w="150" w:type="dxa"/>
              <w:bottom w:w="100" w:type="dxa"/>
              <w:right w:w="150" w:type="dxa"/>
            </w:tcMar>
          </w:tcPr>
          <w:p w14:paraId="35A355E7">
            <w:pPr>
              <w:spacing w:before="0" w:after="0" w:line="276" w:lineRule="auto"/>
              <w:jc w:val="left"/>
            </w:pPr>
            <w:r>
              <w:rPr>
                <w:rFonts w:ascii="Calibri" w:hAnsi="Calibri"/>
                <w:color w:val="222222"/>
                <w:sz w:val="20"/>
              </w:rPr>
              <w:t>Lack of physical mass-balance and energy audits at recycling plants</w:t>
            </w:r>
          </w:p>
        </w:tc>
      </w:tr>
      <w:tr w14:paraId="12B942A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33C3BD60">
            <w:pPr>
              <w:spacing w:before="0" w:after="0" w:line="276" w:lineRule="auto"/>
              <w:jc w:val="left"/>
            </w:pPr>
            <w:r>
              <w:rPr>
                <w:rFonts w:ascii="Calibri" w:hAnsi="Calibri"/>
                <w:color w:val="222222"/>
                <w:sz w:val="20"/>
              </w:rPr>
              <w:t>Producer Accountability</w:t>
            </w:r>
          </w:p>
        </w:tc>
        <w:tc>
          <w:tcPr>
            <w:tcW w:w="2304" w:type="dxa"/>
            <w:shd w:val="clear" w:color="auto" w:fill="F8F9FA"/>
            <w:tcMar>
              <w:top w:w="100" w:type="dxa"/>
              <w:left w:w="150" w:type="dxa"/>
              <w:bottom w:w="100" w:type="dxa"/>
              <w:right w:w="150" w:type="dxa"/>
            </w:tcMar>
          </w:tcPr>
          <w:p w14:paraId="13B56038">
            <w:pPr>
              <w:spacing w:before="0" w:after="0" w:line="276" w:lineRule="auto"/>
              <w:jc w:val="left"/>
            </w:pPr>
            <w:r>
              <w:rPr>
                <w:rFonts w:ascii="Calibri" w:hAnsi="Calibri"/>
                <w:color w:val="222222"/>
                <w:sz w:val="20"/>
              </w:rPr>
              <w:t>100% target fulfillment reported by major brand registrants</w:t>
            </w:r>
          </w:p>
        </w:tc>
        <w:tc>
          <w:tcPr>
            <w:tcW w:w="2592" w:type="dxa"/>
            <w:shd w:val="clear" w:color="auto" w:fill="F8F9FA"/>
            <w:tcMar>
              <w:top w:w="100" w:type="dxa"/>
              <w:left w:w="150" w:type="dxa"/>
              <w:bottom w:w="100" w:type="dxa"/>
              <w:right w:w="150" w:type="dxa"/>
            </w:tcMar>
          </w:tcPr>
          <w:p w14:paraId="0B9436EF">
            <w:pPr>
              <w:spacing w:before="0" w:after="0" w:line="276" w:lineRule="auto"/>
              <w:jc w:val="left"/>
            </w:pPr>
            <w:r>
              <w:rPr>
                <w:rFonts w:ascii="Calibri" w:hAnsi="Calibri"/>
                <w:color w:val="222222"/>
                <w:sz w:val="20"/>
              </w:rPr>
              <w:t>Brands lack direct physical connection or visibility to waste streams</w:t>
            </w:r>
          </w:p>
        </w:tc>
        <w:tc>
          <w:tcPr>
            <w:tcW w:w="2304" w:type="dxa"/>
            <w:shd w:val="clear" w:color="auto" w:fill="F8F9FA"/>
            <w:tcMar>
              <w:top w:w="100" w:type="dxa"/>
              <w:left w:w="150" w:type="dxa"/>
              <w:bottom w:w="100" w:type="dxa"/>
              <w:right w:w="150" w:type="dxa"/>
            </w:tcMar>
          </w:tcPr>
          <w:p w14:paraId="70B00100">
            <w:pPr>
              <w:spacing w:before="0" w:after="0" w:line="276" w:lineRule="auto"/>
              <w:jc w:val="left"/>
            </w:pPr>
            <w:r>
              <w:rPr>
                <w:rFonts w:ascii="Calibri" w:hAnsi="Calibri"/>
                <w:color w:val="222222"/>
                <w:sz w:val="20"/>
              </w:rPr>
              <w:t>EPR treated as a financial transaction rather than circular design drive</w:t>
            </w:r>
          </w:p>
        </w:tc>
      </w:tr>
    </w:tbl>
    <w:p w14:paraId="65005695">
      <w:pPr>
        <w:spacing w:before="0" w:after="160"/>
      </w:pPr>
    </w:p>
    <w:p w14:paraId="2535358F">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4D08C0D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PrEx>
        <w:trPr>
          <w:jc w:val="center"/>
        </w:trPr>
        <w:tc>
          <w:tcPr>
            <w:tcW w:w="4680" w:type="dxa"/>
            <w:shd w:val="clear" w:color="auto" w:fill="E8F5E9"/>
            <w:tcMar>
              <w:top w:w="120" w:type="dxa"/>
              <w:left w:w="150" w:type="dxa"/>
              <w:bottom w:w="120" w:type="dxa"/>
              <w:right w:w="150" w:type="dxa"/>
            </w:tcMar>
          </w:tcPr>
          <w:p w14:paraId="61ECB7A3">
            <w:pPr>
              <w:spacing w:before="0" w:after="80"/>
            </w:pPr>
            <w:r>
              <w:rPr>
                <w:rFonts w:ascii="Calibri" w:hAnsi="Calibri"/>
                <w:b/>
                <w:color w:val="2E7D32"/>
                <w:sz w:val="22"/>
              </w:rPr>
              <w:t>💪 STRENGTHS (Internal)</w:t>
            </w:r>
          </w:p>
          <w:p w14:paraId="004D5A8F">
            <w:pPr>
              <w:pStyle w:val="23"/>
              <w:spacing w:before="40" w:after="40" w:line="276" w:lineRule="auto"/>
            </w:pPr>
            <w:r>
              <w:rPr>
                <w:rFonts w:ascii="Calibri" w:hAnsi="Calibri"/>
                <w:color w:val="333333"/>
                <w:sz w:val="19"/>
              </w:rPr>
              <w:t>Established legally binding financial accountability for producers</w:t>
            </w:r>
          </w:p>
          <w:p w14:paraId="1DFA0729">
            <w:pPr>
              <w:pStyle w:val="23"/>
              <w:spacing w:before="40" w:after="40" w:line="276" w:lineRule="auto"/>
            </w:pPr>
            <w:r>
              <w:rPr>
                <w:rFonts w:ascii="Calibri" w:hAnsi="Calibri"/>
                <w:color w:val="333333"/>
                <w:sz w:val="19"/>
              </w:rPr>
              <w:t>Created formal market valuation for electronic recycling operations</w:t>
            </w:r>
          </w:p>
          <w:p w14:paraId="4801D918">
            <w:pPr>
              <w:pStyle w:val="23"/>
              <w:spacing w:before="40" w:after="40" w:line="276" w:lineRule="auto"/>
            </w:pPr>
            <w:r>
              <w:rPr>
                <w:rFonts w:ascii="Calibri" w:hAnsi="Calibri"/>
                <w:color w:val="333333"/>
                <w:sz w:val="19"/>
              </w:rPr>
              <w:t>Centralized digital portal streamlines filing and compliance reporting</w:t>
            </w:r>
          </w:p>
        </w:tc>
        <w:tc>
          <w:tcPr>
            <w:tcW w:w="4680" w:type="dxa"/>
            <w:shd w:val="clear" w:color="auto" w:fill="FFEBEE"/>
            <w:tcMar>
              <w:top w:w="120" w:type="dxa"/>
              <w:left w:w="150" w:type="dxa"/>
              <w:bottom w:w="120" w:type="dxa"/>
              <w:right w:w="150" w:type="dxa"/>
            </w:tcMar>
          </w:tcPr>
          <w:p w14:paraId="042A1F72">
            <w:pPr>
              <w:spacing w:before="0" w:after="80"/>
            </w:pPr>
            <w:r>
              <w:rPr>
                <w:rFonts w:ascii="Calibri" w:hAnsi="Calibri"/>
                <w:b/>
                <w:color w:val="C62828"/>
                <w:sz w:val="22"/>
              </w:rPr>
              <w:t>⚠️ WEAKNESSES (Internal)</w:t>
            </w:r>
          </w:p>
          <w:p w14:paraId="651FFFFF">
            <w:pPr>
              <w:pStyle w:val="23"/>
              <w:spacing w:before="40" w:after="40" w:line="276" w:lineRule="auto"/>
            </w:pPr>
            <w:r>
              <w:rPr>
                <w:rFonts w:ascii="Calibri" w:hAnsi="Calibri"/>
                <w:color w:val="333333"/>
                <w:sz w:val="19"/>
              </w:rPr>
              <w:t>Severe disconnect between digital certificates and physical collection</w:t>
            </w:r>
          </w:p>
          <w:p w14:paraId="62230EA1">
            <w:pPr>
              <w:pStyle w:val="23"/>
              <w:spacing w:before="40" w:after="40" w:line="276" w:lineRule="auto"/>
            </w:pPr>
            <w:r>
              <w:rPr>
                <w:rFonts w:ascii="Calibri" w:hAnsi="Calibri"/>
                <w:color w:val="333333"/>
                <w:sz w:val="19"/>
              </w:rPr>
              <w:t>Informal sector remains unintegrated and highly vulnerable</w:t>
            </w:r>
          </w:p>
          <w:p w14:paraId="410E3DCB">
            <w:pPr>
              <w:pStyle w:val="23"/>
              <w:spacing w:before="40" w:after="40" w:line="276" w:lineRule="auto"/>
            </w:pPr>
            <w:r>
              <w:rPr>
                <w:rFonts w:ascii="Calibri" w:hAnsi="Calibri"/>
                <w:color w:val="333333"/>
                <w:sz w:val="19"/>
              </w:rPr>
              <w:t>Under-funded regulatory inspection capacity at SPCB field levels</w:t>
            </w:r>
          </w:p>
        </w:tc>
      </w:tr>
      <w:tr w14:paraId="6D8EB47D">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2232B4D5">
            <w:pPr>
              <w:spacing w:before="0" w:after="80"/>
            </w:pPr>
            <w:r>
              <w:rPr>
                <w:rFonts w:ascii="Calibri" w:hAnsi="Calibri"/>
                <w:b/>
                <w:color w:val="1565C0"/>
                <w:sz w:val="22"/>
              </w:rPr>
              <w:t>🚀 OPPORTUNITIES (External)</w:t>
            </w:r>
          </w:p>
          <w:p w14:paraId="1B10B8DE">
            <w:pPr>
              <w:pStyle w:val="23"/>
              <w:spacing w:before="40" w:after="40" w:line="276" w:lineRule="auto"/>
            </w:pPr>
            <w:r>
              <w:rPr>
                <w:rFonts w:ascii="Calibri" w:hAnsi="Calibri"/>
                <w:color w:val="333333"/>
                <w:sz w:val="19"/>
              </w:rPr>
              <w:t>Integration of formal-informal aggregation partnerships</w:t>
            </w:r>
          </w:p>
          <w:p w14:paraId="45E415B3">
            <w:pPr>
              <w:pStyle w:val="23"/>
              <w:spacing w:before="40" w:after="40" w:line="276" w:lineRule="auto"/>
            </w:pPr>
            <w:r>
              <w:rPr>
                <w:rFonts w:ascii="Calibri" w:hAnsi="Calibri"/>
                <w:color w:val="333333"/>
                <w:sz w:val="19"/>
              </w:rPr>
              <w:t>Implementation of IoT, QR-codes, and blockchain for physical tracking</w:t>
            </w:r>
          </w:p>
          <w:p w14:paraId="17540BD0">
            <w:pPr>
              <w:pStyle w:val="23"/>
              <w:spacing w:before="40" w:after="40" w:line="276" w:lineRule="auto"/>
            </w:pPr>
            <w:r>
              <w:rPr>
                <w:rFonts w:ascii="Calibri" w:hAnsi="Calibri"/>
                <w:color w:val="333333"/>
                <w:sz w:val="19"/>
              </w:rPr>
              <w:t>Driving Design for Environment (DfE) to lower compliance costs</w:t>
            </w:r>
          </w:p>
        </w:tc>
        <w:tc>
          <w:tcPr>
            <w:tcW w:w="4680" w:type="dxa"/>
            <w:shd w:val="clear" w:color="auto" w:fill="FFF3E0"/>
            <w:tcMar>
              <w:top w:w="120" w:type="dxa"/>
              <w:left w:w="150" w:type="dxa"/>
              <w:bottom w:w="120" w:type="dxa"/>
              <w:right w:w="150" w:type="dxa"/>
            </w:tcMar>
          </w:tcPr>
          <w:p w14:paraId="7DB2DC1A">
            <w:pPr>
              <w:spacing w:before="0" w:after="80"/>
            </w:pPr>
            <w:r>
              <w:rPr>
                <w:rFonts w:ascii="Calibri" w:hAnsi="Calibri"/>
                <w:b/>
                <w:color w:val="E65100"/>
                <w:sz w:val="22"/>
              </w:rPr>
              <w:t>⚡ THREATS (External)</w:t>
            </w:r>
          </w:p>
          <w:p w14:paraId="76060FFE">
            <w:pPr>
              <w:pStyle w:val="23"/>
              <w:spacing w:before="40" w:after="40" w:line="276" w:lineRule="auto"/>
            </w:pPr>
            <w:r>
              <w:rPr>
                <w:rFonts w:ascii="Calibri" w:hAnsi="Calibri"/>
                <w:color w:val="333333"/>
                <w:sz w:val="19"/>
              </w:rPr>
              <w:t>Prevalence of fraudulent 'ghost recycling' certificate creation</w:t>
            </w:r>
          </w:p>
          <w:p w14:paraId="3E94199A">
            <w:pPr>
              <w:pStyle w:val="23"/>
              <w:spacing w:before="40" w:after="40" w:line="276" w:lineRule="auto"/>
            </w:pPr>
            <w:r>
              <w:rPr>
                <w:rFonts w:ascii="Calibri" w:hAnsi="Calibri"/>
                <w:color w:val="333333"/>
                <w:sz w:val="19"/>
              </w:rPr>
              <w:t>Certificate market collapse due to over-supply of low-quality certificates</w:t>
            </w:r>
          </w:p>
          <w:p w14:paraId="0873F491">
            <w:pPr>
              <w:pStyle w:val="23"/>
              <w:spacing w:before="40" w:after="40" w:line="276" w:lineRule="auto"/>
            </w:pPr>
            <w:r>
              <w:rPr>
                <w:rFonts w:ascii="Calibri" w:hAnsi="Calibri"/>
                <w:color w:val="333333"/>
                <w:sz w:val="19"/>
              </w:rPr>
              <w:t>Litigation by non-compliant producers challenging Environmental Compensation</w:t>
            </w:r>
          </w:p>
        </w:tc>
      </w:tr>
    </w:tbl>
    <w:p w14:paraId="45A0CA32">
      <w:pPr>
        <w:spacing w:before="0" w:after="160"/>
      </w:pPr>
    </w:p>
    <w:p w14:paraId="7CA0DAC9">
      <w:pPr>
        <w:pStyle w:val="3"/>
        <w:keepNext/>
        <w:spacing w:before="280" w:after="120"/>
      </w:pPr>
      <w:r>
        <w:rPr>
          <w:rFonts w:ascii="Calibri" w:hAnsi="Calibri"/>
          <w:b/>
          <w:color w:val="2E75B6"/>
          <w:sz w:val="28"/>
        </w:rPr>
        <w:t>6. Comparison with Global Models</w:t>
      </w:r>
    </w:p>
    <w:p w14:paraId="6A6C6D9B">
      <w:pPr>
        <w:pStyle w:val="23"/>
        <w:spacing w:before="40" w:after="80" w:line="276" w:lineRule="auto"/>
      </w:pPr>
      <w:r>
        <w:rPr>
          <w:rFonts w:ascii="Calibri" w:hAnsi="Calibri"/>
          <w:b/>
          <w:color w:val="1B365D"/>
          <w:sz w:val="22"/>
        </w:rPr>
        <w:t xml:space="preserve">Physical Audit vs Invoice Trading: </w:t>
      </w:r>
      <w:r>
        <w:rPr>
          <w:rFonts w:ascii="Calibri" w:hAnsi="Calibri"/>
          <w:color w:val="222222"/>
          <w:sz w:val="22"/>
        </w:rPr>
        <w:t>In Europe (WEEE Directive) and Japan, compliance requires audited physical tracking from point of collection to recycling plant. India's reliance on invoice uploads leaves room for paper compliance.</w:t>
      </w:r>
    </w:p>
    <w:p w14:paraId="6C953B16">
      <w:pPr>
        <w:pStyle w:val="3"/>
        <w:keepNext/>
        <w:spacing w:before="280" w:after="120"/>
      </w:pPr>
      <w:r>
        <w:rPr>
          <w:rFonts w:ascii="Calibri" w:hAnsi="Calibri"/>
          <w:b/>
          <w:color w:val="2E75B6"/>
          <w:sz w:val="28"/>
        </w:rPr>
        <w:t>7. Recommendations</w:t>
      </w:r>
    </w:p>
    <w:p w14:paraId="773737AC">
      <w:pPr>
        <w:pStyle w:val="23"/>
        <w:spacing w:before="40" w:after="80" w:line="276" w:lineRule="auto"/>
      </w:pPr>
      <w:r>
        <w:rPr>
          <w:rFonts w:ascii="Calibri" w:hAnsi="Calibri"/>
          <w:b/>
          <w:color w:val="1B365D"/>
          <w:sz w:val="22"/>
        </w:rPr>
        <w:t xml:space="preserve">Implement Mass-Balance &amp; Energy Auditing: </w:t>
      </w:r>
      <w:r>
        <w:rPr>
          <w:rFonts w:ascii="Calibri" w:hAnsi="Calibri"/>
          <w:color w:val="222222"/>
          <w:sz w:val="22"/>
        </w:rPr>
        <w:t>Correlate recycler certificate generation with electricity usage, chemical input logs, and mass output verification.</w:t>
      </w:r>
    </w:p>
    <w:p w14:paraId="4D498A31">
      <w:pPr>
        <w:pStyle w:val="23"/>
        <w:spacing w:before="40" w:after="80" w:line="276" w:lineRule="auto"/>
      </w:pPr>
      <w:r>
        <w:rPr>
          <w:rFonts w:ascii="Calibri" w:hAnsi="Calibri"/>
          <w:b/>
          <w:color w:val="1B365D"/>
          <w:sz w:val="22"/>
        </w:rPr>
        <w:t xml:space="preserve">Legalize Informal Scrap Aggregators: </w:t>
      </w:r>
      <w:r>
        <w:rPr>
          <w:rFonts w:ascii="Calibri" w:hAnsi="Calibri"/>
          <w:color w:val="222222"/>
          <w:sz w:val="22"/>
        </w:rPr>
        <w:t>Allow registered recyclers to issue formal digital receipts to informal 'kabadiwalas', bringing physical waste into formal channels.</w:t>
      </w:r>
    </w:p>
    <w:p w14:paraId="69634F25">
      <w:pPr>
        <w:pStyle w:val="23"/>
        <w:spacing w:before="40" w:after="80" w:line="276" w:lineRule="auto"/>
      </w:pPr>
      <w:r>
        <w:rPr>
          <w:rFonts w:ascii="Calibri" w:hAnsi="Calibri"/>
          <w:b/>
          <w:color w:val="1B365D"/>
          <w:sz w:val="22"/>
        </w:rPr>
        <w:t xml:space="preserve">Mandate Physical Collection Kiosks: </w:t>
      </w:r>
      <w:r>
        <w:rPr>
          <w:rFonts w:ascii="Calibri" w:hAnsi="Calibri"/>
          <w:color w:val="222222"/>
          <w:sz w:val="22"/>
        </w:rPr>
        <w:t>Require producers to establish verified physical drop-off kiosks proportionate to their sales footprint.</w:t>
      </w:r>
    </w:p>
    <w:p w14:paraId="72EEEE3D">
      <w:pPr>
        <w:pStyle w:val="3"/>
        <w:keepNext/>
        <w:spacing w:before="280" w:after="120"/>
      </w:pPr>
      <w:r>
        <w:rPr>
          <w:rFonts w:ascii="Calibri" w:hAnsi="Calibri"/>
          <w:b/>
          <w:color w:val="2E75B6"/>
          <w:sz w:val="28"/>
        </w:rPr>
        <w:t>8. Conclusion</w:t>
      </w:r>
    </w:p>
    <w:p w14:paraId="39D8C45F">
      <w:pPr>
        <w:spacing w:before="0" w:after="120" w:line="276" w:lineRule="auto"/>
        <w:jc w:val="left"/>
      </w:pPr>
      <w:r>
        <w:rPr>
          <w:rFonts w:ascii="Calibri" w:hAnsi="Calibri"/>
          <w:i w:val="0"/>
          <w:color w:val="222222"/>
          <w:sz w:val="22"/>
        </w:rPr>
        <w:t>To evolve from 'paper compliance' to authentic circularity, India's EPR framework must bridge digital accounting with verified physical waste collection and informal sector inclusion.</w:t>
      </w:r>
    </w:p>
    <w:p w14:paraId="23F86823">
      <w:pPr>
        <w:pStyle w:val="3"/>
        <w:keepNext/>
        <w:spacing w:before="280" w:after="120"/>
      </w:pPr>
      <w:r>
        <w:rPr>
          <w:rFonts w:ascii="Calibri" w:hAnsi="Calibri"/>
          <w:b/>
          <w:color w:val="2E75B6"/>
          <w:sz w:val="28"/>
        </w:rPr>
        <w:t>9. References</w:t>
      </w:r>
    </w:p>
    <w:p w14:paraId="42C67C70">
      <w:pPr>
        <w:pStyle w:val="23"/>
        <w:spacing w:before="40" w:after="80" w:line="276" w:lineRule="auto"/>
      </w:pPr>
      <w:r>
        <w:rPr>
          <w:rFonts w:ascii="Calibri" w:hAnsi="Calibri"/>
          <w:b/>
          <w:color w:val="1B365D"/>
          <w:sz w:val="22"/>
        </w:rPr>
        <w:t xml:space="preserve">Toxic Links. </w:t>
      </w:r>
      <w:r>
        <w:rPr>
          <w:rFonts w:ascii="Calibri" w:hAnsi="Calibri"/>
          <w:color w:val="222222"/>
          <w:sz w:val="22"/>
        </w:rPr>
        <w:t>'E-Waste in India: Unpacking the EPR Compliance Gap.' New Delhi, 2023.</w:t>
      </w:r>
    </w:p>
    <w:p w14:paraId="4519E735">
      <w:pPr>
        <w:pStyle w:val="23"/>
        <w:spacing w:before="40" w:after="80" w:line="276" w:lineRule="auto"/>
      </w:pPr>
      <w:r>
        <w:rPr>
          <w:rFonts w:ascii="Calibri" w:hAnsi="Calibri"/>
          <w:b/>
          <w:color w:val="1B365D"/>
          <w:sz w:val="22"/>
        </w:rPr>
        <w:t xml:space="preserve">Central Pollution Control Board. </w:t>
      </w:r>
      <w:r>
        <w:rPr>
          <w:rFonts w:ascii="Calibri" w:hAnsi="Calibri"/>
          <w:color w:val="222222"/>
          <w:sz w:val="22"/>
        </w:rPr>
        <w:t>'E-Waste Portal Registration and Audit Guidelines.' 2024.</w:t>
      </w:r>
    </w:p>
    <w:p w14:paraId="3D412BF5">
      <w:r>
        <w:br w:type="page"/>
      </w:r>
    </w:p>
    <w:p w14:paraId="369E4650">
      <w:pPr>
        <w:pStyle w:val="3"/>
        <w:keepNext/>
        <w:spacing w:before="280" w:after="120"/>
      </w:pPr>
      <w:r>
        <w:rPr>
          <w:rFonts w:ascii="Calibri" w:hAnsi="Calibri"/>
          <w:b/>
          <w:color w:val="2E75B6"/>
          <w:sz w:val="28"/>
        </w:rPr>
        <w:t>11. One-Page Exam Revision Sheet — Topic 4</w:t>
      </w:r>
    </w:p>
    <w:tbl>
      <w:tblPr>
        <w:tblStyle w:val="12"/>
        <w:tblW w:w="0" w:type="auto"/>
        <w:jc w:val="center"/>
        <w:tblLayout w:type="fixed"/>
        <w:tblCellMar>
          <w:top w:w="0" w:type="dxa"/>
          <w:left w:w="108" w:type="dxa"/>
          <w:bottom w:w="0" w:type="dxa"/>
          <w:right w:w="108" w:type="dxa"/>
        </w:tblCellMar>
      </w:tblPr>
      <w:tblGrid>
        <w:gridCol w:w="9360"/>
      </w:tblGrid>
      <w:tr w14:paraId="4801A744">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6C8DDCAF">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India's EPR Regime: Success or Paper Compliance?.</w:t>
            </w:r>
          </w:p>
        </w:tc>
      </w:tr>
    </w:tbl>
    <w:p w14:paraId="266A1FD0">
      <w:pPr>
        <w:spacing w:before="0" w:after="120"/>
      </w:pPr>
    </w:p>
    <w:p w14:paraId="42F871F5">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While EPR established a legally binding producer mandate in India, reliance on digital certificate trading risks 'paper compliance' unless backed by physical mass-balance audits and informal sector integration.</w:t>
      </w:r>
    </w:p>
    <w:p w14:paraId="1608F80B">
      <w:pPr>
        <w:pStyle w:val="4"/>
        <w:keepNext/>
        <w:spacing w:before="200" w:after="80"/>
      </w:pPr>
      <w:r>
        <w:rPr>
          <w:rFonts w:ascii="Calibri" w:hAnsi="Calibri"/>
          <w:b/>
          <w:color w:val="333333"/>
          <w:sz w:val="24"/>
        </w:rPr>
        <w:t>Key Statistics &amp; Data Points for High-Scoring Answers:</w:t>
      </w:r>
    </w:p>
    <w:p w14:paraId="5D753D3D">
      <w:pPr>
        <w:pStyle w:val="23"/>
        <w:spacing w:before="40" w:after="80" w:line="276" w:lineRule="auto"/>
      </w:pPr>
      <w:r>
        <w:rPr>
          <w:rFonts w:ascii="Calibri" w:hAnsi="Calibri"/>
          <w:b/>
          <w:color w:val="1B365D"/>
          <w:sz w:val="22"/>
        </w:rPr>
        <w:t xml:space="preserve">Formal vs Informal Share: </w:t>
      </w:r>
      <w:r>
        <w:rPr>
          <w:rFonts w:ascii="Calibri" w:hAnsi="Calibri"/>
          <w:color w:val="222222"/>
          <w:sz w:val="22"/>
        </w:rPr>
        <w:t>&gt;90% of household WEEE remains in unorganized informal channels</w:t>
      </w:r>
    </w:p>
    <w:p w14:paraId="4B6C1A2A">
      <w:pPr>
        <w:pStyle w:val="23"/>
        <w:spacing w:before="40" w:after="80" w:line="276" w:lineRule="auto"/>
      </w:pPr>
      <w:r>
        <w:rPr>
          <w:rFonts w:ascii="Calibri" w:hAnsi="Calibri"/>
          <w:b/>
          <w:color w:val="1B365D"/>
          <w:sz w:val="22"/>
        </w:rPr>
        <w:t xml:space="preserve">EPR Certificate Floor/Ceiling: </w:t>
      </w:r>
      <w:r>
        <w:rPr>
          <w:rFonts w:ascii="Calibri" w:hAnsi="Calibri"/>
          <w:color w:val="222222"/>
          <w:sz w:val="22"/>
        </w:rPr>
        <w:t>Price regulated between 30% and 100% of Environmental Compensation rate</w:t>
      </w:r>
    </w:p>
    <w:p w14:paraId="6B3249CF">
      <w:pPr>
        <w:pStyle w:val="23"/>
        <w:spacing w:before="40" w:after="80" w:line="276" w:lineRule="auto"/>
      </w:pPr>
      <w:r>
        <w:rPr>
          <w:rFonts w:ascii="Calibri" w:hAnsi="Calibri"/>
          <w:b/>
          <w:color w:val="1B365D"/>
          <w:sz w:val="22"/>
        </w:rPr>
        <w:t xml:space="preserve">Primary Compliance Mechanism: </w:t>
      </w:r>
      <w:r>
        <w:rPr>
          <w:rFonts w:ascii="Calibri" w:hAnsi="Calibri"/>
          <w:color w:val="222222"/>
          <w:sz w:val="22"/>
        </w:rPr>
        <w:t>Digital certificate purchase on CPCB portal from registered recyclers</w:t>
      </w:r>
    </w:p>
    <w:p w14:paraId="21D80A13">
      <w:pPr>
        <w:pStyle w:val="23"/>
        <w:spacing w:before="40" w:after="80" w:line="276" w:lineRule="auto"/>
      </w:pPr>
      <w:r>
        <w:rPr>
          <w:rFonts w:ascii="Calibri" w:hAnsi="Calibri"/>
          <w:b/>
          <w:color w:val="1B365D"/>
          <w:sz w:val="22"/>
        </w:rPr>
        <w:t xml:space="preserve">Critical Enforcement Gap: </w:t>
      </w:r>
      <w:r>
        <w:rPr>
          <w:rFonts w:ascii="Calibri" w:hAnsi="Calibri"/>
          <w:color w:val="222222"/>
          <w:sz w:val="22"/>
        </w:rPr>
        <w:t>Lack of mass-balance verification tying electricity/inputs to metal output</w:t>
      </w:r>
    </w:p>
    <w:p w14:paraId="0CE8ACDB">
      <w:pPr>
        <w:pStyle w:val="4"/>
        <w:keepNext/>
        <w:spacing w:before="200" w:after="80"/>
      </w:pPr>
      <w:r>
        <w:rPr>
          <w:rFonts w:ascii="Calibri" w:hAnsi="Calibri"/>
          <w:b/>
          <w:color w:val="333333"/>
          <w:sz w:val="24"/>
        </w:rPr>
        <w:t>Statutory Frameworks &amp; Key Terminology:</w:t>
      </w:r>
    </w:p>
    <w:p w14:paraId="270FDCC7">
      <w:pPr>
        <w:pStyle w:val="23"/>
        <w:spacing w:before="40" w:after="80" w:line="276" w:lineRule="auto"/>
      </w:pPr>
      <w:r>
        <w:rPr>
          <w:rFonts w:ascii="Calibri" w:hAnsi="Calibri"/>
          <w:b/>
          <w:color w:val="1B365D"/>
          <w:sz w:val="22"/>
        </w:rPr>
        <w:t xml:space="preserve">Paper Compliance: </w:t>
      </w:r>
      <w:r>
        <w:rPr>
          <w:rFonts w:ascii="Calibri" w:hAnsi="Calibri"/>
          <w:color w:val="222222"/>
          <w:sz w:val="22"/>
        </w:rPr>
        <w:t>Meeting statutory obligations via certificate purchases without physical waste diversion.</w:t>
      </w:r>
    </w:p>
    <w:p w14:paraId="386158A4">
      <w:pPr>
        <w:pStyle w:val="23"/>
        <w:spacing w:before="40" w:after="80" w:line="276" w:lineRule="auto"/>
      </w:pPr>
      <w:r>
        <w:rPr>
          <w:rFonts w:ascii="Calibri" w:hAnsi="Calibri"/>
          <w:b/>
          <w:color w:val="1B365D"/>
          <w:sz w:val="22"/>
        </w:rPr>
        <w:t xml:space="preserve">Mass-Balance Audit: </w:t>
      </w:r>
      <w:r>
        <w:rPr>
          <w:rFonts w:ascii="Calibri" w:hAnsi="Calibri"/>
          <w:color w:val="222222"/>
          <w:sz w:val="22"/>
        </w:rPr>
        <w:t>Verification matching raw waste inputs, power consumption, and refined outputs.</w:t>
      </w:r>
    </w:p>
    <w:p w14:paraId="163A4C9D">
      <w:pPr>
        <w:pStyle w:val="23"/>
        <w:spacing w:before="40" w:after="80" w:line="276" w:lineRule="auto"/>
      </w:pPr>
      <w:r>
        <w:rPr>
          <w:rFonts w:ascii="Calibri" w:hAnsi="Calibri"/>
          <w:b/>
          <w:color w:val="1B365D"/>
          <w:sz w:val="22"/>
        </w:rPr>
        <w:t xml:space="preserve">Polluter-Pays Principle: </w:t>
      </w:r>
      <w:r>
        <w:rPr>
          <w:rFonts w:ascii="Calibri" w:hAnsi="Calibri"/>
          <w:color w:val="222222"/>
          <w:sz w:val="22"/>
        </w:rPr>
        <w:t>Legal doctrine assigning post-consumer waste costs to manufacturers.</w:t>
      </w:r>
    </w:p>
    <w:p w14:paraId="347CA75F">
      <w:pPr>
        <w:pStyle w:val="4"/>
        <w:keepNext/>
        <w:spacing w:before="200" w:after="80"/>
      </w:pPr>
      <w:r>
        <w:rPr>
          <w:rFonts w:ascii="Calibri" w:hAnsi="Calibri"/>
          <w:b/>
          <w:color w:val="333333"/>
          <w:sz w:val="24"/>
        </w:rPr>
        <w:t>Expected Exam Questions &amp; Analytical Points:</w:t>
      </w:r>
    </w:p>
    <w:p w14:paraId="61FECE04">
      <w:pPr>
        <w:spacing w:before="40" w:after="80" w:line="276" w:lineRule="auto"/>
        <w:jc w:val="left"/>
      </w:pPr>
      <w:r>
        <w:rPr>
          <w:rFonts w:ascii="Calibri" w:hAnsi="Calibri"/>
          <w:b/>
          <w:color w:val="1B365D"/>
          <w:sz w:val="22"/>
        </w:rPr>
        <w:t xml:space="preserve">Q1: </w:t>
      </w:r>
      <w:r>
        <w:rPr>
          <w:rFonts w:ascii="Calibri" w:hAnsi="Calibri"/>
          <w:i w:val="0"/>
          <w:color w:val="222222"/>
          <w:sz w:val="22"/>
        </w:rPr>
        <w:t>Define Extended Producer Responsibility (EPR) and distinguish between physical and paper compliance.</w:t>
      </w:r>
    </w:p>
    <w:p w14:paraId="4EA880C5">
      <w:pPr>
        <w:spacing w:before="40" w:after="80" w:line="276" w:lineRule="auto"/>
        <w:jc w:val="left"/>
      </w:pPr>
      <w:r>
        <w:rPr>
          <w:rFonts w:ascii="Calibri" w:hAnsi="Calibri"/>
          <w:b/>
          <w:color w:val="1B365D"/>
          <w:sz w:val="22"/>
        </w:rPr>
        <w:t xml:space="preserve">Q2: </w:t>
      </w:r>
      <w:r>
        <w:rPr>
          <w:rFonts w:ascii="Calibri" w:hAnsi="Calibri"/>
          <w:i w:val="0"/>
          <w:color w:val="222222"/>
          <w:sz w:val="22"/>
        </w:rPr>
        <w:t>How do registered recyclers generate EPR certificates under India's current CPCB portal framework?</w:t>
      </w:r>
    </w:p>
    <w:p w14:paraId="02E2E32C">
      <w:pPr>
        <w:spacing w:before="40" w:after="80" w:line="276" w:lineRule="auto"/>
        <w:jc w:val="left"/>
      </w:pPr>
      <w:r>
        <w:rPr>
          <w:rFonts w:ascii="Calibri" w:hAnsi="Calibri"/>
          <w:b/>
          <w:color w:val="1B365D"/>
          <w:sz w:val="22"/>
        </w:rPr>
        <w:t xml:space="preserve">Q3: </w:t>
      </w:r>
      <w:r>
        <w:rPr>
          <w:rFonts w:ascii="Calibri" w:hAnsi="Calibri"/>
          <w:i w:val="0"/>
          <w:color w:val="222222"/>
          <w:sz w:val="22"/>
        </w:rPr>
        <w:t>Propose three policy interventions to integrate India's informal scrap network into the formal EPR chain.</w:t>
      </w:r>
    </w:p>
    <w:p w14:paraId="168C5B43">
      <w:r>
        <w:br w:type="page"/>
      </w:r>
    </w:p>
    <w:p w14:paraId="01D9F227">
      <w:pPr>
        <w:pStyle w:val="2"/>
        <w:keepNext/>
        <w:spacing w:before="360" w:after="160"/>
      </w:pPr>
      <w:r>
        <w:rPr>
          <w:rFonts w:ascii="Calibri" w:hAnsi="Calibri"/>
          <w:b/>
          <w:color w:val="1B365D"/>
          <w:sz w:val="36"/>
        </w:rPr>
        <w:t>Topic 5: Bengaluru—India's E-Waste Capital?</w:t>
      </w:r>
    </w:p>
    <w:p w14:paraId="4E4FFA0A">
      <w:pPr>
        <w:pStyle w:val="3"/>
        <w:keepNext/>
        <w:spacing w:before="280" w:after="120"/>
      </w:pPr>
      <w:r>
        <w:rPr>
          <w:rFonts w:ascii="Calibri" w:hAnsi="Calibri"/>
          <w:b/>
          <w:color w:val="2E75B6"/>
          <w:sz w:val="28"/>
        </w:rPr>
        <w:t>1. Executive Summary</w:t>
      </w:r>
    </w:p>
    <w:p w14:paraId="33084B35">
      <w:pPr>
        <w:spacing w:before="0" w:after="120" w:line="276" w:lineRule="auto"/>
        <w:jc w:val="left"/>
      </w:pPr>
      <w:r>
        <w:rPr>
          <w:rFonts w:ascii="Calibri" w:hAnsi="Calibri"/>
          <w:i w:val="0"/>
          <w:color w:val="222222"/>
          <w:sz w:val="22"/>
        </w:rPr>
        <w:t>Bengaluru, renowned as the 'Silicon Valley of India', generates over 100,000 tonnes of electronic waste annually—driven by its dense ecosystem of 70,000+ IT professionals, 3,500+ tech firms, and 35+ electronics manufacturing hubs. Despite housing pioneering formal recycling enterprises like E-Parisaraa, Bengaluru struggles with a massive informal recycling footprint concentrated in hotspots like Nayandahalli and Peenya. In these informal hubs, unsafe acid stripping and open burning contaminate local water bodies like the Vrishabhavathi River. This case study evaluates Bengaluru's dual e-waste ecosystem, analyzing how corporate green procurement coexists with hazardous informal disposal.</w:t>
      </w:r>
    </w:p>
    <w:p w14:paraId="183666F3">
      <w:pPr>
        <w:pStyle w:val="3"/>
        <w:keepNext/>
        <w:spacing w:before="280" w:after="120"/>
      </w:pPr>
      <w:r>
        <w:rPr>
          <w:rFonts w:ascii="Calibri" w:hAnsi="Calibri"/>
          <w:b/>
          <w:color w:val="2E75B6"/>
          <w:sz w:val="28"/>
        </w:rPr>
        <w:t>2. Background</w:t>
      </w:r>
    </w:p>
    <w:p w14:paraId="2D0A0C3D">
      <w:pPr>
        <w:spacing w:before="0" w:after="120" w:line="276" w:lineRule="auto"/>
        <w:jc w:val="left"/>
      </w:pPr>
      <w:r>
        <w:rPr>
          <w:rFonts w:ascii="Calibri" w:hAnsi="Calibri"/>
          <w:i w:val="0"/>
          <w:color w:val="222222"/>
          <w:sz w:val="22"/>
        </w:rPr>
        <w:t>Bengaluru's technological boom in the 1990s transformed it into India's premier IT hub. However, rapid hardware turnover in BPOs, software development centers, and data centers created an unprecedented wave of obsolete electronics. Corporate IT and bulk consumers account for approximately 70% of Bengaluru's e-waste, while individual households contribute 15%. While corporate IT firms adhere to asset-decommissioning policies, large volumes of discarded equipment leak into informal scrap markets through unverified auction channels.</w:t>
      </w:r>
    </w:p>
    <w:p w14:paraId="4F1B2921">
      <w:pPr>
        <w:pStyle w:val="3"/>
        <w:keepNext/>
        <w:spacing w:before="280" w:after="120"/>
      </w:pPr>
      <w:r>
        <w:rPr>
          <w:rFonts w:ascii="Calibri" w:hAnsi="Calibri"/>
          <w:b/>
          <w:color w:val="2E75B6"/>
          <w:sz w:val="28"/>
        </w:rPr>
        <w:t>3. Strategy / Initiative</w:t>
      </w:r>
    </w:p>
    <w:p w14:paraId="122F8B0E">
      <w:pPr>
        <w:spacing w:before="0" w:after="120" w:line="276" w:lineRule="auto"/>
        <w:jc w:val="left"/>
      </w:pPr>
      <w:r>
        <w:rPr>
          <w:rFonts w:ascii="Calibri" w:hAnsi="Calibri"/>
          <w:i w:val="0"/>
          <w:color w:val="222222"/>
          <w:sz w:val="22"/>
        </w:rPr>
        <w:t>Bengaluru's e-waste strategy presents a stark contrast between formal innovations and informal operations:</w:t>
      </w:r>
    </w:p>
    <w:p w14:paraId="3C51EF1C">
      <w:pPr>
        <w:pStyle w:val="23"/>
        <w:spacing w:before="40" w:after="80" w:line="276" w:lineRule="auto"/>
      </w:pPr>
      <w:r>
        <w:rPr>
          <w:rFonts w:ascii="Calibri" w:hAnsi="Calibri"/>
          <w:b/>
          <w:color w:val="1B365D"/>
          <w:sz w:val="22"/>
        </w:rPr>
        <w:t xml:space="preserve">Formal Sector Pioneers: </w:t>
      </w:r>
      <w:r>
        <w:rPr>
          <w:rFonts w:ascii="Calibri" w:hAnsi="Calibri"/>
          <w:color w:val="222222"/>
          <w:sz w:val="22"/>
        </w:rPr>
        <w:t>Bengaluru hosted E-Parisaraa, India's first CPCB-approved scientific e-waste recycling plant, specializing in eco-friendly mechanical dismantling and precious metal recovery.</w:t>
      </w:r>
    </w:p>
    <w:p w14:paraId="260F7859">
      <w:pPr>
        <w:pStyle w:val="23"/>
        <w:spacing w:before="40" w:after="80" w:line="276" w:lineRule="auto"/>
      </w:pPr>
      <w:r>
        <w:rPr>
          <w:rFonts w:ascii="Calibri" w:hAnsi="Calibri"/>
          <w:b/>
          <w:color w:val="1B365D"/>
          <w:sz w:val="22"/>
        </w:rPr>
        <w:t xml:space="preserve">Informal Hotspots (Nayandahalli &amp; Peenya): </w:t>
      </w:r>
      <w:r>
        <w:rPr>
          <w:rFonts w:ascii="Calibri" w:hAnsi="Calibri"/>
          <w:color w:val="222222"/>
          <w:sz w:val="22"/>
        </w:rPr>
        <w:t>Informal aggregators collect thousands of kilos of WEEE weekly. Printed Circuit Boards (PCBs) are subjected to crude nitric acid baths to extract gold, discharging toxic effluents directly into storm drains.</w:t>
      </w:r>
    </w:p>
    <w:p w14:paraId="4F90F218">
      <w:pPr>
        <w:pStyle w:val="23"/>
        <w:spacing w:before="40" w:after="80" w:line="276" w:lineRule="auto"/>
      </w:pPr>
      <w:r>
        <w:rPr>
          <w:rFonts w:ascii="Calibri" w:hAnsi="Calibri"/>
          <w:b/>
          <w:color w:val="1B365D"/>
          <w:sz w:val="22"/>
        </w:rPr>
        <w:t xml:space="preserve">Municipal &amp; Corporate Initiatives: </w:t>
      </w:r>
      <w:r>
        <w:rPr>
          <w:rFonts w:ascii="Calibri" w:hAnsi="Calibri"/>
          <w:color w:val="222222"/>
          <w:sz w:val="22"/>
        </w:rPr>
        <w:t>BBMP (Bruhat Bengaluru Mahanagara Palike) partnered with formal recyclers to establish e-waste collection centers at dry waste collection centers (DWCCs).</w:t>
      </w:r>
    </w:p>
    <w:p w14:paraId="66B6302B">
      <w:pPr>
        <w:pStyle w:val="3"/>
        <w:keepNext/>
        <w:spacing w:before="280" w:after="120"/>
      </w:pPr>
      <w:r>
        <w:rPr>
          <w:rFonts w:ascii="Calibri" w:hAnsi="Calibri"/>
          <w:b/>
          <w:color w:val="2E75B6"/>
          <w:sz w:val="28"/>
        </w:rPr>
        <w:t>4. Impact &amp; Results with Data Table</w:t>
      </w:r>
    </w:p>
    <w:p w14:paraId="27AEF44E">
      <w:pPr>
        <w:spacing w:before="0" w:after="120" w:line="276" w:lineRule="auto"/>
        <w:jc w:val="left"/>
      </w:pPr>
      <w:r>
        <w:rPr>
          <w:rFonts w:ascii="Calibri" w:hAnsi="Calibri"/>
          <w:i w:val="0"/>
          <w:color w:val="222222"/>
          <w:sz w:val="22"/>
        </w:rPr>
        <w:t>The operational landscape of Bengaluru's e-waste sector reflects significant volume generation alongside severe environmental contamination.</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340"/>
        <w:gridCol w:w="2340"/>
        <w:gridCol w:w="2340"/>
        <w:gridCol w:w="2340"/>
      </w:tblGrid>
      <w:tr w14:paraId="1784173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1B365D"/>
            <w:tcMar>
              <w:top w:w="120" w:type="dxa"/>
              <w:left w:w="150" w:type="dxa"/>
              <w:bottom w:w="120" w:type="dxa"/>
              <w:right w:w="150" w:type="dxa"/>
            </w:tcMar>
          </w:tcPr>
          <w:p w14:paraId="32BB7D2E">
            <w:pPr>
              <w:spacing w:before="0" w:after="0"/>
              <w:jc w:val="left"/>
            </w:pPr>
            <w:r>
              <w:rPr>
                <w:rFonts w:ascii="Calibri" w:hAnsi="Calibri"/>
                <w:b/>
                <w:color w:val="FFFFFF"/>
                <w:sz w:val="21"/>
              </w:rPr>
              <w:t>Sector / Indicator</w:t>
            </w:r>
          </w:p>
        </w:tc>
        <w:tc>
          <w:tcPr>
            <w:tcW w:w="2160" w:type="dxa"/>
            <w:shd w:val="clear" w:color="auto" w:fill="1B365D"/>
            <w:tcMar>
              <w:top w:w="120" w:type="dxa"/>
              <w:left w:w="150" w:type="dxa"/>
              <w:bottom w:w="120" w:type="dxa"/>
              <w:right w:w="150" w:type="dxa"/>
            </w:tcMar>
          </w:tcPr>
          <w:p w14:paraId="356C87B7">
            <w:pPr>
              <w:spacing w:before="0" w:after="0"/>
              <w:jc w:val="left"/>
            </w:pPr>
            <w:r>
              <w:rPr>
                <w:rFonts w:ascii="Calibri" w:hAnsi="Calibri"/>
                <w:b/>
                <w:color w:val="FFFFFF"/>
                <w:sz w:val="21"/>
              </w:rPr>
              <w:t>Estimated Annual Share / Metrics</w:t>
            </w:r>
          </w:p>
        </w:tc>
        <w:tc>
          <w:tcPr>
            <w:tcW w:w="2592" w:type="dxa"/>
            <w:shd w:val="clear" w:color="auto" w:fill="1B365D"/>
            <w:tcMar>
              <w:top w:w="120" w:type="dxa"/>
              <w:left w:w="150" w:type="dxa"/>
              <w:bottom w:w="120" w:type="dxa"/>
              <w:right w:w="150" w:type="dxa"/>
            </w:tcMar>
          </w:tcPr>
          <w:p w14:paraId="51715160">
            <w:pPr>
              <w:spacing w:before="0" w:after="0"/>
              <w:jc w:val="left"/>
            </w:pPr>
            <w:r>
              <w:rPr>
                <w:rFonts w:ascii="Calibri" w:hAnsi="Calibri"/>
                <w:b/>
                <w:color w:val="FFFFFF"/>
                <w:sz w:val="21"/>
              </w:rPr>
              <w:t>Primary Operational Methods</w:t>
            </w:r>
          </w:p>
        </w:tc>
        <w:tc>
          <w:tcPr>
            <w:tcW w:w="2448" w:type="dxa"/>
            <w:shd w:val="clear" w:color="auto" w:fill="1B365D"/>
            <w:tcMar>
              <w:top w:w="120" w:type="dxa"/>
              <w:left w:w="150" w:type="dxa"/>
              <w:bottom w:w="120" w:type="dxa"/>
              <w:right w:w="150" w:type="dxa"/>
            </w:tcMar>
          </w:tcPr>
          <w:p w14:paraId="50518EF5">
            <w:pPr>
              <w:spacing w:before="0" w:after="0"/>
              <w:jc w:val="left"/>
            </w:pPr>
            <w:r>
              <w:rPr>
                <w:rFonts w:ascii="Calibri" w:hAnsi="Calibri"/>
                <w:b/>
                <w:color w:val="FFFFFF"/>
                <w:sz w:val="21"/>
              </w:rPr>
              <w:t>Environmental &amp; Health Impact</w:t>
            </w:r>
          </w:p>
        </w:tc>
      </w:tr>
      <w:tr w14:paraId="5DED5D0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418E57C4">
            <w:pPr>
              <w:spacing w:before="0" w:after="0" w:line="276" w:lineRule="auto"/>
              <w:jc w:val="left"/>
            </w:pPr>
            <w:r>
              <w:rPr>
                <w:rFonts w:ascii="Calibri" w:hAnsi="Calibri"/>
                <w:color w:val="222222"/>
                <w:sz w:val="20"/>
              </w:rPr>
              <w:t>Corporate IT &amp; Software Parks</w:t>
            </w:r>
          </w:p>
        </w:tc>
        <w:tc>
          <w:tcPr>
            <w:tcW w:w="2160" w:type="dxa"/>
            <w:shd w:val="clear" w:color="auto" w:fill="FFFFFF"/>
            <w:tcMar>
              <w:top w:w="100" w:type="dxa"/>
              <w:left w:w="150" w:type="dxa"/>
              <w:bottom w:w="100" w:type="dxa"/>
              <w:right w:w="150" w:type="dxa"/>
            </w:tcMar>
          </w:tcPr>
          <w:p w14:paraId="25D895C1">
            <w:pPr>
              <w:spacing w:before="0" w:after="0" w:line="276" w:lineRule="auto"/>
              <w:jc w:val="left"/>
            </w:pPr>
            <w:r>
              <w:rPr>
                <w:rFonts w:ascii="Calibri" w:hAnsi="Calibri"/>
                <w:color w:val="222222"/>
                <w:sz w:val="20"/>
              </w:rPr>
              <w:t>70% of total city generation (~70,000 Tonnes)</w:t>
            </w:r>
          </w:p>
        </w:tc>
        <w:tc>
          <w:tcPr>
            <w:tcW w:w="2592" w:type="dxa"/>
            <w:shd w:val="clear" w:color="auto" w:fill="FFFFFF"/>
            <w:tcMar>
              <w:top w:w="100" w:type="dxa"/>
              <w:left w:w="150" w:type="dxa"/>
              <w:bottom w:w="100" w:type="dxa"/>
              <w:right w:w="150" w:type="dxa"/>
            </w:tcMar>
          </w:tcPr>
          <w:p w14:paraId="4B5244D4">
            <w:pPr>
              <w:spacing w:before="0" w:after="0" w:line="276" w:lineRule="auto"/>
              <w:jc w:val="left"/>
            </w:pPr>
            <w:r>
              <w:rPr>
                <w:rFonts w:ascii="Calibri" w:hAnsi="Calibri"/>
                <w:color w:val="222222"/>
                <w:sz w:val="20"/>
              </w:rPr>
              <w:t>Formal auctioning, asset decommissioning, E-Parisaraa tie-ups</w:t>
            </w:r>
          </w:p>
        </w:tc>
        <w:tc>
          <w:tcPr>
            <w:tcW w:w="2448" w:type="dxa"/>
            <w:shd w:val="clear" w:color="auto" w:fill="FFFFFF"/>
            <w:tcMar>
              <w:top w:w="100" w:type="dxa"/>
              <w:left w:w="150" w:type="dxa"/>
              <w:bottom w:w="100" w:type="dxa"/>
              <w:right w:w="150" w:type="dxa"/>
            </w:tcMar>
          </w:tcPr>
          <w:p w14:paraId="0B15029C">
            <w:pPr>
              <w:spacing w:before="0" w:after="0" w:line="276" w:lineRule="auto"/>
              <w:jc w:val="left"/>
            </w:pPr>
            <w:r>
              <w:rPr>
                <w:rFonts w:ascii="Calibri" w:hAnsi="Calibri"/>
                <w:color w:val="222222"/>
                <w:sz w:val="20"/>
              </w:rPr>
              <w:t>High compliance, traceable physical disposal chain</w:t>
            </w:r>
          </w:p>
        </w:tc>
      </w:tr>
      <w:tr w14:paraId="08EDA67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33180677">
            <w:pPr>
              <w:spacing w:before="0" w:after="0" w:line="276" w:lineRule="auto"/>
              <w:jc w:val="left"/>
            </w:pPr>
            <w:r>
              <w:rPr>
                <w:rFonts w:ascii="Calibri" w:hAnsi="Calibri"/>
                <w:color w:val="222222"/>
                <w:sz w:val="20"/>
              </w:rPr>
              <w:t>Individual Households &amp; SMEs</w:t>
            </w:r>
          </w:p>
        </w:tc>
        <w:tc>
          <w:tcPr>
            <w:tcW w:w="2160" w:type="dxa"/>
            <w:shd w:val="clear" w:color="auto" w:fill="F8F9FA"/>
            <w:tcMar>
              <w:top w:w="100" w:type="dxa"/>
              <w:left w:w="150" w:type="dxa"/>
              <w:bottom w:w="100" w:type="dxa"/>
              <w:right w:w="150" w:type="dxa"/>
            </w:tcMar>
          </w:tcPr>
          <w:p w14:paraId="4AE347A7">
            <w:pPr>
              <w:spacing w:before="0" w:after="0" w:line="276" w:lineRule="auto"/>
              <w:jc w:val="left"/>
            </w:pPr>
            <w:r>
              <w:rPr>
                <w:rFonts w:ascii="Calibri" w:hAnsi="Calibri"/>
                <w:color w:val="222222"/>
                <w:sz w:val="20"/>
              </w:rPr>
              <w:t>15% household, 15% small commercial</w:t>
            </w:r>
          </w:p>
        </w:tc>
        <w:tc>
          <w:tcPr>
            <w:tcW w:w="2592" w:type="dxa"/>
            <w:shd w:val="clear" w:color="auto" w:fill="F8F9FA"/>
            <w:tcMar>
              <w:top w:w="100" w:type="dxa"/>
              <w:left w:w="150" w:type="dxa"/>
              <w:bottom w:w="100" w:type="dxa"/>
              <w:right w:w="150" w:type="dxa"/>
            </w:tcMar>
          </w:tcPr>
          <w:p w14:paraId="7FCAE512">
            <w:pPr>
              <w:spacing w:before="0" w:after="0" w:line="276" w:lineRule="auto"/>
              <w:jc w:val="left"/>
            </w:pPr>
            <w:r>
              <w:rPr>
                <w:rFonts w:ascii="Calibri" w:hAnsi="Calibri"/>
                <w:color w:val="222222"/>
                <w:sz w:val="20"/>
              </w:rPr>
              <w:t>Door-to-door sale to informal scrap dealers ('kabadiwalas')</w:t>
            </w:r>
          </w:p>
        </w:tc>
        <w:tc>
          <w:tcPr>
            <w:tcW w:w="2448" w:type="dxa"/>
            <w:shd w:val="clear" w:color="auto" w:fill="F8F9FA"/>
            <w:tcMar>
              <w:top w:w="100" w:type="dxa"/>
              <w:left w:w="150" w:type="dxa"/>
              <w:bottom w:w="100" w:type="dxa"/>
              <w:right w:w="150" w:type="dxa"/>
            </w:tcMar>
          </w:tcPr>
          <w:p w14:paraId="60C9E6AF">
            <w:pPr>
              <w:spacing w:before="0" w:after="0" w:line="276" w:lineRule="auto"/>
              <w:jc w:val="left"/>
            </w:pPr>
            <w:r>
              <w:rPr>
                <w:rFonts w:ascii="Calibri" w:hAnsi="Calibri"/>
                <w:color w:val="222222"/>
                <w:sz w:val="20"/>
              </w:rPr>
              <w:t>Long-term hoarding, leakage into unorganized informal channels</w:t>
            </w:r>
          </w:p>
        </w:tc>
      </w:tr>
      <w:tr w14:paraId="475EC8A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7316BC7A">
            <w:pPr>
              <w:spacing w:before="0" w:after="0" w:line="276" w:lineRule="auto"/>
              <w:jc w:val="left"/>
            </w:pPr>
            <w:r>
              <w:rPr>
                <w:rFonts w:ascii="Calibri" w:hAnsi="Calibri"/>
                <w:color w:val="222222"/>
                <w:sz w:val="20"/>
              </w:rPr>
              <w:t>Informal Hubs (Nayandahalli)</w:t>
            </w:r>
          </w:p>
        </w:tc>
        <w:tc>
          <w:tcPr>
            <w:tcW w:w="2160" w:type="dxa"/>
            <w:shd w:val="clear" w:color="auto" w:fill="FFFFFF"/>
            <w:tcMar>
              <w:top w:w="100" w:type="dxa"/>
              <w:left w:w="150" w:type="dxa"/>
              <w:bottom w:w="100" w:type="dxa"/>
              <w:right w:w="150" w:type="dxa"/>
            </w:tcMar>
          </w:tcPr>
          <w:p w14:paraId="37D7686E">
            <w:pPr>
              <w:spacing w:before="0" w:after="0" w:line="276" w:lineRule="auto"/>
              <w:jc w:val="left"/>
            </w:pPr>
            <w:r>
              <w:rPr>
                <w:rFonts w:ascii="Calibri" w:hAnsi="Calibri"/>
                <w:color w:val="222222"/>
                <w:sz w:val="20"/>
              </w:rPr>
              <w:t>~60% of physical processing volume</w:t>
            </w:r>
          </w:p>
        </w:tc>
        <w:tc>
          <w:tcPr>
            <w:tcW w:w="2592" w:type="dxa"/>
            <w:shd w:val="clear" w:color="auto" w:fill="FFFFFF"/>
            <w:tcMar>
              <w:top w:w="100" w:type="dxa"/>
              <w:left w:w="150" w:type="dxa"/>
              <w:bottom w:w="100" w:type="dxa"/>
              <w:right w:w="150" w:type="dxa"/>
            </w:tcMar>
          </w:tcPr>
          <w:p w14:paraId="1213ACDA">
            <w:pPr>
              <w:spacing w:before="0" w:after="0" w:line="276" w:lineRule="auto"/>
              <w:jc w:val="left"/>
            </w:pPr>
            <w:r>
              <w:rPr>
                <w:rFonts w:ascii="Calibri" w:hAnsi="Calibri"/>
                <w:color w:val="222222"/>
                <w:sz w:val="20"/>
              </w:rPr>
              <w:t>Acid bath leaching for gold/copper, open CRT dumping</w:t>
            </w:r>
          </w:p>
        </w:tc>
        <w:tc>
          <w:tcPr>
            <w:tcW w:w="2448" w:type="dxa"/>
            <w:shd w:val="clear" w:color="auto" w:fill="FFFFFF"/>
            <w:tcMar>
              <w:top w:w="100" w:type="dxa"/>
              <w:left w:w="150" w:type="dxa"/>
              <w:bottom w:w="100" w:type="dxa"/>
              <w:right w:w="150" w:type="dxa"/>
            </w:tcMar>
          </w:tcPr>
          <w:p w14:paraId="31E4CE68">
            <w:pPr>
              <w:spacing w:before="0" w:after="0" w:line="276" w:lineRule="auto"/>
              <w:jc w:val="left"/>
            </w:pPr>
            <w:r>
              <w:rPr>
                <w:rFonts w:ascii="Calibri" w:hAnsi="Calibri"/>
                <w:color w:val="222222"/>
                <w:sz w:val="20"/>
              </w:rPr>
              <w:t>Severe lead, mercury, and acid pollution in Vrishabhavathi River</w:t>
            </w:r>
          </w:p>
        </w:tc>
      </w:tr>
      <w:tr w14:paraId="3923ECA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4FC98091">
            <w:pPr>
              <w:spacing w:before="0" w:after="0" w:line="276" w:lineRule="auto"/>
              <w:jc w:val="left"/>
            </w:pPr>
            <w:r>
              <w:rPr>
                <w:rFonts w:ascii="Calibri" w:hAnsi="Calibri"/>
                <w:color w:val="222222"/>
                <w:sz w:val="20"/>
              </w:rPr>
              <w:t>Formal Recyclers (E-Parisaraa+)</w:t>
            </w:r>
          </w:p>
        </w:tc>
        <w:tc>
          <w:tcPr>
            <w:tcW w:w="2160" w:type="dxa"/>
            <w:shd w:val="clear" w:color="auto" w:fill="F8F9FA"/>
            <w:tcMar>
              <w:top w:w="100" w:type="dxa"/>
              <w:left w:w="150" w:type="dxa"/>
              <w:bottom w:w="100" w:type="dxa"/>
              <w:right w:w="150" w:type="dxa"/>
            </w:tcMar>
          </w:tcPr>
          <w:p w14:paraId="3D67C562">
            <w:pPr>
              <w:spacing w:before="0" w:after="0" w:line="276" w:lineRule="auto"/>
              <w:jc w:val="left"/>
            </w:pPr>
            <w:r>
              <w:rPr>
                <w:rFonts w:ascii="Calibri" w:hAnsi="Calibri"/>
                <w:color w:val="222222"/>
                <w:sz w:val="20"/>
              </w:rPr>
              <w:t>~40% of formal processing capacity</w:t>
            </w:r>
          </w:p>
        </w:tc>
        <w:tc>
          <w:tcPr>
            <w:tcW w:w="2592" w:type="dxa"/>
            <w:shd w:val="clear" w:color="auto" w:fill="F8F9FA"/>
            <w:tcMar>
              <w:top w:w="100" w:type="dxa"/>
              <w:left w:w="150" w:type="dxa"/>
              <w:bottom w:w="100" w:type="dxa"/>
              <w:right w:w="150" w:type="dxa"/>
            </w:tcMar>
          </w:tcPr>
          <w:p w14:paraId="3801CC02">
            <w:pPr>
              <w:spacing w:before="0" w:after="0" w:line="276" w:lineRule="auto"/>
              <w:jc w:val="left"/>
            </w:pPr>
            <w:r>
              <w:rPr>
                <w:rFonts w:ascii="Calibri" w:hAnsi="Calibri"/>
                <w:color w:val="222222"/>
                <w:sz w:val="20"/>
              </w:rPr>
              <w:t>Mechanical shredding, magnetic sorting, CPCB compliance</w:t>
            </w:r>
          </w:p>
        </w:tc>
        <w:tc>
          <w:tcPr>
            <w:tcW w:w="2448" w:type="dxa"/>
            <w:shd w:val="clear" w:color="auto" w:fill="F8F9FA"/>
            <w:tcMar>
              <w:top w:w="100" w:type="dxa"/>
              <w:left w:w="150" w:type="dxa"/>
              <w:bottom w:w="100" w:type="dxa"/>
              <w:right w:w="150" w:type="dxa"/>
            </w:tcMar>
          </w:tcPr>
          <w:p w14:paraId="21535811">
            <w:pPr>
              <w:spacing w:before="0" w:after="0" w:line="276" w:lineRule="auto"/>
              <w:jc w:val="left"/>
            </w:pPr>
            <w:r>
              <w:rPr>
                <w:rFonts w:ascii="Calibri" w:hAnsi="Calibri"/>
                <w:color w:val="222222"/>
                <w:sz w:val="20"/>
              </w:rPr>
              <w:t>High material recovery with zero toxic direct discharge</w:t>
            </w:r>
          </w:p>
        </w:tc>
      </w:tr>
    </w:tbl>
    <w:p w14:paraId="03623DDD">
      <w:pPr>
        <w:spacing w:before="0" w:after="160"/>
      </w:pPr>
    </w:p>
    <w:p w14:paraId="1DC83CDD">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2404EA85">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8F5E9"/>
            <w:tcMar>
              <w:top w:w="120" w:type="dxa"/>
              <w:left w:w="150" w:type="dxa"/>
              <w:bottom w:w="120" w:type="dxa"/>
              <w:right w:w="150" w:type="dxa"/>
            </w:tcMar>
          </w:tcPr>
          <w:p w14:paraId="27342CA3">
            <w:pPr>
              <w:spacing w:before="0" w:after="80"/>
            </w:pPr>
            <w:r>
              <w:rPr>
                <w:rFonts w:ascii="Calibri" w:hAnsi="Calibri"/>
                <w:b/>
                <w:color w:val="2E7D32"/>
                <w:sz w:val="22"/>
              </w:rPr>
              <w:t>💪 STRENGTHS (Internal)</w:t>
            </w:r>
          </w:p>
          <w:p w14:paraId="01CD6ADC">
            <w:pPr>
              <w:pStyle w:val="23"/>
              <w:spacing w:before="40" w:after="40" w:line="276" w:lineRule="auto"/>
            </w:pPr>
            <w:r>
              <w:rPr>
                <w:rFonts w:ascii="Calibri" w:hAnsi="Calibri"/>
                <w:color w:val="333333"/>
                <w:sz w:val="19"/>
              </w:rPr>
              <w:t>Presence of India's leading IT companies with formal green procurement</w:t>
            </w:r>
          </w:p>
          <w:p w14:paraId="4DCA2C0B">
            <w:pPr>
              <w:pStyle w:val="23"/>
              <w:spacing w:before="40" w:after="40" w:line="276" w:lineRule="auto"/>
            </w:pPr>
            <w:r>
              <w:rPr>
                <w:rFonts w:ascii="Calibri" w:hAnsi="Calibri"/>
                <w:color w:val="333333"/>
                <w:sz w:val="19"/>
              </w:rPr>
              <w:t>Pioneering formal recycling facilities (E-Parisaraa) in close proximity</w:t>
            </w:r>
          </w:p>
          <w:p w14:paraId="122E2B33">
            <w:pPr>
              <w:pStyle w:val="23"/>
              <w:spacing w:before="40" w:after="40" w:line="276" w:lineRule="auto"/>
            </w:pPr>
            <w:r>
              <w:rPr>
                <w:rFonts w:ascii="Calibri" w:hAnsi="Calibri"/>
                <w:color w:val="333333"/>
                <w:sz w:val="19"/>
              </w:rPr>
              <w:t>High concentration of skilled technical workforce and research institutions</w:t>
            </w:r>
          </w:p>
        </w:tc>
        <w:tc>
          <w:tcPr>
            <w:tcW w:w="4680" w:type="dxa"/>
            <w:shd w:val="clear" w:color="auto" w:fill="FFEBEE"/>
            <w:tcMar>
              <w:top w:w="120" w:type="dxa"/>
              <w:left w:w="150" w:type="dxa"/>
              <w:bottom w:w="120" w:type="dxa"/>
              <w:right w:w="150" w:type="dxa"/>
            </w:tcMar>
          </w:tcPr>
          <w:p w14:paraId="030EC79F">
            <w:pPr>
              <w:spacing w:before="0" w:after="80"/>
            </w:pPr>
            <w:r>
              <w:rPr>
                <w:rFonts w:ascii="Calibri" w:hAnsi="Calibri"/>
                <w:b/>
                <w:color w:val="C62828"/>
                <w:sz w:val="22"/>
              </w:rPr>
              <w:t>⚠️ WEAKNESSES (Internal)</w:t>
            </w:r>
          </w:p>
          <w:p w14:paraId="0C9FCC26">
            <w:pPr>
              <w:pStyle w:val="23"/>
              <w:spacing w:before="40" w:after="40" w:line="276" w:lineRule="auto"/>
            </w:pPr>
            <w:r>
              <w:rPr>
                <w:rFonts w:ascii="Calibri" w:hAnsi="Calibri"/>
                <w:color w:val="333333"/>
                <w:sz w:val="19"/>
              </w:rPr>
              <w:t>Severe environmental degradation in informal hubs like Nayandahalli</w:t>
            </w:r>
          </w:p>
          <w:p w14:paraId="5C6A3C64">
            <w:pPr>
              <w:pStyle w:val="23"/>
              <w:spacing w:before="40" w:after="40" w:line="276" w:lineRule="auto"/>
            </w:pPr>
            <w:r>
              <w:rPr>
                <w:rFonts w:ascii="Calibri" w:hAnsi="Calibri"/>
                <w:color w:val="333333"/>
                <w:sz w:val="19"/>
              </w:rPr>
              <w:t>Low public awareness among residential consumers regarding WEEE drop-offs</w:t>
            </w:r>
          </w:p>
          <w:p w14:paraId="740E0363">
            <w:pPr>
              <w:pStyle w:val="23"/>
              <w:spacing w:before="40" w:after="40" w:line="276" w:lineRule="auto"/>
            </w:pPr>
            <w:r>
              <w:rPr>
                <w:rFonts w:ascii="Calibri" w:hAnsi="Calibri"/>
                <w:color w:val="333333"/>
                <w:sz w:val="19"/>
              </w:rPr>
              <w:t>High land costs preventing expansion of formal recycling parks</w:t>
            </w:r>
          </w:p>
        </w:tc>
      </w:tr>
      <w:tr w14:paraId="1AC66E48">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6B32723B">
            <w:pPr>
              <w:spacing w:before="0" w:after="80"/>
            </w:pPr>
            <w:r>
              <w:rPr>
                <w:rFonts w:ascii="Calibri" w:hAnsi="Calibri"/>
                <w:b/>
                <w:color w:val="1565C0"/>
                <w:sz w:val="22"/>
              </w:rPr>
              <w:t>🚀 OPPORTUNITIES (External)</w:t>
            </w:r>
          </w:p>
          <w:p w14:paraId="2E92C5A6">
            <w:pPr>
              <w:pStyle w:val="23"/>
              <w:spacing w:before="40" w:after="40" w:line="276" w:lineRule="auto"/>
            </w:pPr>
            <w:r>
              <w:rPr>
                <w:rFonts w:ascii="Calibri" w:hAnsi="Calibri"/>
                <w:color w:val="333333"/>
                <w:sz w:val="19"/>
              </w:rPr>
              <w:t>Establishing specialized E-Waste Industrial Parks in hardware corridors</w:t>
            </w:r>
          </w:p>
          <w:p w14:paraId="38BD4EEA">
            <w:pPr>
              <w:pStyle w:val="23"/>
              <w:spacing w:before="40" w:after="40" w:line="276" w:lineRule="auto"/>
            </w:pPr>
            <w:r>
              <w:rPr>
                <w:rFonts w:ascii="Calibri" w:hAnsi="Calibri"/>
                <w:color w:val="333333"/>
                <w:sz w:val="19"/>
              </w:rPr>
              <w:t>Integrating BBMP Dry Waste Collection Centers with formal recyclers</w:t>
            </w:r>
          </w:p>
          <w:p w14:paraId="6C5DF747">
            <w:pPr>
              <w:pStyle w:val="23"/>
              <w:spacing w:before="40" w:after="40" w:line="276" w:lineRule="auto"/>
            </w:pPr>
            <w:r>
              <w:rPr>
                <w:rFonts w:ascii="Calibri" w:hAnsi="Calibri"/>
                <w:color w:val="333333"/>
                <w:sz w:val="19"/>
              </w:rPr>
              <w:t>Corporate Social Responsibility (CSR) funding for informal worker safety</w:t>
            </w:r>
          </w:p>
        </w:tc>
        <w:tc>
          <w:tcPr>
            <w:tcW w:w="4680" w:type="dxa"/>
            <w:shd w:val="clear" w:color="auto" w:fill="FFF3E0"/>
            <w:tcMar>
              <w:top w:w="120" w:type="dxa"/>
              <w:left w:w="150" w:type="dxa"/>
              <w:bottom w:w="120" w:type="dxa"/>
              <w:right w:w="150" w:type="dxa"/>
            </w:tcMar>
          </w:tcPr>
          <w:p w14:paraId="72392D15">
            <w:pPr>
              <w:spacing w:before="0" w:after="80"/>
            </w:pPr>
            <w:r>
              <w:rPr>
                <w:rFonts w:ascii="Calibri" w:hAnsi="Calibri"/>
                <w:b/>
                <w:color w:val="E65100"/>
                <w:sz w:val="22"/>
              </w:rPr>
              <w:t>⚡ THREATS (External)</w:t>
            </w:r>
          </w:p>
          <w:p w14:paraId="38178296">
            <w:pPr>
              <w:pStyle w:val="23"/>
              <w:spacing w:before="40" w:after="40" w:line="276" w:lineRule="auto"/>
            </w:pPr>
            <w:r>
              <w:rPr>
                <w:rFonts w:ascii="Calibri" w:hAnsi="Calibri"/>
                <w:color w:val="333333"/>
                <w:sz w:val="19"/>
              </w:rPr>
              <w:t>Contamination of urban water tables and soil with lead and heavy metals</w:t>
            </w:r>
          </w:p>
          <w:p w14:paraId="326F01A5">
            <w:pPr>
              <w:pStyle w:val="23"/>
              <w:spacing w:before="40" w:after="40" w:line="276" w:lineRule="auto"/>
            </w:pPr>
            <w:r>
              <w:rPr>
                <w:rFonts w:ascii="Calibri" w:hAnsi="Calibri"/>
                <w:color w:val="333333"/>
                <w:sz w:val="19"/>
              </w:rPr>
              <w:t>Occupational health crises among informal workers (respiratory, skin diseases)</w:t>
            </w:r>
          </w:p>
          <w:p w14:paraId="29304A66">
            <w:pPr>
              <w:pStyle w:val="23"/>
              <w:spacing w:before="40" w:after="40" w:line="276" w:lineRule="auto"/>
            </w:pPr>
            <w:r>
              <w:rPr>
                <w:rFonts w:ascii="Calibri" w:hAnsi="Calibri"/>
                <w:color w:val="333333"/>
                <w:sz w:val="19"/>
              </w:rPr>
              <w:t>Informal scrap dealers outbidding formal recyclers for raw corporate waste</w:t>
            </w:r>
          </w:p>
        </w:tc>
      </w:tr>
    </w:tbl>
    <w:p w14:paraId="46985832">
      <w:pPr>
        <w:spacing w:before="0" w:after="160"/>
      </w:pPr>
    </w:p>
    <w:p w14:paraId="1961B0B7">
      <w:pPr>
        <w:pStyle w:val="3"/>
        <w:keepNext/>
        <w:spacing w:before="280" w:after="120"/>
      </w:pPr>
      <w:r>
        <w:rPr>
          <w:rFonts w:ascii="Calibri" w:hAnsi="Calibri"/>
          <w:b/>
          <w:color w:val="2E75B6"/>
          <w:sz w:val="28"/>
        </w:rPr>
        <w:t>6. Comparison with National Scenario</w:t>
      </w:r>
    </w:p>
    <w:p w14:paraId="25872548">
      <w:pPr>
        <w:pStyle w:val="23"/>
        <w:spacing w:before="40" w:after="80" w:line="276" w:lineRule="auto"/>
      </w:pPr>
      <w:r>
        <w:rPr>
          <w:rFonts w:ascii="Calibri" w:hAnsi="Calibri"/>
          <w:b/>
          <w:color w:val="1B365D"/>
          <w:sz w:val="22"/>
        </w:rPr>
        <w:t xml:space="preserve">Corporate Concentration: </w:t>
      </w:r>
      <w:r>
        <w:rPr>
          <w:rFonts w:ascii="Calibri" w:hAnsi="Calibri"/>
          <w:color w:val="222222"/>
          <w:sz w:val="22"/>
        </w:rPr>
        <w:t>Unlike other Indian cities where household waste dominates, Bengaluru's e-waste is 70% corporate-driven, making corporate auction policies the single most critical leverage point.</w:t>
      </w:r>
    </w:p>
    <w:p w14:paraId="2A7A5704">
      <w:pPr>
        <w:pStyle w:val="3"/>
        <w:keepNext/>
        <w:spacing w:before="280" w:after="120"/>
      </w:pPr>
      <w:r>
        <w:rPr>
          <w:rFonts w:ascii="Calibri" w:hAnsi="Calibri"/>
          <w:b/>
          <w:color w:val="2E75B6"/>
          <w:sz w:val="28"/>
        </w:rPr>
        <w:t>7. Recommendations</w:t>
      </w:r>
    </w:p>
    <w:p w14:paraId="758BBB9E">
      <w:pPr>
        <w:pStyle w:val="23"/>
        <w:spacing w:before="40" w:after="80" w:line="276" w:lineRule="auto"/>
      </w:pPr>
      <w:r>
        <w:rPr>
          <w:rFonts w:ascii="Calibri" w:hAnsi="Calibri"/>
          <w:b/>
          <w:color w:val="1B365D"/>
          <w:sz w:val="22"/>
        </w:rPr>
        <w:t xml:space="preserve">Mandatory Formal Auctions: </w:t>
      </w:r>
      <w:r>
        <w:rPr>
          <w:rFonts w:ascii="Calibri" w:hAnsi="Calibri"/>
          <w:color w:val="222222"/>
          <w:sz w:val="22"/>
        </w:rPr>
        <w:t>Legally require all IT parks and software firms to sell WEEE exclusively to CPCB-registered recyclers.</w:t>
      </w:r>
    </w:p>
    <w:p w14:paraId="78772A29">
      <w:pPr>
        <w:pStyle w:val="23"/>
        <w:spacing w:before="40" w:after="80" w:line="276" w:lineRule="auto"/>
      </w:pPr>
      <w:r>
        <w:rPr>
          <w:rFonts w:ascii="Calibri" w:hAnsi="Calibri"/>
          <w:b/>
          <w:color w:val="1B365D"/>
          <w:sz w:val="22"/>
        </w:rPr>
        <w:t xml:space="preserve">Informal Hub Remediation: </w:t>
      </w:r>
      <w:r>
        <w:rPr>
          <w:rFonts w:ascii="Calibri" w:hAnsi="Calibri"/>
          <w:color w:val="222222"/>
          <w:sz w:val="22"/>
        </w:rPr>
        <w:t>Establish clean technology cluster centers in Nayandahalli equipped with safe hydrometallurgical processing tools.</w:t>
      </w:r>
    </w:p>
    <w:p w14:paraId="795B5E1F">
      <w:pPr>
        <w:pStyle w:val="23"/>
        <w:spacing w:before="40" w:after="80" w:line="276" w:lineRule="auto"/>
      </w:pPr>
      <w:r>
        <w:rPr>
          <w:rFonts w:ascii="Calibri" w:hAnsi="Calibri"/>
          <w:b/>
          <w:color w:val="1B365D"/>
          <w:sz w:val="22"/>
        </w:rPr>
        <w:t xml:space="preserve">BBMP Drop-off Network Expansion: </w:t>
      </w:r>
      <w:r>
        <w:rPr>
          <w:rFonts w:ascii="Calibri" w:hAnsi="Calibri"/>
          <w:color w:val="222222"/>
          <w:sz w:val="22"/>
        </w:rPr>
        <w:t>Equip all 198 BBMP ward dry waste collection centers with dedicated e-waste storage bins.</w:t>
      </w:r>
    </w:p>
    <w:p w14:paraId="2F689F52">
      <w:pPr>
        <w:pStyle w:val="3"/>
        <w:keepNext/>
        <w:spacing w:before="280" w:after="120"/>
      </w:pPr>
      <w:r>
        <w:rPr>
          <w:rFonts w:ascii="Calibri" w:hAnsi="Calibri"/>
          <w:b/>
          <w:color w:val="2E75B6"/>
          <w:sz w:val="28"/>
        </w:rPr>
        <w:t>8. Conclusion</w:t>
      </w:r>
    </w:p>
    <w:p w14:paraId="23CCBDC0">
      <w:pPr>
        <w:spacing w:before="0" w:after="120" w:line="276" w:lineRule="auto"/>
        <w:jc w:val="left"/>
      </w:pPr>
      <w:r>
        <w:rPr>
          <w:rFonts w:ascii="Calibri" w:hAnsi="Calibri"/>
          <w:i w:val="0"/>
          <w:color w:val="222222"/>
          <w:sz w:val="22"/>
        </w:rPr>
        <w:t>Bengaluru possesses both the technological expertise and corporate density to lead India's e-waste revolution, provided it bridges the divide between corporate IT compliance and informal processing in Nayandahalli.</w:t>
      </w:r>
    </w:p>
    <w:p w14:paraId="57AA6E32">
      <w:pPr>
        <w:pStyle w:val="3"/>
        <w:keepNext/>
        <w:spacing w:before="280" w:after="120"/>
      </w:pPr>
      <w:r>
        <w:rPr>
          <w:rFonts w:ascii="Calibri" w:hAnsi="Calibri"/>
          <w:b/>
          <w:color w:val="2E75B6"/>
          <w:sz w:val="28"/>
        </w:rPr>
        <w:t>9. References</w:t>
      </w:r>
    </w:p>
    <w:p w14:paraId="46F6697B">
      <w:pPr>
        <w:pStyle w:val="23"/>
        <w:spacing w:before="40" w:after="80" w:line="276" w:lineRule="auto"/>
      </w:pPr>
      <w:r>
        <w:rPr>
          <w:rFonts w:ascii="Calibri" w:hAnsi="Calibri"/>
          <w:b/>
          <w:color w:val="1B365D"/>
          <w:sz w:val="22"/>
        </w:rPr>
        <w:t xml:space="preserve">Citizen Matters Bengaluru. </w:t>
      </w:r>
      <w:r>
        <w:rPr>
          <w:rFonts w:ascii="Calibri" w:hAnsi="Calibri"/>
          <w:color w:val="222222"/>
          <w:sz w:val="22"/>
        </w:rPr>
        <w:t>'Between Flames and Bare Hands: The Untold Story of Nayandahalli E-Waste.' 2023.</w:t>
      </w:r>
    </w:p>
    <w:p w14:paraId="3E39835A">
      <w:pPr>
        <w:pStyle w:val="23"/>
        <w:spacing w:before="40" w:after="80" w:line="276" w:lineRule="auto"/>
      </w:pPr>
      <w:r>
        <w:rPr>
          <w:rFonts w:ascii="Calibri" w:hAnsi="Calibri"/>
          <w:b/>
          <w:color w:val="1B365D"/>
          <w:sz w:val="22"/>
        </w:rPr>
        <w:t xml:space="preserve">Karnataka State Pollution Control Board (KSPCB). </w:t>
      </w:r>
      <w:r>
        <w:rPr>
          <w:rFonts w:ascii="Calibri" w:hAnsi="Calibri"/>
          <w:color w:val="222222"/>
          <w:sz w:val="22"/>
        </w:rPr>
        <w:t>'E-Waste Processing Capacity Report.' Bengaluru, 2024.</w:t>
      </w:r>
    </w:p>
    <w:p w14:paraId="31F72DF9">
      <w:r>
        <w:br w:type="page"/>
      </w:r>
    </w:p>
    <w:p w14:paraId="15DE99F9">
      <w:pPr>
        <w:pStyle w:val="3"/>
        <w:keepNext/>
        <w:spacing w:before="280" w:after="120"/>
      </w:pPr>
      <w:r>
        <w:rPr>
          <w:rFonts w:ascii="Calibri" w:hAnsi="Calibri"/>
          <w:b/>
          <w:color w:val="2E75B6"/>
          <w:sz w:val="28"/>
        </w:rPr>
        <w:t>11. One-Page Exam Revision Sheet — Topic 5</w:t>
      </w:r>
    </w:p>
    <w:tbl>
      <w:tblPr>
        <w:tblStyle w:val="12"/>
        <w:tblW w:w="0" w:type="auto"/>
        <w:jc w:val="center"/>
        <w:tblLayout w:type="fixed"/>
        <w:tblCellMar>
          <w:top w:w="0" w:type="dxa"/>
          <w:left w:w="108" w:type="dxa"/>
          <w:bottom w:w="0" w:type="dxa"/>
          <w:right w:w="108" w:type="dxa"/>
        </w:tblCellMar>
      </w:tblPr>
      <w:tblGrid>
        <w:gridCol w:w="9360"/>
      </w:tblGrid>
      <w:tr w14:paraId="5BA399CE">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2FA05E26">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Bengaluru—India's E-Waste Capital?.</w:t>
            </w:r>
          </w:p>
        </w:tc>
      </w:tr>
    </w:tbl>
    <w:p w14:paraId="0032273C">
      <w:pPr>
        <w:spacing w:before="0" w:after="120"/>
      </w:pPr>
    </w:p>
    <w:p w14:paraId="32159B4C">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Generating over 100,000 tonnes of e-waste annually (70% from corporate IT), Bengaluru features a sharp divide between formal pioneers (E-Parisaraa) and hazardous informal hubs (Nayandahalli).</w:t>
      </w:r>
    </w:p>
    <w:p w14:paraId="230371FE">
      <w:pPr>
        <w:pStyle w:val="4"/>
        <w:keepNext/>
        <w:spacing w:before="200" w:after="80"/>
      </w:pPr>
      <w:r>
        <w:rPr>
          <w:rFonts w:ascii="Calibri" w:hAnsi="Calibri"/>
          <w:b/>
          <w:color w:val="333333"/>
          <w:sz w:val="24"/>
        </w:rPr>
        <w:t>Key Statistics &amp; Data Points for High-Scoring Answers:</w:t>
      </w:r>
    </w:p>
    <w:p w14:paraId="2A54090A">
      <w:pPr>
        <w:pStyle w:val="23"/>
        <w:spacing w:before="40" w:after="80" w:line="276" w:lineRule="auto"/>
      </w:pPr>
      <w:r>
        <w:rPr>
          <w:rFonts w:ascii="Calibri" w:hAnsi="Calibri"/>
          <w:b/>
          <w:color w:val="1B365D"/>
          <w:sz w:val="22"/>
        </w:rPr>
        <w:t xml:space="preserve">Annual Generation Volume: </w:t>
      </w:r>
      <w:r>
        <w:rPr>
          <w:rFonts w:ascii="Calibri" w:hAnsi="Calibri"/>
          <w:color w:val="222222"/>
          <w:sz w:val="22"/>
        </w:rPr>
        <w:t>100,000+ Tonnes per year (~70% corporate IT source)</w:t>
      </w:r>
    </w:p>
    <w:p w14:paraId="212548FC">
      <w:pPr>
        <w:pStyle w:val="23"/>
        <w:spacing w:before="40" w:after="80" w:line="276" w:lineRule="auto"/>
      </w:pPr>
      <w:r>
        <w:rPr>
          <w:rFonts w:ascii="Calibri" w:hAnsi="Calibri"/>
          <w:b/>
          <w:color w:val="1B365D"/>
          <w:sz w:val="22"/>
        </w:rPr>
        <w:t xml:space="preserve">Key Stakeholders: </w:t>
      </w:r>
      <w:r>
        <w:rPr>
          <w:rFonts w:ascii="Calibri" w:hAnsi="Calibri"/>
          <w:color w:val="222222"/>
          <w:sz w:val="22"/>
        </w:rPr>
        <w:t>70,000+ IT workforce, 35+ EEE fabrication units, 3,500+ tech firms</w:t>
      </w:r>
    </w:p>
    <w:p w14:paraId="50B5D72F">
      <w:pPr>
        <w:pStyle w:val="23"/>
        <w:spacing w:before="40" w:after="80" w:line="276" w:lineRule="auto"/>
      </w:pPr>
      <w:r>
        <w:rPr>
          <w:rFonts w:ascii="Calibri" w:hAnsi="Calibri"/>
          <w:b/>
          <w:color w:val="1B365D"/>
          <w:sz w:val="22"/>
        </w:rPr>
        <w:t xml:space="preserve">Major Informal Hotspot: </w:t>
      </w:r>
      <w:r>
        <w:rPr>
          <w:rFonts w:ascii="Calibri" w:hAnsi="Calibri"/>
          <w:color w:val="222222"/>
          <w:sz w:val="22"/>
        </w:rPr>
        <w:t>Nayandahalli (Vrishabhavathi River acid bath contamination)</w:t>
      </w:r>
    </w:p>
    <w:p w14:paraId="10D97D25">
      <w:pPr>
        <w:pStyle w:val="23"/>
        <w:spacing w:before="40" w:after="80" w:line="276" w:lineRule="auto"/>
      </w:pPr>
      <w:r>
        <w:rPr>
          <w:rFonts w:ascii="Calibri" w:hAnsi="Calibri"/>
          <w:b/>
          <w:color w:val="1B365D"/>
          <w:sz w:val="22"/>
        </w:rPr>
        <w:t xml:space="preserve">Formal Recycling Benchmark: </w:t>
      </w:r>
      <w:r>
        <w:rPr>
          <w:rFonts w:ascii="Calibri" w:hAnsi="Calibri"/>
          <w:color w:val="222222"/>
          <w:sz w:val="22"/>
        </w:rPr>
        <w:t>E-Parisaraa (India's first CPCB-approved scientific recycler)</w:t>
      </w:r>
    </w:p>
    <w:p w14:paraId="3870C4A0">
      <w:pPr>
        <w:pStyle w:val="4"/>
        <w:keepNext/>
        <w:spacing w:before="200" w:after="80"/>
      </w:pPr>
      <w:r>
        <w:rPr>
          <w:rFonts w:ascii="Calibri" w:hAnsi="Calibri"/>
          <w:b/>
          <w:color w:val="333333"/>
          <w:sz w:val="24"/>
        </w:rPr>
        <w:t>Statutory Frameworks &amp; Key Terminology:</w:t>
      </w:r>
    </w:p>
    <w:p w14:paraId="7D0688AF">
      <w:pPr>
        <w:pStyle w:val="23"/>
        <w:spacing w:before="40" w:after="80" w:line="276" w:lineRule="auto"/>
      </w:pPr>
      <w:r>
        <w:rPr>
          <w:rFonts w:ascii="Calibri" w:hAnsi="Calibri"/>
          <w:b/>
          <w:color w:val="1B365D"/>
          <w:sz w:val="22"/>
        </w:rPr>
        <w:t xml:space="preserve">Corporate Bulk Consumer: </w:t>
      </w:r>
      <w:r>
        <w:rPr>
          <w:rFonts w:ascii="Calibri" w:hAnsi="Calibri"/>
          <w:color w:val="222222"/>
          <w:sz w:val="22"/>
        </w:rPr>
        <w:t>IT firms generating &gt;70% of city e-waste via hardware refreshment.</w:t>
      </w:r>
    </w:p>
    <w:p w14:paraId="210D0E43">
      <w:pPr>
        <w:pStyle w:val="23"/>
        <w:spacing w:before="40" w:after="80" w:line="276" w:lineRule="auto"/>
      </w:pPr>
      <w:r>
        <w:rPr>
          <w:rFonts w:ascii="Calibri" w:hAnsi="Calibri"/>
          <w:b/>
          <w:color w:val="1B365D"/>
          <w:sz w:val="22"/>
        </w:rPr>
        <w:t xml:space="preserve">Acid Stripping: </w:t>
      </w:r>
      <w:r>
        <w:rPr>
          <w:rFonts w:ascii="Calibri" w:hAnsi="Calibri"/>
          <w:color w:val="222222"/>
          <w:sz w:val="22"/>
        </w:rPr>
        <w:t>Hazardous informal practice using nitric acid to leach gold from PCBs.</w:t>
      </w:r>
    </w:p>
    <w:p w14:paraId="071BAED0">
      <w:pPr>
        <w:pStyle w:val="23"/>
        <w:spacing w:before="40" w:after="80" w:line="276" w:lineRule="auto"/>
      </w:pPr>
      <w:r>
        <w:rPr>
          <w:rFonts w:ascii="Calibri" w:hAnsi="Calibri"/>
          <w:b/>
          <w:color w:val="1B365D"/>
          <w:sz w:val="22"/>
        </w:rPr>
        <w:t xml:space="preserve">BBMP DWCCs: </w:t>
      </w:r>
      <w:r>
        <w:rPr>
          <w:rFonts w:ascii="Calibri" w:hAnsi="Calibri"/>
          <w:color w:val="222222"/>
          <w:sz w:val="22"/>
        </w:rPr>
        <w:t>Ward-level Dry Waste Collection Centers used for municipal e-waste drop-offs.</w:t>
      </w:r>
    </w:p>
    <w:p w14:paraId="4B9A2793">
      <w:pPr>
        <w:pStyle w:val="4"/>
        <w:keepNext/>
        <w:spacing w:before="200" w:after="80"/>
      </w:pPr>
      <w:r>
        <w:rPr>
          <w:rFonts w:ascii="Calibri" w:hAnsi="Calibri"/>
          <w:b/>
          <w:color w:val="333333"/>
          <w:sz w:val="24"/>
        </w:rPr>
        <w:t>Expected Exam Questions &amp; Analytical Points:</w:t>
      </w:r>
    </w:p>
    <w:p w14:paraId="6C458026">
      <w:pPr>
        <w:spacing w:before="40" w:after="80" w:line="276" w:lineRule="auto"/>
        <w:jc w:val="left"/>
      </w:pPr>
      <w:r>
        <w:rPr>
          <w:rFonts w:ascii="Calibri" w:hAnsi="Calibri"/>
          <w:b/>
          <w:color w:val="1B365D"/>
          <w:sz w:val="22"/>
        </w:rPr>
        <w:t xml:space="preserve">Q1: </w:t>
      </w:r>
      <w:r>
        <w:rPr>
          <w:rFonts w:ascii="Calibri" w:hAnsi="Calibri"/>
          <w:i w:val="0"/>
          <w:color w:val="222222"/>
          <w:sz w:val="22"/>
        </w:rPr>
        <w:t>Why does corporate IT dominate e-waste generation in Bengaluru, and what are its policy implications?</w:t>
      </w:r>
    </w:p>
    <w:p w14:paraId="560D0494">
      <w:pPr>
        <w:spacing w:before="40" w:after="80" w:line="276" w:lineRule="auto"/>
        <w:jc w:val="left"/>
      </w:pPr>
      <w:r>
        <w:rPr>
          <w:rFonts w:ascii="Calibri" w:hAnsi="Calibri"/>
          <w:b/>
          <w:color w:val="1B365D"/>
          <w:sz w:val="22"/>
        </w:rPr>
        <w:t xml:space="preserve">Q2: </w:t>
      </w:r>
      <w:r>
        <w:rPr>
          <w:rFonts w:ascii="Calibri" w:hAnsi="Calibri"/>
          <w:i w:val="0"/>
          <w:color w:val="222222"/>
          <w:sz w:val="22"/>
        </w:rPr>
        <w:t>Describe the environmental hazards associated with informal e-waste processing in Nayandahalli.</w:t>
      </w:r>
    </w:p>
    <w:p w14:paraId="082DD022">
      <w:pPr>
        <w:spacing w:before="40" w:after="80" w:line="276" w:lineRule="auto"/>
        <w:jc w:val="left"/>
      </w:pPr>
      <w:r>
        <w:rPr>
          <w:rFonts w:ascii="Calibri" w:hAnsi="Calibri"/>
          <w:b/>
          <w:color w:val="1B365D"/>
          <w:sz w:val="22"/>
        </w:rPr>
        <w:t xml:space="preserve">Q3: </w:t>
      </w:r>
      <w:r>
        <w:rPr>
          <w:rFonts w:ascii="Calibri" w:hAnsi="Calibri"/>
          <w:i w:val="0"/>
          <w:color w:val="222222"/>
          <w:sz w:val="22"/>
        </w:rPr>
        <w:t>How can BBMP's Dry Waste Collection Centers be leveraged to formalize residential e-waste collection?</w:t>
      </w:r>
    </w:p>
    <w:p w14:paraId="1328436D">
      <w:r>
        <w:br w:type="page"/>
      </w:r>
    </w:p>
    <w:p w14:paraId="73729104">
      <w:pPr>
        <w:pStyle w:val="2"/>
        <w:keepNext/>
        <w:spacing w:before="360" w:after="160"/>
      </w:pPr>
      <w:r>
        <w:rPr>
          <w:rFonts w:ascii="Calibri" w:hAnsi="Calibri"/>
          <w:b/>
          <w:color w:val="1B365D"/>
          <w:sz w:val="36"/>
        </w:rPr>
        <w:t>Topic 6: Mumbai's E-Waste Ecosystem</w:t>
      </w:r>
    </w:p>
    <w:p w14:paraId="5EBD186B">
      <w:pPr>
        <w:pStyle w:val="3"/>
        <w:keepNext/>
        <w:spacing w:before="280" w:after="120"/>
      </w:pPr>
      <w:r>
        <w:rPr>
          <w:rFonts w:ascii="Calibri" w:hAnsi="Calibri"/>
          <w:b/>
          <w:color w:val="2E75B6"/>
          <w:sz w:val="28"/>
        </w:rPr>
        <w:t>1. Executive Summary</w:t>
      </w:r>
    </w:p>
    <w:p w14:paraId="33B6A259">
      <w:pPr>
        <w:spacing w:before="0" w:after="120" w:line="276" w:lineRule="auto"/>
        <w:jc w:val="left"/>
      </w:pPr>
      <w:r>
        <w:rPr>
          <w:rFonts w:ascii="Calibri" w:hAnsi="Calibri"/>
          <w:i w:val="0"/>
          <w:color w:val="222222"/>
          <w:sz w:val="22"/>
        </w:rPr>
        <w:t>As the commercial and financial capital of India, Mumbai generates the highest volume of electronic waste among all Indian cities, producing over 120,000 tonnes annually—representing nearly 18% to 20% of the national total. Mumbai's e-waste ecosystem is dominated by a vast unorganized network operating in high-density informal clusters including Kurla, Chor Bazaar, and Dharavi. The formal recycling sector struggles to establish a footprint within municipal limits due to extreme real estate costs and a lack of dedicated industrial land allocation by the Brihanmumbai Municipal Corporation (BMC). This case study analyzes Mumbai's high-density e-waste collection logistics, municipal collection drives, and strategies to formalize urban scrap aggregation.</w:t>
      </w:r>
    </w:p>
    <w:p w14:paraId="51E5EDC7">
      <w:pPr>
        <w:pStyle w:val="3"/>
        <w:keepNext/>
        <w:spacing w:before="280" w:after="120"/>
      </w:pPr>
      <w:r>
        <w:rPr>
          <w:rFonts w:ascii="Calibri" w:hAnsi="Calibri"/>
          <w:b/>
          <w:color w:val="2E75B6"/>
          <w:sz w:val="28"/>
        </w:rPr>
        <w:t>2. Background</w:t>
      </w:r>
    </w:p>
    <w:p w14:paraId="4550DF96">
      <w:pPr>
        <w:spacing w:before="0" w:after="120" w:line="276" w:lineRule="auto"/>
        <w:jc w:val="left"/>
      </w:pPr>
      <w:r>
        <w:rPr>
          <w:rFonts w:ascii="Calibri" w:hAnsi="Calibri"/>
          <w:i w:val="0"/>
          <w:color w:val="222222"/>
          <w:sz w:val="22"/>
        </w:rPr>
        <w:t>Mumbai's status as India's financial hub—housing the Bombay Stock Exchange, Reserve Bank of India, headquarters of major banks, corporate conglomerates, and commercial markets—drives continuous electronic hardware turnover. Furthermore, the Mumbai Metropolitan Region (MMR) experiences rapid consumer electronics adoption across its 20+ million residents. However, high urban density and spatial constraints mean that space for waste storage is severely limited, forcing rapid informal liquidation of discarded electronics.</w:t>
      </w:r>
    </w:p>
    <w:p w14:paraId="04A1F4D0">
      <w:pPr>
        <w:pStyle w:val="3"/>
        <w:keepNext/>
        <w:spacing w:before="280" w:after="120"/>
      </w:pPr>
      <w:r>
        <w:rPr>
          <w:rFonts w:ascii="Calibri" w:hAnsi="Calibri"/>
          <w:b/>
          <w:color w:val="2E75B6"/>
          <w:sz w:val="28"/>
        </w:rPr>
        <w:t>3. Strategy / Initiative</w:t>
      </w:r>
    </w:p>
    <w:p w14:paraId="62463F2A">
      <w:pPr>
        <w:spacing w:before="0" w:after="120" w:line="276" w:lineRule="auto"/>
        <w:jc w:val="left"/>
      </w:pPr>
      <w:r>
        <w:rPr>
          <w:rFonts w:ascii="Calibri" w:hAnsi="Calibri"/>
          <w:i w:val="0"/>
          <w:color w:val="222222"/>
          <w:sz w:val="22"/>
        </w:rPr>
        <w:t>Mumbai's e-waste landscape operates through distinct commercial layers:</w:t>
      </w:r>
    </w:p>
    <w:p w14:paraId="21113B92">
      <w:pPr>
        <w:pStyle w:val="23"/>
        <w:spacing w:before="40" w:after="80" w:line="276" w:lineRule="auto"/>
      </w:pPr>
      <w:r>
        <w:rPr>
          <w:rFonts w:ascii="Calibri" w:hAnsi="Calibri"/>
          <w:b/>
          <w:color w:val="1B365D"/>
          <w:sz w:val="22"/>
        </w:rPr>
        <w:t xml:space="preserve">Informal Aggregation Hubs (Kurla &amp; Chor Bazaar): </w:t>
      </w:r>
      <w:r>
        <w:rPr>
          <w:rFonts w:ascii="Calibri" w:hAnsi="Calibri"/>
          <w:color w:val="222222"/>
          <w:sz w:val="22"/>
        </w:rPr>
        <w:t>Kurla serves as a primary dismantling market where hundreds of small shops purchase WEEE from 'feriwala' door-to-door collectors, manually dismantling devices within hours.</w:t>
      </w:r>
    </w:p>
    <w:p w14:paraId="12375115">
      <w:pPr>
        <w:pStyle w:val="23"/>
        <w:spacing w:before="40" w:after="80" w:line="276" w:lineRule="auto"/>
      </w:pPr>
      <w:r>
        <w:rPr>
          <w:rFonts w:ascii="Calibri" w:hAnsi="Calibri"/>
          <w:b/>
          <w:color w:val="1B365D"/>
          <w:sz w:val="22"/>
        </w:rPr>
        <w:t xml:space="preserve">BMC Municipal E-Waste Policy: </w:t>
      </w:r>
      <w:r>
        <w:rPr>
          <w:rFonts w:ascii="Calibri" w:hAnsi="Calibri"/>
          <w:color w:val="222222"/>
          <w:sz w:val="22"/>
        </w:rPr>
        <w:t>The BMC has initiated public drop-off drives and designated special e-waste collection centers across 24 administrative wards, partnering with MPCB-registered recyclers.</w:t>
      </w:r>
    </w:p>
    <w:p w14:paraId="765C0C26">
      <w:pPr>
        <w:pStyle w:val="23"/>
        <w:spacing w:before="40" w:after="80" w:line="276" w:lineRule="auto"/>
      </w:pPr>
      <w:r>
        <w:rPr>
          <w:rFonts w:ascii="Calibri" w:hAnsi="Calibri"/>
          <w:b/>
          <w:color w:val="1B365D"/>
          <w:sz w:val="22"/>
        </w:rPr>
        <w:t xml:space="preserve">Land Allocation Challenge: </w:t>
      </w:r>
      <w:r>
        <w:rPr>
          <w:rFonts w:ascii="Calibri" w:hAnsi="Calibri"/>
          <w:color w:val="222222"/>
          <w:sz w:val="22"/>
        </w:rPr>
        <w:t>Formal recyclers are forced to operate in far-flung industrial zones (Taloja, Vasai, Navi Mumbai) due to sky-high real estate costs within Mumbai city proper.</w:t>
      </w:r>
    </w:p>
    <w:p w14:paraId="680E4E4D">
      <w:pPr>
        <w:pStyle w:val="3"/>
        <w:keepNext/>
        <w:spacing w:before="280" w:after="120"/>
      </w:pPr>
      <w:r>
        <w:rPr>
          <w:rFonts w:ascii="Calibri" w:hAnsi="Calibri"/>
          <w:b/>
          <w:color w:val="2E75B6"/>
          <w:sz w:val="28"/>
        </w:rPr>
        <w:t>4. Impact &amp; Results with Data Table</w:t>
      </w:r>
    </w:p>
    <w:p w14:paraId="233BEE73">
      <w:pPr>
        <w:spacing w:before="0" w:after="120" w:line="276" w:lineRule="auto"/>
        <w:jc w:val="left"/>
      </w:pPr>
      <w:r>
        <w:rPr>
          <w:rFonts w:ascii="Calibri" w:hAnsi="Calibri"/>
          <w:i w:val="0"/>
          <w:color w:val="222222"/>
          <w:sz w:val="22"/>
        </w:rPr>
        <w:t>The table below illustrates the distribution and operational constraints of Mumbai's e-waste stream.</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340"/>
        <w:gridCol w:w="2340"/>
        <w:gridCol w:w="2340"/>
        <w:gridCol w:w="2340"/>
      </w:tblGrid>
      <w:tr w14:paraId="304081F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1B365D"/>
            <w:tcMar>
              <w:top w:w="120" w:type="dxa"/>
              <w:left w:w="150" w:type="dxa"/>
              <w:bottom w:w="120" w:type="dxa"/>
              <w:right w:w="150" w:type="dxa"/>
            </w:tcMar>
          </w:tcPr>
          <w:p w14:paraId="3AB8C7C6">
            <w:pPr>
              <w:spacing w:before="0" w:after="0"/>
              <w:jc w:val="left"/>
            </w:pPr>
            <w:r>
              <w:rPr>
                <w:rFonts w:ascii="Calibri" w:hAnsi="Calibri"/>
                <w:b/>
                <w:color w:val="FFFFFF"/>
                <w:sz w:val="21"/>
              </w:rPr>
              <w:t>Ecosystem Component</w:t>
            </w:r>
          </w:p>
        </w:tc>
        <w:tc>
          <w:tcPr>
            <w:tcW w:w="1872" w:type="dxa"/>
            <w:shd w:val="clear" w:color="auto" w:fill="1B365D"/>
            <w:tcMar>
              <w:top w:w="120" w:type="dxa"/>
              <w:left w:w="150" w:type="dxa"/>
              <w:bottom w:w="120" w:type="dxa"/>
              <w:right w:w="150" w:type="dxa"/>
            </w:tcMar>
          </w:tcPr>
          <w:p w14:paraId="0D24F93A">
            <w:pPr>
              <w:spacing w:before="0" w:after="0"/>
              <w:jc w:val="left"/>
            </w:pPr>
            <w:r>
              <w:rPr>
                <w:rFonts w:ascii="Calibri" w:hAnsi="Calibri"/>
                <w:b/>
                <w:color w:val="FFFFFF"/>
                <w:sz w:val="21"/>
              </w:rPr>
              <w:t>Estimated Annual Share</w:t>
            </w:r>
          </w:p>
        </w:tc>
        <w:tc>
          <w:tcPr>
            <w:tcW w:w="2592" w:type="dxa"/>
            <w:shd w:val="clear" w:color="auto" w:fill="1B365D"/>
            <w:tcMar>
              <w:top w:w="120" w:type="dxa"/>
              <w:left w:w="150" w:type="dxa"/>
              <w:bottom w:w="120" w:type="dxa"/>
              <w:right w:w="150" w:type="dxa"/>
            </w:tcMar>
          </w:tcPr>
          <w:p w14:paraId="01645E77">
            <w:pPr>
              <w:spacing w:before="0" w:after="0"/>
              <w:jc w:val="left"/>
            </w:pPr>
            <w:r>
              <w:rPr>
                <w:rFonts w:ascii="Calibri" w:hAnsi="Calibri"/>
                <w:b/>
                <w:color w:val="FFFFFF"/>
                <w:sz w:val="21"/>
              </w:rPr>
              <w:t>Primary Operational Characteristics</w:t>
            </w:r>
          </w:p>
        </w:tc>
        <w:tc>
          <w:tcPr>
            <w:tcW w:w="2736" w:type="dxa"/>
            <w:shd w:val="clear" w:color="auto" w:fill="1B365D"/>
            <w:tcMar>
              <w:top w:w="120" w:type="dxa"/>
              <w:left w:w="150" w:type="dxa"/>
              <w:bottom w:w="120" w:type="dxa"/>
              <w:right w:w="150" w:type="dxa"/>
            </w:tcMar>
          </w:tcPr>
          <w:p w14:paraId="37353AC2">
            <w:pPr>
              <w:spacing w:before="0" w:after="0"/>
              <w:jc w:val="left"/>
            </w:pPr>
            <w:r>
              <w:rPr>
                <w:rFonts w:ascii="Calibri" w:hAnsi="Calibri"/>
                <w:b/>
                <w:color w:val="FFFFFF"/>
                <w:sz w:val="21"/>
              </w:rPr>
              <w:t>Key Structural Bottlenecks</w:t>
            </w:r>
          </w:p>
        </w:tc>
      </w:tr>
      <w:tr w14:paraId="767B560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6F2000C5">
            <w:pPr>
              <w:spacing w:before="0" w:after="0" w:line="276" w:lineRule="auto"/>
              <w:jc w:val="left"/>
            </w:pPr>
            <w:r>
              <w:rPr>
                <w:rFonts w:ascii="Calibri" w:hAnsi="Calibri"/>
                <w:color w:val="222222"/>
                <w:sz w:val="20"/>
              </w:rPr>
              <w:t>Informal Markets (Kurla / Chor Bazaar)</w:t>
            </w:r>
          </w:p>
        </w:tc>
        <w:tc>
          <w:tcPr>
            <w:tcW w:w="1872" w:type="dxa"/>
            <w:shd w:val="clear" w:color="auto" w:fill="FFFFFF"/>
            <w:tcMar>
              <w:top w:w="100" w:type="dxa"/>
              <w:left w:w="150" w:type="dxa"/>
              <w:bottom w:w="100" w:type="dxa"/>
              <w:right w:w="150" w:type="dxa"/>
            </w:tcMar>
          </w:tcPr>
          <w:p w14:paraId="358DE8B1">
            <w:pPr>
              <w:spacing w:before="0" w:after="0" w:line="276" w:lineRule="auto"/>
              <w:jc w:val="left"/>
            </w:pPr>
            <w:r>
              <w:rPr>
                <w:rFonts w:ascii="Calibri" w:hAnsi="Calibri"/>
                <w:color w:val="222222"/>
                <w:sz w:val="20"/>
              </w:rPr>
              <w:t>85% - 90% of total volume</w:t>
            </w:r>
          </w:p>
        </w:tc>
        <w:tc>
          <w:tcPr>
            <w:tcW w:w="2592" w:type="dxa"/>
            <w:shd w:val="clear" w:color="auto" w:fill="FFFFFF"/>
            <w:tcMar>
              <w:top w:w="100" w:type="dxa"/>
              <w:left w:w="150" w:type="dxa"/>
              <w:bottom w:w="100" w:type="dxa"/>
              <w:right w:w="150" w:type="dxa"/>
            </w:tcMar>
          </w:tcPr>
          <w:p w14:paraId="3D7CA406">
            <w:pPr>
              <w:spacing w:before="0" w:after="0" w:line="276" w:lineRule="auto"/>
              <w:jc w:val="left"/>
            </w:pPr>
            <w:r>
              <w:rPr>
                <w:rFonts w:ascii="Calibri" w:hAnsi="Calibri"/>
                <w:color w:val="222222"/>
                <w:sz w:val="20"/>
              </w:rPr>
              <w:t>Rapid manual dismantling, component resale, scrap melting</w:t>
            </w:r>
          </w:p>
        </w:tc>
        <w:tc>
          <w:tcPr>
            <w:tcW w:w="2736" w:type="dxa"/>
            <w:shd w:val="clear" w:color="auto" w:fill="FFFFFF"/>
            <w:tcMar>
              <w:top w:w="100" w:type="dxa"/>
              <w:left w:w="150" w:type="dxa"/>
              <w:bottom w:w="100" w:type="dxa"/>
              <w:right w:w="150" w:type="dxa"/>
            </w:tcMar>
          </w:tcPr>
          <w:p w14:paraId="5F353B20">
            <w:pPr>
              <w:spacing w:before="0" w:after="0" w:line="276" w:lineRule="auto"/>
              <w:jc w:val="left"/>
            </w:pPr>
            <w:r>
              <w:rPr>
                <w:rFonts w:ascii="Calibri" w:hAnsi="Calibri"/>
                <w:color w:val="222222"/>
                <w:sz w:val="20"/>
              </w:rPr>
              <w:t>High occupational toxicity, zero fire safety compliance</w:t>
            </w:r>
          </w:p>
        </w:tc>
      </w:tr>
      <w:tr w14:paraId="295A974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72B1066E">
            <w:pPr>
              <w:spacing w:before="0" w:after="0" w:line="276" w:lineRule="auto"/>
              <w:jc w:val="left"/>
            </w:pPr>
            <w:r>
              <w:rPr>
                <w:rFonts w:ascii="Calibri" w:hAnsi="Calibri"/>
                <w:color w:val="222222"/>
                <w:sz w:val="20"/>
              </w:rPr>
              <w:t>Formal Registered Recyclers</w:t>
            </w:r>
          </w:p>
        </w:tc>
        <w:tc>
          <w:tcPr>
            <w:tcW w:w="1872" w:type="dxa"/>
            <w:shd w:val="clear" w:color="auto" w:fill="F8F9FA"/>
            <w:tcMar>
              <w:top w:w="100" w:type="dxa"/>
              <w:left w:w="150" w:type="dxa"/>
              <w:bottom w:w="100" w:type="dxa"/>
              <w:right w:w="150" w:type="dxa"/>
            </w:tcMar>
          </w:tcPr>
          <w:p w14:paraId="1155CF7B">
            <w:pPr>
              <w:spacing w:before="0" w:after="0" w:line="276" w:lineRule="auto"/>
              <w:jc w:val="left"/>
            </w:pPr>
            <w:r>
              <w:rPr>
                <w:rFonts w:ascii="Calibri" w:hAnsi="Calibri"/>
                <w:color w:val="222222"/>
                <w:sz w:val="20"/>
              </w:rPr>
              <w:t>10% - 15% of total volume</w:t>
            </w:r>
          </w:p>
        </w:tc>
        <w:tc>
          <w:tcPr>
            <w:tcW w:w="2592" w:type="dxa"/>
            <w:shd w:val="clear" w:color="auto" w:fill="F8F9FA"/>
            <w:tcMar>
              <w:top w:w="100" w:type="dxa"/>
              <w:left w:w="150" w:type="dxa"/>
              <w:bottom w:w="100" w:type="dxa"/>
              <w:right w:w="150" w:type="dxa"/>
            </w:tcMar>
          </w:tcPr>
          <w:p w14:paraId="3F416162">
            <w:pPr>
              <w:spacing w:before="0" w:after="0" w:line="276" w:lineRule="auto"/>
              <w:jc w:val="left"/>
            </w:pPr>
            <w:r>
              <w:rPr>
                <w:rFonts w:ascii="Calibri" w:hAnsi="Calibri"/>
                <w:color w:val="222222"/>
                <w:sz w:val="20"/>
              </w:rPr>
              <w:t>Automated shredding, chemical refining in Navi Mumbai/Taloja</w:t>
            </w:r>
          </w:p>
        </w:tc>
        <w:tc>
          <w:tcPr>
            <w:tcW w:w="2736" w:type="dxa"/>
            <w:shd w:val="clear" w:color="auto" w:fill="F8F9FA"/>
            <w:tcMar>
              <w:top w:w="100" w:type="dxa"/>
              <w:left w:w="150" w:type="dxa"/>
              <w:bottom w:w="100" w:type="dxa"/>
              <w:right w:w="150" w:type="dxa"/>
            </w:tcMar>
          </w:tcPr>
          <w:p w14:paraId="4A98370F">
            <w:pPr>
              <w:spacing w:before="0" w:after="0" w:line="276" w:lineRule="auto"/>
              <w:jc w:val="left"/>
            </w:pPr>
            <w:r>
              <w:rPr>
                <w:rFonts w:ascii="Calibri" w:hAnsi="Calibri"/>
                <w:color w:val="222222"/>
                <w:sz w:val="20"/>
              </w:rPr>
              <w:t>Prohibitive land acquisition costs in Mumbai city limits</w:t>
            </w:r>
          </w:p>
        </w:tc>
      </w:tr>
      <w:tr w14:paraId="4DFCAF2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7F73860B">
            <w:pPr>
              <w:spacing w:before="0" w:after="0" w:line="276" w:lineRule="auto"/>
              <w:jc w:val="left"/>
            </w:pPr>
            <w:r>
              <w:rPr>
                <w:rFonts w:ascii="Calibri" w:hAnsi="Calibri"/>
                <w:color w:val="222222"/>
                <w:sz w:val="20"/>
              </w:rPr>
              <w:t>Municipal BMC Drives</w:t>
            </w:r>
          </w:p>
        </w:tc>
        <w:tc>
          <w:tcPr>
            <w:tcW w:w="1872" w:type="dxa"/>
            <w:shd w:val="clear" w:color="auto" w:fill="FFFFFF"/>
            <w:tcMar>
              <w:top w:w="100" w:type="dxa"/>
              <w:left w:w="150" w:type="dxa"/>
              <w:bottom w:w="100" w:type="dxa"/>
              <w:right w:w="150" w:type="dxa"/>
            </w:tcMar>
          </w:tcPr>
          <w:p w14:paraId="597E087E">
            <w:pPr>
              <w:spacing w:before="0" w:after="0" w:line="276" w:lineRule="auto"/>
              <w:jc w:val="left"/>
            </w:pPr>
            <w:r>
              <w:rPr>
                <w:rFonts w:ascii="Calibri" w:hAnsi="Calibri"/>
                <w:color w:val="222222"/>
                <w:sz w:val="20"/>
              </w:rPr>
              <w:t>&lt;5% of total residential collection</w:t>
            </w:r>
          </w:p>
        </w:tc>
        <w:tc>
          <w:tcPr>
            <w:tcW w:w="2592" w:type="dxa"/>
            <w:shd w:val="clear" w:color="auto" w:fill="FFFFFF"/>
            <w:tcMar>
              <w:top w:w="100" w:type="dxa"/>
              <w:left w:w="150" w:type="dxa"/>
              <w:bottom w:w="100" w:type="dxa"/>
              <w:right w:w="150" w:type="dxa"/>
            </w:tcMar>
          </w:tcPr>
          <w:p w14:paraId="1822520E">
            <w:pPr>
              <w:spacing w:before="0" w:after="0" w:line="276" w:lineRule="auto"/>
              <w:jc w:val="left"/>
            </w:pPr>
            <w:r>
              <w:rPr>
                <w:rFonts w:ascii="Calibri" w:hAnsi="Calibri"/>
                <w:color w:val="222222"/>
                <w:sz w:val="20"/>
              </w:rPr>
              <w:t>Ward-level drop-off bins, public awareness campaigns</w:t>
            </w:r>
          </w:p>
        </w:tc>
        <w:tc>
          <w:tcPr>
            <w:tcW w:w="2736" w:type="dxa"/>
            <w:shd w:val="clear" w:color="auto" w:fill="FFFFFF"/>
            <w:tcMar>
              <w:top w:w="100" w:type="dxa"/>
              <w:left w:w="150" w:type="dxa"/>
              <w:bottom w:w="100" w:type="dxa"/>
              <w:right w:w="150" w:type="dxa"/>
            </w:tcMar>
          </w:tcPr>
          <w:p w14:paraId="6DB3D1F8">
            <w:pPr>
              <w:spacing w:before="0" w:after="0" w:line="276" w:lineRule="auto"/>
              <w:jc w:val="left"/>
            </w:pPr>
            <w:r>
              <w:rPr>
                <w:rFonts w:ascii="Calibri" w:hAnsi="Calibri"/>
                <w:color w:val="222222"/>
                <w:sz w:val="20"/>
              </w:rPr>
              <w:t>Low public participation due to lack of monetary incentives</w:t>
            </w:r>
          </w:p>
        </w:tc>
      </w:tr>
      <w:tr w14:paraId="7E81D47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1563A8A6">
            <w:pPr>
              <w:spacing w:before="0" w:after="0" w:line="276" w:lineRule="auto"/>
              <w:jc w:val="left"/>
            </w:pPr>
            <w:r>
              <w:rPr>
                <w:rFonts w:ascii="Calibri" w:hAnsi="Calibri"/>
                <w:color w:val="222222"/>
                <w:sz w:val="20"/>
              </w:rPr>
              <w:t>Corporate Banking / Financial Hubs</w:t>
            </w:r>
          </w:p>
        </w:tc>
        <w:tc>
          <w:tcPr>
            <w:tcW w:w="1872" w:type="dxa"/>
            <w:shd w:val="clear" w:color="auto" w:fill="F8F9FA"/>
            <w:tcMar>
              <w:top w:w="100" w:type="dxa"/>
              <w:left w:w="150" w:type="dxa"/>
              <w:bottom w:w="100" w:type="dxa"/>
              <w:right w:w="150" w:type="dxa"/>
            </w:tcMar>
          </w:tcPr>
          <w:p w14:paraId="45D0CD7D">
            <w:pPr>
              <w:spacing w:before="0" w:after="0" w:line="276" w:lineRule="auto"/>
              <w:jc w:val="left"/>
            </w:pPr>
            <w:r>
              <w:rPr>
                <w:rFonts w:ascii="Calibri" w:hAnsi="Calibri"/>
                <w:color w:val="222222"/>
                <w:sz w:val="20"/>
              </w:rPr>
              <w:t>~40% of city generation source</w:t>
            </w:r>
          </w:p>
        </w:tc>
        <w:tc>
          <w:tcPr>
            <w:tcW w:w="2592" w:type="dxa"/>
            <w:shd w:val="clear" w:color="auto" w:fill="F8F9FA"/>
            <w:tcMar>
              <w:top w:w="100" w:type="dxa"/>
              <w:left w:w="150" w:type="dxa"/>
              <w:bottom w:w="100" w:type="dxa"/>
              <w:right w:w="150" w:type="dxa"/>
            </w:tcMar>
          </w:tcPr>
          <w:p w14:paraId="253A2EC8">
            <w:pPr>
              <w:spacing w:before="0" w:after="0" w:line="276" w:lineRule="auto"/>
              <w:jc w:val="left"/>
            </w:pPr>
            <w:r>
              <w:rPr>
                <w:rFonts w:ascii="Calibri" w:hAnsi="Calibri"/>
                <w:color w:val="222222"/>
                <w:sz w:val="20"/>
              </w:rPr>
              <w:t>Formal bidding, data destruction security compliance</w:t>
            </w:r>
          </w:p>
        </w:tc>
        <w:tc>
          <w:tcPr>
            <w:tcW w:w="2736" w:type="dxa"/>
            <w:shd w:val="clear" w:color="auto" w:fill="F8F9FA"/>
            <w:tcMar>
              <w:top w:w="100" w:type="dxa"/>
              <w:left w:w="150" w:type="dxa"/>
              <w:bottom w:w="100" w:type="dxa"/>
              <w:right w:w="150" w:type="dxa"/>
            </w:tcMar>
          </w:tcPr>
          <w:p w14:paraId="34C0F48F">
            <w:pPr>
              <w:spacing w:before="0" w:after="0" w:line="276" w:lineRule="auto"/>
              <w:jc w:val="left"/>
            </w:pPr>
            <w:r>
              <w:rPr>
                <w:rFonts w:ascii="Calibri" w:hAnsi="Calibri"/>
                <w:color w:val="222222"/>
                <w:sz w:val="20"/>
              </w:rPr>
              <w:t>Unregulated subcontractors leaking scrap to informal markets</w:t>
            </w:r>
          </w:p>
        </w:tc>
      </w:tr>
    </w:tbl>
    <w:p w14:paraId="0D81675A">
      <w:pPr>
        <w:spacing w:before="0" w:after="160"/>
      </w:pPr>
    </w:p>
    <w:p w14:paraId="35097151">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3DFF506B">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PrEx>
        <w:trPr>
          <w:jc w:val="center"/>
        </w:trPr>
        <w:tc>
          <w:tcPr>
            <w:tcW w:w="4680" w:type="dxa"/>
            <w:shd w:val="clear" w:color="auto" w:fill="E8F5E9"/>
            <w:tcMar>
              <w:top w:w="120" w:type="dxa"/>
              <w:left w:w="150" w:type="dxa"/>
              <w:bottom w:w="120" w:type="dxa"/>
              <w:right w:w="150" w:type="dxa"/>
            </w:tcMar>
          </w:tcPr>
          <w:p w14:paraId="138F893F">
            <w:pPr>
              <w:spacing w:before="0" w:after="80"/>
            </w:pPr>
            <w:r>
              <w:rPr>
                <w:rFonts w:ascii="Calibri" w:hAnsi="Calibri"/>
                <w:b/>
                <w:color w:val="2E7D32"/>
                <w:sz w:val="22"/>
              </w:rPr>
              <w:t>💪 STRENGTHS (Internal)</w:t>
            </w:r>
          </w:p>
          <w:p w14:paraId="74E03B2F">
            <w:pPr>
              <w:pStyle w:val="23"/>
              <w:spacing w:before="40" w:after="40" w:line="276" w:lineRule="auto"/>
            </w:pPr>
            <w:r>
              <w:rPr>
                <w:rFonts w:ascii="Calibri" w:hAnsi="Calibri"/>
                <w:color w:val="333333"/>
                <w:sz w:val="19"/>
              </w:rPr>
              <w:t>Unmatched informal collection coverage across all 24 municipal wards</w:t>
            </w:r>
          </w:p>
          <w:p w14:paraId="13BB2BEF">
            <w:pPr>
              <w:pStyle w:val="23"/>
              <w:spacing w:before="40" w:after="40" w:line="276" w:lineRule="auto"/>
            </w:pPr>
            <w:r>
              <w:rPr>
                <w:rFonts w:ascii="Calibri" w:hAnsi="Calibri"/>
                <w:color w:val="333333"/>
                <w:sz w:val="19"/>
              </w:rPr>
              <w:t>High commercial demand for refurbished electronic spare parts</w:t>
            </w:r>
          </w:p>
          <w:p w14:paraId="4BB0F2F9">
            <w:pPr>
              <w:pStyle w:val="23"/>
              <w:spacing w:before="40" w:after="40" w:line="276" w:lineRule="auto"/>
            </w:pPr>
            <w:r>
              <w:rPr>
                <w:rFonts w:ascii="Calibri" w:hAnsi="Calibri"/>
                <w:color w:val="333333"/>
                <w:sz w:val="19"/>
              </w:rPr>
              <w:t>Proximity to Jawaharlal Nehru Port Trust (JNPT) for maritime trade</w:t>
            </w:r>
          </w:p>
        </w:tc>
        <w:tc>
          <w:tcPr>
            <w:tcW w:w="4680" w:type="dxa"/>
            <w:shd w:val="clear" w:color="auto" w:fill="FFEBEE"/>
            <w:tcMar>
              <w:top w:w="120" w:type="dxa"/>
              <w:left w:w="150" w:type="dxa"/>
              <w:bottom w:w="120" w:type="dxa"/>
              <w:right w:w="150" w:type="dxa"/>
            </w:tcMar>
          </w:tcPr>
          <w:p w14:paraId="255DEB42">
            <w:pPr>
              <w:spacing w:before="0" w:after="80"/>
            </w:pPr>
            <w:r>
              <w:rPr>
                <w:rFonts w:ascii="Calibri" w:hAnsi="Calibri"/>
                <w:b/>
                <w:color w:val="C62828"/>
                <w:sz w:val="22"/>
              </w:rPr>
              <w:t>⚠️ WEAKNESSES (Internal)</w:t>
            </w:r>
          </w:p>
          <w:p w14:paraId="6BB4007D">
            <w:pPr>
              <w:pStyle w:val="23"/>
              <w:spacing w:before="40" w:after="40" w:line="276" w:lineRule="auto"/>
            </w:pPr>
            <w:r>
              <w:rPr>
                <w:rFonts w:ascii="Calibri" w:hAnsi="Calibri"/>
                <w:color w:val="333333"/>
                <w:sz w:val="19"/>
              </w:rPr>
              <w:t>Severe lack of industrial land for formal recycling facilities within city limits</w:t>
            </w:r>
          </w:p>
          <w:p w14:paraId="2E0C0B2E">
            <w:pPr>
              <w:pStyle w:val="23"/>
              <w:spacing w:before="40" w:after="40" w:line="276" w:lineRule="auto"/>
            </w:pPr>
            <w:r>
              <w:rPr>
                <w:rFonts w:ascii="Calibri" w:hAnsi="Calibri"/>
                <w:color w:val="333333"/>
                <w:sz w:val="19"/>
              </w:rPr>
              <w:t>Over 85% of waste handled through unorganized, hazardous channels</w:t>
            </w:r>
          </w:p>
          <w:p w14:paraId="2E5AD026">
            <w:pPr>
              <w:pStyle w:val="23"/>
              <w:spacing w:before="40" w:after="40" w:line="276" w:lineRule="auto"/>
            </w:pPr>
            <w:r>
              <w:rPr>
                <w:rFonts w:ascii="Calibri" w:hAnsi="Calibri"/>
                <w:color w:val="333333"/>
                <w:sz w:val="19"/>
              </w:rPr>
              <w:t>High vulnerability of informal workshops to urban fires and chemical hazards</w:t>
            </w:r>
          </w:p>
        </w:tc>
      </w:tr>
      <w:tr w14:paraId="6BD56228">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06A2D8AE">
            <w:pPr>
              <w:spacing w:before="0" w:after="80"/>
            </w:pPr>
            <w:r>
              <w:rPr>
                <w:rFonts w:ascii="Calibri" w:hAnsi="Calibri"/>
                <w:b/>
                <w:color w:val="1565C0"/>
                <w:sz w:val="22"/>
              </w:rPr>
              <w:t>🚀 OPPORTUNITIES (External)</w:t>
            </w:r>
          </w:p>
          <w:p w14:paraId="1C61F636">
            <w:pPr>
              <w:pStyle w:val="23"/>
              <w:spacing w:before="40" w:after="40" w:line="276" w:lineRule="auto"/>
            </w:pPr>
            <w:r>
              <w:rPr>
                <w:rFonts w:ascii="Calibri" w:hAnsi="Calibri"/>
                <w:color w:val="333333"/>
                <w:sz w:val="19"/>
              </w:rPr>
              <w:t>Developing dedicated E-Waste Recycling Parks in MMR peripheral zones</w:t>
            </w:r>
          </w:p>
          <w:p w14:paraId="4A39BF45">
            <w:pPr>
              <w:pStyle w:val="23"/>
              <w:spacing w:before="40" w:after="40" w:line="276" w:lineRule="auto"/>
            </w:pPr>
            <w:r>
              <w:rPr>
                <w:rFonts w:ascii="Calibri" w:hAnsi="Calibri"/>
                <w:color w:val="333333"/>
                <w:sz w:val="19"/>
              </w:rPr>
              <w:t>BMC mandatory partnership models integrating informal scrap aggregators</w:t>
            </w:r>
          </w:p>
          <w:p w14:paraId="4C792148">
            <w:pPr>
              <w:pStyle w:val="23"/>
              <w:spacing w:before="40" w:after="40" w:line="276" w:lineRule="auto"/>
            </w:pPr>
            <w:r>
              <w:rPr>
                <w:rFonts w:ascii="Calibri" w:hAnsi="Calibri"/>
                <w:color w:val="333333"/>
                <w:sz w:val="19"/>
              </w:rPr>
              <w:t>Expansion of secure data-destruction services for financial corporate sector</w:t>
            </w:r>
          </w:p>
        </w:tc>
        <w:tc>
          <w:tcPr>
            <w:tcW w:w="4680" w:type="dxa"/>
            <w:shd w:val="clear" w:color="auto" w:fill="FFF3E0"/>
            <w:tcMar>
              <w:top w:w="120" w:type="dxa"/>
              <w:left w:w="150" w:type="dxa"/>
              <w:bottom w:w="120" w:type="dxa"/>
              <w:right w:w="150" w:type="dxa"/>
            </w:tcMar>
          </w:tcPr>
          <w:p w14:paraId="26651833">
            <w:pPr>
              <w:spacing w:before="0" w:after="80"/>
            </w:pPr>
            <w:r>
              <w:rPr>
                <w:rFonts w:ascii="Calibri" w:hAnsi="Calibri"/>
                <w:b/>
                <w:color w:val="E65100"/>
                <w:sz w:val="22"/>
              </w:rPr>
              <w:t>⚡ THREATS (External)</w:t>
            </w:r>
          </w:p>
          <w:p w14:paraId="68805DAF">
            <w:pPr>
              <w:pStyle w:val="23"/>
              <w:spacing w:before="40" w:after="40" w:line="276" w:lineRule="auto"/>
            </w:pPr>
            <w:r>
              <w:rPr>
                <w:rFonts w:ascii="Calibri" w:hAnsi="Calibri"/>
                <w:color w:val="333333"/>
                <w:sz w:val="19"/>
              </w:rPr>
              <w:t>Severe soil and marine pollution along the Mithi River and Thane Creek</w:t>
            </w:r>
          </w:p>
          <w:p w14:paraId="296063D4">
            <w:pPr>
              <w:pStyle w:val="23"/>
              <w:spacing w:before="40" w:after="40" w:line="276" w:lineRule="auto"/>
            </w:pPr>
            <w:r>
              <w:rPr>
                <w:rFonts w:ascii="Calibri" w:hAnsi="Calibri"/>
                <w:color w:val="333333"/>
                <w:sz w:val="19"/>
              </w:rPr>
              <w:t>Stringent MPCB enforcement leading to underground informal operations</w:t>
            </w:r>
          </w:p>
          <w:p w14:paraId="00336087">
            <w:pPr>
              <w:pStyle w:val="23"/>
              <w:spacing w:before="40" w:after="40" w:line="276" w:lineRule="auto"/>
            </w:pPr>
            <w:r>
              <w:rPr>
                <w:rFonts w:ascii="Calibri" w:hAnsi="Calibri"/>
                <w:color w:val="333333"/>
                <w:sz w:val="19"/>
              </w:rPr>
              <w:t>Real estate pressures pricing out formal environmental waste infrastructure</w:t>
            </w:r>
          </w:p>
        </w:tc>
      </w:tr>
    </w:tbl>
    <w:p w14:paraId="5D0D2214">
      <w:pPr>
        <w:spacing w:before="0" w:after="160"/>
      </w:pPr>
    </w:p>
    <w:p w14:paraId="452841EE">
      <w:pPr>
        <w:pStyle w:val="3"/>
        <w:keepNext/>
        <w:spacing w:before="280" w:after="120"/>
      </w:pPr>
      <w:r>
        <w:rPr>
          <w:rFonts w:ascii="Calibri" w:hAnsi="Calibri"/>
          <w:b/>
          <w:color w:val="2E75B6"/>
          <w:sz w:val="28"/>
        </w:rPr>
        <w:t>6. Comparison with National Scenario</w:t>
      </w:r>
    </w:p>
    <w:p w14:paraId="6831E203">
      <w:pPr>
        <w:pStyle w:val="23"/>
        <w:spacing w:before="40" w:after="80" w:line="276" w:lineRule="auto"/>
      </w:pPr>
      <w:r>
        <w:rPr>
          <w:rFonts w:ascii="Calibri" w:hAnsi="Calibri"/>
          <w:b/>
          <w:color w:val="1B365D"/>
          <w:sz w:val="22"/>
        </w:rPr>
        <w:t xml:space="preserve">Highest National Generation: </w:t>
      </w:r>
      <w:r>
        <w:rPr>
          <w:rFonts w:ascii="Calibri" w:hAnsi="Calibri"/>
          <w:color w:val="222222"/>
          <w:sz w:val="22"/>
        </w:rPr>
        <w:t>Mumbai generates more e-waste than any other Indian metro, yet possesses less urban land allocated for formal waste processing than Delhi-NCR or Hyderabad.</w:t>
      </w:r>
    </w:p>
    <w:p w14:paraId="18AB0C1B">
      <w:pPr>
        <w:pStyle w:val="3"/>
        <w:keepNext/>
        <w:spacing w:before="280" w:after="120"/>
      </w:pPr>
      <w:r>
        <w:rPr>
          <w:rFonts w:ascii="Calibri" w:hAnsi="Calibri"/>
          <w:b/>
          <w:color w:val="2E75B6"/>
          <w:sz w:val="28"/>
        </w:rPr>
        <w:t>7. Recommendations</w:t>
      </w:r>
    </w:p>
    <w:p w14:paraId="240CF67D">
      <w:pPr>
        <w:pStyle w:val="23"/>
        <w:spacing w:before="40" w:after="80" w:line="276" w:lineRule="auto"/>
      </w:pPr>
      <w:r>
        <w:rPr>
          <w:rFonts w:ascii="Calibri" w:hAnsi="Calibri"/>
          <w:b/>
          <w:color w:val="1B365D"/>
          <w:sz w:val="22"/>
        </w:rPr>
        <w:t xml:space="preserve">MMRDA Industrial Land Allocation: </w:t>
      </w:r>
      <w:r>
        <w:rPr>
          <w:rFonts w:ascii="Calibri" w:hAnsi="Calibri"/>
          <w:color w:val="222222"/>
          <w:sz w:val="22"/>
        </w:rPr>
        <w:t>Mandate MMRDA to allocate subsidized land plots for formal e-waste dismantling hubs in Navi Mumbai and Bhiwandi.</w:t>
      </w:r>
    </w:p>
    <w:p w14:paraId="72CD64E6">
      <w:pPr>
        <w:pStyle w:val="23"/>
        <w:spacing w:before="40" w:after="80" w:line="276" w:lineRule="auto"/>
      </w:pPr>
      <w:r>
        <w:rPr>
          <w:rFonts w:ascii="Calibri" w:hAnsi="Calibri"/>
          <w:b/>
          <w:color w:val="1B365D"/>
          <w:sz w:val="22"/>
        </w:rPr>
        <w:t xml:space="preserve">Formalizing Kurla Scrap Traders: </w:t>
      </w:r>
      <w:r>
        <w:rPr>
          <w:rFonts w:ascii="Calibri" w:hAnsi="Calibri"/>
          <w:color w:val="222222"/>
          <w:sz w:val="22"/>
        </w:rPr>
        <w:t>Issue formal aggregator licenses to Kurla scrap merchants, providing them with safe dismantling tools.</w:t>
      </w:r>
    </w:p>
    <w:p w14:paraId="4F227A5E">
      <w:pPr>
        <w:pStyle w:val="23"/>
        <w:spacing w:before="40" w:after="80" w:line="276" w:lineRule="auto"/>
      </w:pPr>
      <w:r>
        <w:rPr>
          <w:rFonts w:ascii="Calibri" w:hAnsi="Calibri"/>
          <w:b/>
          <w:color w:val="1B365D"/>
          <w:sz w:val="22"/>
        </w:rPr>
        <w:t xml:space="preserve">Digital Scrap Aggregation Platforms: </w:t>
      </w:r>
      <w:r>
        <w:rPr>
          <w:rFonts w:ascii="Calibri" w:hAnsi="Calibri"/>
          <w:color w:val="222222"/>
          <w:sz w:val="22"/>
        </w:rPr>
        <w:t>Promote mobile apps connecting MPCB-registered recyclers directly with Mumbai households.</w:t>
      </w:r>
    </w:p>
    <w:p w14:paraId="5168B0AF">
      <w:pPr>
        <w:pStyle w:val="3"/>
        <w:keepNext/>
        <w:spacing w:before="280" w:after="120"/>
      </w:pPr>
      <w:r>
        <w:rPr>
          <w:rFonts w:ascii="Calibri" w:hAnsi="Calibri"/>
          <w:b/>
          <w:color w:val="2E75B6"/>
          <w:sz w:val="28"/>
        </w:rPr>
        <w:t>8. Conclusion</w:t>
      </w:r>
    </w:p>
    <w:p w14:paraId="2212B941">
      <w:pPr>
        <w:spacing w:before="0" w:after="120" w:line="276" w:lineRule="auto"/>
        <w:jc w:val="left"/>
      </w:pPr>
      <w:r>
        <w:rPr>
          <w:rFonts w:ascii="Calibri" w:hAnsi="Calibri"/>
          <w:i w:val="0"/>
          <w:color w:val="222222"/>
          <w:sz w:val="22"/>
        </w:rPr>
        <w:t>Mumbai's e-waste ecosystem highlights the critical tension between high-volume informal efficiency and severe spatial constraints, requiring dedicated regional land allocation and informal sector integration.</w:t>
      </w:r>
    </w:p>
    <w:p w14:paraId="466879DB">
      <w:pPr>
        <w:pStyle w:val="3"/>
        <w:keepNext/>
        <w:spacing w:before="280" w:after="120"/>
      </w:pPr>
      <w:r>
        <w:rPr>
          <w:rFonts w:ascii="Calibri" w:hAnsi="Calibri"/>
          <w:b/>
          <w:color w:val="2E75B6"/>
          <w:sz w:val="28"/>
        </w:rPr>
        <w:t>9. References</w:t>
      </w:r>
    </w:p>
    <w:p w14:paraId="51BB34FD">
      <w:pPr>
        <w:pStyle w:val="23"/>
        <w:spacing w:before="40" w:after="80" w:line="276" w:lineRule="auto"/>
      </w:pPr>
      <w:r>
        <w:rPr>
          <w:rFonts w:ascii="Calibri" w:hAnsi="Calibri"/>
          <w:b/>
          <w:color w:val="1B365D"/>
          <w:sz w:val="22"/>
        </w:rPr>
        <w:t xml:space="preserve">Maharashtra Pollution Control Board (MPCB). </w:t>
      </w:r>
      <w:r>
        <w:rPr>
          <w:rFonts w:ascii="Calibri" w:hAnsi="Calibri"/>
          <w:color w:val="222222"/>
          <w:sz w:val="22"/>
        </w:rPr>
        <w:t>'E-Waste Inventory and Processing Capacity in MMR.' Mumbai, 2023.</w:t>
      </w:r>
    </w:p>
    <w:p w14:paraId="50C540C5">
      <w:pPr>
        <w:pStyle w:val="23"/>
        <w:spacing w:before="40" w:after="80" w:line="276" w:lineRule="auto"/>
      </w:pPr>
      <w:r>
        <w:rPr>
          <w:rFonts w:ascii="Calibri" w:hAnsi="Calibri"/>
          <w:b/>
          <w:color w:val="1B365D"/>
          <w:sz w:val="22"/>
        </w:rPr>
        <w:t xml:space="preserve">BMC Environmental Status Report (ESR). </w:t>
      </w:r>
      <w:r>
        <w:rPr>
          <w:rFonts w:ascii="Calibri" w:hAnsi="Calibri"/>
          <w:color w:val="222222"/>
          <w:sz w:val="22"/>
        </w:rPr>
        <w:t>'Municipal Solid Waste and E-Waste Stream Analysis.' Mumbai, 2024.</w:t>
      </w:r>
    </w:p>
    <w:p w14:paraId="09428D60">
      <w:r>
        <w:br w:type="page"/>
      </w:r>
    </w:p>
    <w:p w14:paraId="68105F85">
      <w:pPr>
        <w:pStyle w:val="3"/>
        <w:keepNext/>
        <w:spacing w:before="280" w:after="120"/>
      </w:pPr>
      <w:r>
        <w:rPr>
          <w:rFonts w:ascii="Calibri" w:hAnsi="Calibri"/>
          <w:b/>
          <w:color w:val="2E75B6"/>
          <w:sz w:val="28"/>
        </w:rPr>
        <w:t>11. One-Page Exam Revision Sheet — Topic 6</w:t>
      </w:r>
    </w:p>
    <w:tbl>
      <w:tblPr>
        <w:tblStyle w:val="12"/>
        <w:tblW w:w="0" w:type="auto"/>
        <w:jc w:val="center"/>
        <w:tblLayout w:type="fixed"/>
        <w:tblCellMar>
          <w:top w:w="0" w:type="dxa"/>
          <w:left w:w="108" w:type="dxa"/>
          <w:bottom w:w="0" w:type="dxa"/>
          <w:right w:w="108" w:type="dxa"/>
        </w:tblCellMar>
      </w:tblPr>
      <w:tblGrid>
        <w:gridCol w:w="9360"/>
      </w:tblGrid>
      <w:tr w14:paraId="5523ACB7">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7D65049B">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Mumbai's E-Waste Ecosystem.</w:t>
            </w:r>
          </w:p>
        </w:tc>
      </w:tr>
    </w:tbl>
    <w:p w14:paraId="0E9BF55B">
      <w:pPr>
        <w:spacing w:before="0" w:after="120"/>
      </w:pPr>
    </w:p>
    <w:p w14:paraId="1206D3DC">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Generating over 120,000 tonnes of e-waste annually (~18-20% of India's total), Mumbai relies on informal markets in Kurla and Dharavi while facing severe real estate constraints for formal plants.</w:t>
      </w:r>
    </w:p>
    <w:p w14:paraId="767766EA">
      <w:pPr>
        <w:pStyle w:val="4"/>
        <w:keepNext/>
        <w:spacing w:before="200" w:after="80"/>
      </w:pPr>
      <w:r>
        <w:rPr>
          <w:rFonts w:ascii="Calibri" w:hAnsi="Calibri"/>
          <w:b/>
          <w:color w:val="333333"/>
          <w:sz w:val="24"/>
        </w:rPr>
        <w:t>Key Statistics &amp; Data Points for High-Scoring Answers:</w:t>
      </w:r>
    </w:p>
    <w:p w14:paraId="61AD6272">
      <w:pPr>
        <w:pStyle w:val="23"/>
        <w:spacing w:before="40" w:after="80" w:line="276" w:lineRule="auto"/>
      </w:pPr>
      <w:r>
        <w:rPr>
          <w:rFonts w:ascii="Calibri" w:hAnsi="Calibri"/>
          <w:b/>
          <w:color w:val="1B365D"/>
          <w:sz w:val="22"/>
        </w:rPr>
        <w:t xml:space="preserve">Annual Generation Volume: </w:t>
      </w:r>
      <w:r>
        <w:rPr>
          <w:rFonts w:ascii="Calibri" w:hAnsi="Calibri"/>
          <w:color w:val="222222"/>
          <w:sz w:val="22"/>
        </w:rPr>
        <w:t>120,000+ Tonnes per year (highest among Indian cities)</w:t>
      </w:r>
    </w:p>
    <w:p w14:paraId="264542AC">
      <w:pPr>
        <w:pStyle w:val="23"/>
        <w:spacing w:before="40" w:after="80" w:line="276" w:lineRule="auto"/>
      </w:pPr>
      <w:r>
        <w:rPr>
          <w:rFonts w:ascii="Calibri" w:hAnsi="Calibri"/>
          <w:b/>
          <w:color w:val="1B365D"/>
          <w:sz w:val="22"/>
        </w:rPr>
        <w:t xml:space="preserve">National Volume Share: </w:t>
      </w:r>
      <w:r>
        <w:rPr>
          <w:rFonts w:ascii="Calibri" w:hAnsi="Calibri"/>
          <w:color w:val="222222"/>
          <w:sz w:val="22"/>
        </w:rPr>
        <w:t>Represents ~18% to 20% of India's total e-waste generation</w:t>
      </w:r>
    </w:p>
    <w:p w14:paraId="10CBBB63">
      <w:pPr>
        <w:pStyle w:val="23"/>
        <w:spacing w:before="40" w:after="80" w:line="276" w:lineRule="auto"/>
      </w:pPr>
      <w:r>
        <w:rPr>
          <w:rFonts w:ascii="Calibri" w:hAnsi="Calibri"/>
          <w:b/>
          <w:color w:val="1B365D"/>
          <w:sz w:val="22"/>
        </w:rPr>
        <w:t xml:space="preserve">Primary Informal Hubs: </w:t>
      </w:r>
      <w:r>
        <w:rPr>
          <w:rFonts w:ascii="Calibri" w:hAnsi="Calibri"/>
          <w:color w:val="222222"/>
          <w:sz w:val="22"/>
        </w:rPr>
        <w:t>Kurla scrap market, Chor Bazaar, Dharavi micro-units</w:t>
      </w:r>
    </w:p>
    <w:p w14:paraId="769DE17A">
      <w:pPr>
        <w:pStyle w:val="23"/>
        <w:spacing w:before="40" w:after="80" w:line="276" w:lineRule="auto"/>
      </w:pPr>
      <w:r>
        <w:rPr>
          <w:rFonts w:ascii="Calibri" w:hAnsi="Calibri"/>
          <w:b/>
          <w:color w:val="1B365D"/>
          <w:sz w:val="22"/>
        </w:rPr>
        <w:t xml:space="preserve">Formal Plant Locations: </w:t>
      </w:r>
      <w:r>
        <w:rPr>
          <w:rFonts w:ascii="Calibri" w:hAnsi="Calibri"/>
          <w:color w:val="222222"/>
          <w:sz w:val="22"/>
        </w:rPr>
        <w:t>Pushed to MMR peripheries (Navi Mumbai, Taloja, Vasai) due to land costs</w:t>
      </w:r>
    </w:p>
    <w:p w14:paraId="2D6B503A">
      <w:pPr>
        <w:pStyle w:val="4"/>
        <w:keepNext/>
        <w:spacing w:before="200" w:after="80"/>
      </w:pPr>
      <w:r>
        <w:rPr>
          <w:rFonts w:ascii="Calibri" w:hAnsi="Calibri"/>
          <w:b/>
          <w:color w:val="333333"/>
          <w:sz w:val="24"/>
        </w:rPr>
        <w:t>Statutory Frameworks &amp; Key Terminology:</w:t>
      </w:r>
    </w:p>
    <w:p w14:paraId="45977006">
      <w:pPr>
        <w:pStyle w:val="23"/>
        <w:spacing w:before="40" w:after="80" w:line="276" w:lineRule="auto"/>
      </w:pPr>
      <w:r>
        <w:rPr>
          <w:rFonts w:ascii="Calibri" w:hAnsi="Calibri"/>
          <w:b/>
          <w:color w:val="1B365D"/>
          <w:sz w:val="22"/>
        </w:rPr>
        <w:t xml:space="preserve">Commercial Generation: </w:t>
      </w:r>
      <w:r>
        <w:rPr>
          <w:rFonts w:ascii="Calibri" w:hAnsi="Calibri"/>
          <w:color w:val="222222"/>
          <w:sz w:val="22"/>
        </w:rPr>
        <w:t>Financial hubs (BFSI sector) driving high computer hardware turnover.</w:t>
      </w:r>
    </w:p>
    <w:p w14:paraId="0C09C042">
      <w:pPr>
        <w:pStyle w:val="23"/>
        <w:spacing w:before="40" w:after="80" w:line="276" w:lineRule="auto"/>
      </w:pPr>
      <w:r>
        <w:rPr>
          <w:rFonts w:ascii="Calibri" w:hAnsi="Calibri"/>
          <w:b/>
          <w:color w:val="1B365D"/>
          <w:sz w:val="22"/>
        </w:rPr>
        <w:t xml:space="preserve">Spatial Bottleneck: </w:t>
      </w:r>
      <w:r>
        <w:rPr>
          <w:rFonts w:ascii="Calibri" w:hAnsi="Calibri"/>
          <w:color w:val="222222"/>
          <w:sz w:val="22"/>
        </w:rPr>
        <w:t>High urban land costs preventing formal recycling within city limits.</w:t>
      </w:r>
    </w:p>
    <w:p w14:paraId="3A8E4702">
      <w:pPr>
        <w:pStyle w:val="23"/>
        <w:spacing w:before="40" w:after="80" w:line="276" w:lineRule="auto"/>
      </w:pPr>
      <w:r>
        <w:rPr>
          <w:rFonts w:ascii="Calibri" w:hAnsi="Calibri"/>
          <w:b/>
          <w:color w:val="1B365D"/>
          <w:sz w:val="22"/>
        </w:rPr>
        <w:t xml:space="preserve">Kurla Scrap Market: </w:t>
      </w:r>
      <w:r>
        <w:rPr>
          <w:rFonts w:ascii="Calibri" w:hAnsi="Calibri"/>
          <w:color w:val="222222"/>
          <w:sz w:val="22"/>
        </w:rPr>
        <w:t>Major unorganized dismantling hub processing household and commercial WEEE.</w:t>
      </w:r>
    </w:p>
    <w:p w14:paraId="2832B58B">
      <w:pPr>
        <w:pStyle w:val="4"/>
        <w:keepNext/>
        <w:spacing w:before="200" w:after="80"/>
      </w:pPr>
      <w:r>
        <w:rPr>
          <w:rFonts w:ascii="Calibri" w:hAnsi="Calibri"/>
          <w:b/>
          <w:color w:val="333333"/>
          <w:sz w:val="24"/>
        </w:rPr>
        <w:t>Expected Exam Questions &amp; Analytical Points:</w:t>
      </w:r>
    </w:p>
    <w:p w14:paraId="21AE3733">
      <w:pPr>
        <w:spacing w:before="40" w:after="80" w:line="276" w:lineRule="auto"/>
        <w:jc w:val="left"/>
      </w:pPr>
      <w:r>
        <w:rPr>
          <w:rFonts w:ascii="Calibri" w:hAnsi="Calibri"/>
          <w:b/>
          <w:color w:val="1B365D"/>
          <w:sz w:val="22"/>
        </w:rPr>
        <w:t xml:space="preserve">Q1: </w:t>
      </w:r>
      <w:r>
        <w:rPr>
          <w:rFonts w:ascii="Calibri" w:hAnsi="Calibri"/>
          <w:i w:val="0"/>
          <w:color w:val="222222"/>
          <w:sz w:val="22"/>
        </w:rPr>
        <w:t>Why is Mumbai the highest e-waste generating city in India, and what are its logistical challenges?</w:t>
      </w:r>
    </w:p>
    <w:p w14:paraId="2EF58232">
      <w:pPr>
        <w:spacing w:before="40" w:after="80" w:line="276" w:lineRule="auto"/>
        <w:jc w:val="left"/>
      </w:pPr>
      <w:r>
        <w:rPr>
          <w:rFonts w:ascii="Calibri" w:hAnsi="Calibri"/>
          <w:b/>
          <w:color w:val="1B365D"/>
          <w:sz w:val="22"/>
        </w:rPr>
        <w:t xml:space="preserve">Q2: </w:t>
      </w:r>
      <w:r>
        <w:rPr>
          <w:rFonts w:ascii="Calibri" w:hAnsi="Calibri"/>
          <w:i w:val="0"/>
          <w:color w:val="222222"/>
          <w:sz w:val="22"/>
        </w:rPr>
        <w:t>Examine the spatial and financial barriers preventing formal recyclers from operating in Mumbai proper.</w:t>
      </w:r>
    </w:p>
    <w:p w14:paraId="3239DC50">
      <w:pPr>
        <w:spacing w:before="40" w:after="80" w:line="276" w:lineRule="auto"/>
        <w:jc w:val="left"/>
      </w:pPr>
      <w:r>
        <w:rPr>
          <w:rFonts w:ascii="Calibri" w:hAnsi="Calibri"/>
          <w:b/>
          <w:color w:val="1B365D"/>
          <w:sz w:val="22"/>
        </w:rPr>
        <w:t xml:space="preserve">Q3: </w:t>
      </w:r>
      <w:r>
        <w:rPr>
          <w:rFonts w:ascii="Calibri" w:hAnsi="Calibri"/>
          <w:i w:val="0"/>
          <w:color w:val="222222"/>
          <w:sz w:val="22"/>
        </w:rPr>
        <w:t>Propose a land-allocation strategy for MMRDA to support formal e-waste recycling in the metropolitan region.</w:t>
      </w:r>
    </w:p>
    <w:p w14:paraId="4A13BE39">
      <w:r>
        <w:br w:type="page"/>
      </w:r>
    </w:p>
    <w:p w14:paraId="24D46113">
      <w:pPr>
        <w:pStyle w:val="2"/>
        <w:keepNext/>
        <w:spacing w:before="360" w:after="160"/>
      </w:pPr>
      <w:r>
        <w:rPr>
          <w:rFonts w:ascii="Calibri" w:hAnsi="Calibri"/>
          <w:b/>
          <w:color w:val="1B365D"/>
          <w:sz w:val="36"/>
        </w:rPr>
        <w:t>Topic 7: Kerala's Clean Kerala Company Ltd (CKCL)</w:t>
      </w:r>
    </w:p>
    <w:p w14:paraId="570FE82C">
      <w:pPr>
        <w:pStyle w:val="3"/>
        <w:keepNext/>
        <w:spacing w:before="280" w:after="120"/>
      </w:pPr>
      <w:r>
        <w:rPr>
          <w:rFonts w:ascii="Calibri" w:hAnsi="Calibri"/>
          <w:b/>
          <w:color w:val="2E75B6"/>
          <w:sz w:val="28"/>
        </w:rPr>
        <w:t>1. Executive Summary</w:t>
      </w:r>
    </w:p>
    <w:p w14:paraId="6DC9D32B">
      <w:pPr>
        <w:spacing w:before="0" w:after="120" w:line="276" w:lineRule="auto"/>
        <w:jc w:val="left"/>
      </w:pPr>
      <w:r>
        <w:rPr>
          <w:rFonts w:ascii="Calibri" w:hAnsi="Calibri"/>
          <w:i w:val="0"/>
          <w:color w:val="222222"/>
          <w:sz w:val="22"/>
        </w:rPr>
        <w:t>Clean Kerala Company Limited (CKCL) is a state-backed Public Sector Undertaking (PSU) established in 2013 under the Local Self Government Department (LSGD) of the Government of Kerala. CKCL presents a nationally acclaimed institutional model for decentralized non-biodegradable and electronic waste management. By partnering with Kudumbashree's 'Haritha Karma Sena' (HKS)—a state-wide network of over 30,000 trained women micro-entrepreneurs—CKCL systematically collects e-waste, plastic, and hazardous waste from households and commercial establishments across 1,000+ local self-government bodies. Collected e-waste is aggregated at Material Collection Facilities (MCFs) and Resource Recovery Facilities (RRFs) before being handed over to CPCB-registered scientific recyclers, establishing a financially self-sustaining, socially inclusive model.</w:t>
      </w:r>
    </w:p>
    <w:p w14:paraId="282B8374">
      <w:pPr>
        <w:pStyle w:val="3"/>
        <w:keepNext/>
        <w:spacing w:before="280" w:after="120"/>
      </w:pPr>
      <w:r>
        <w:rPr>
          <w:rFonts w:ascii="Calibri" w:hAnsi="Calibri"/>
          <w:b/>
          <w:color w:val="2E75B6"/>
          <w:sz w:val="28"/>
        </w:rPr>
        <w:t>2. Background</w:t>
      </w:r>
    </w:p>
    <w:p w14:paraId="2266F1F8">
      <w:pPr>
        <w:spacing w:before="0" w:after="120" w:line="276" w:lineRule="auto"/>
        <w:jc w:val="left"/>
      </w:pPr>
      <w:r>
        <w:rPr>
          <w:rFonts w:ascii="Calibri" w:hAnsi="Calibri"/>
          <w:i w:val="0"/>
          <w:color w:val="222222"/>
          <w:sz w:val="22"/>
        </w:rPr>
        <w:t>Kerala's unique demographic profile—characterized by high population density, high literacy, widespread consumer electronics penetration, and absence of vast uninhabited land—makes conventional landfilling impossible. Historically, unorganized burning of plastic and e-waste threatened Kerala's delicate wetland ecosystems and backwaters. To address this crisis, the Government of Kerala conceptualized CKCL in 2013 as an overarching coordinator to assist Local Self Government Institutions (LSGIs) in implementing scientific waste management mandates.</w:t>
      </w:r>
    </w:p>
    <w:p w14:paraId="5A85E226">
      <w:pPr>
        <w:pStyle w:val="3"/>
        <w:keepNext/>
        <w:spacing w:before="280" w:after="120"/>
      </w:pPr>
      <w:r>
        <w:rPr>
          <w:rFonts w:ascii="Calibri" w:hAnsi="Calibri"/>
          <w:b/>
          <w:color w:val="2E75B6"/>
          <w:sz w:val="28"/>
        </w:rPr>
        <w:t>3. Strategy / Initiative</w:t>
      </w:r>
    </w:p>
    <w:p w14:paraId="1510CA3B">
      <w:pPr>
        <w:spacing w:before="0" w:after="120" w:line="276" w:lineRule="auto"/>
        <w:jc w:val="left"/>
      </w:pPr>
      <w:r>
        <w:rPr>
          <w:rFonts w:ascii="Calibri" w:hAnsi="Calibri"/>
          <w:i w:val="0"/>
          <w:color w:val="222222"/>
          <w:sz w:val="22"/>
        </w:rPr>
        <w:t>CKCL's strategy integrates state backing, municipal infrastructure, and grassroots women empowerment:</w:t>
      </w:r>
    </w:p>
    <w:p w14:paraId="64BE017B">
      <w:pPr>
        <w:pStyle w:val="23"/>
        <w:spacing w:before="40" w:after="80" w:line="276" w:lineRule="auto"/>
      </w:pPr>
      <w:r>
        <w:rPr>
          <w:rFonts w:ascii="Calibri" w:hAnsi="Calibri"/>
          <w:b/>
          <w:color w:val="1B365D"/>
          <w:sz w:val="22"/>
        </w:rPr>
        <w:t xml:space="preserve">Haritha Karma Sena (HKS) Integration: </w:t>
      </w:r>
      <w:r>
        <w:rPr>
          <w:rFonts w:ascii="Calibri" w:hAnsi="Calibri"/>
          <w:color w:val="222222"/>
          <w:sz w:val="22"/>
        </w:rPr>
        <w:t>Over 30,000 women organized under Kudumbashree conduct monthly door-to-door visits across households and shops, collecting user fees (₹50-₹100/month) alongside segregated e-waste and plastics.</w:t>
      </w:r>
    </w:p>
    <w:p w14:paraId="65612446">
      <w:pPr>
        <w:pStyle w:val="23"/>
        <w:spacing w:before="40" w:after="80" w:line="276" w:lineRule="auto"/>
      </w:pPr>
      <w:r>
        <w:rPr>
          <w:rFonts w:ascii="Calibri" w:hAnsi="Calibri"/>
          <w:b/>
          <w:color w:val="1B365D"/>
          <w:sz w:val="22"/>
        </w:rPr>
        <w:t xml:space="preserve">Two-Tier Storage Architecture (MCF &amp; RRF): </w:t>
      </w:r>
      <w:r>
        <w:rPr>
          <w:rFonts w:ascii="Calibri" w:hAnsi="Calibri"/>
          <w:color w:val="222222"/>
          <w:sz w:val="22"/>
        </w:rPr>
        <w:t>E-waste collected by HKS is deposited at ward-level Material Collection Facilities (MCFs), then transported to block/block-panchayat Resource Recovery Facilities (RRFs) equipped with shredders and compactors.</w:t>
      </w:r>
    </w:p>
    <w:p w14:paraId="27687C3F">
      <w:pPr>
        <w:pStyle w:val="23"/>
        <w:spacing w:before="40" w:after="80" w:line="276" w:lineRule="auto"/>
      </w:pPr>
      <w:r>
        <w:rPr>
          <w:rFonts w:ascii="Calibri" w:hAnsi="Calibri"/>
          <w:b/>
          <w:color w:val="1B365D"/>
          <w:sz w:val="22"/>
        </w:rPr>
        <w:t xml:space="preserve">Formal Recycler Hand-off: </w:t>
      </w:r>
      <w:r>
        <w:rPr>
          <w:rFonts w:ascii="Calibri" w:hAnsi="Calibri"/>
          <w:color w:val="222222"/>
          <w:sz w:val="22"/>
        </w:rPr>
        <w:t>CKCL executes state-level tenders with CPCB-authorized recyclers (such as Earth Sense Recycle) to ensure scientific processing, returning revenue generated back into the LSGD ecosystem.</w:t>
      </w:r>
    </w:p>
    <w:p w14:paraId="0DE72A54">
      <w:pPr>
        <w:pStyle w:val="3"/>
        <w:keepNext/>
        <w:spacing w:before="280" w:after="120"/>
      </w:pPr>
      <w:r>
        <w:rPr>
          <w:rFonts w:ascii="Calibri" w:hAnsi="Calibri"/>
          <w:b/>
          <w:color w:val="2E75B6"/>
          <w:sz w:val="28"/>
        </w:rPr>
        <w:t>4. Impact &amp; Results with Data Table</w:t>
      </w:r>
    </w:p>
    <w:p w14:paraId="3A39B400">
      <w:pPr>
        <w:spacing w:before="0" w:after="120" w:line="276" w:lineRule="auto"/>
        <w:jc w:val="left"/>
      </w:pPr>
      <w:r>
        <w:rPr>
          <w:rFonts w:ascii="Calibri" w:hAnsi="Calibri"/>
          <w:i w:val="0"/>
          <w:color w:val="222222"/>
          <w:sz w:val="22"/>
        </w:rPr>
        <w:t>CKCL has successfully institutionalized state-wide e-waste collection, establishing Kerala as a benchmark for state-level public sector leadership in waste management.</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340"/>
        <w:gridCol w:w="2340"/>
        <w:gridCol w:w="2340"/>
        <w:gridCol w:w="2340"/>
      </w:tblGrid>
      <w:tr w14:paraId="7EDC8F8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1B365D"/>
            <w:tcMar>
              <w:top w:w="120" w:type="dxa"/>
              <w:left w:w="150" w:type="dxa"/>
              <w:bottom w:w="120" w:type="dxa"/>
              <w:right w:w="150" w:type="dxa"/>
            </w:tcMar>
          </w:tcPr>
          <w:p w14:paraId="2362CC8F">
            <w:pPr>
              <w:spacing w:before="0" w:after="0"/>
              <w:jc w:val="left"/>
            </w:pPr>
            <w:r>
              <w:rPr>
                <w:rFonts w:ascii="Calibri" w:hAnsi="Calibri"/>
                <w:b/>
                <w:color w:val="FFFFFF"/>
                <w:sz w:val="21"/>
              </w:rPr>
              <w:t>Operational Indicator</w:t>
            </w:r>
          </w:p>
        </w:tc>
        <w:tc>
          <w:tcPr>
            <w:tcW w:w="2160" w:type="dxa"/>
            <w:shd w:val="clear" w:color="auto" w:fill="1B365D"/>
            <w:tcMar>
              <w:top w:w="120" w:type="dxa"/>
              <w:left w:w="150" w:type="dxa"/>
              <w:bottom w:w="120" w:type="dxa"/>
              <w:right w:w="150" w:type="dxa"/>
            </w:tcMar>
          </w:tcPr>
          <w:p w14:paraId="7FB70DF8">
            <w:pPr>
              <w:spacing w:before="0" w:after="0"/>
              <w:jc w:val="left"/>
            </w:pPr>
            <w:r>
              <w:rPr>
                <w:rFonts w:ascii="Calibri" w:hAnsi="Calibri"/>
                <w:b/>
                <w:color w:val="FFFFFF"/>
                <w:sz w:val="21"/>
              </w:rPr>
              <w:t>CKCL System Metrics</w:t>
            </w:r>
          </w:p>
        </w:tc>
        <w:tc>
          <w:tcPr>
            <w:tcW w:w="2592" w:type="dxa"/>
            <w:shd w:val="clear" w:color="auto" w:fill="1B365D"/>
            <w:tcMar>
              <w:top w:w="120" w:type="dxa"/>
              <w:left w:w="150" w:type="dxa"/>
              <w:bottom w:w="120" w:type="dxa"/>
              <w:right w:w="150" w:type="dxa"/>
            </w:tcMar>
          </w:tcPr>
          <w:p w14:paraId="5874AC69">
            <w:pPr>
              <w:spacing w:before="0" w:after="0"/>
              <w:jc w:val="left"/>
            </w:pPr>
            <w:r>
              <w:rPr>
                <w:rFonts w:ascii="Calibri" w:hAnsi="Calibri"/>
                <w:b/>
                <w:color w:val="FFFFFF"/>
                <w:sz w:val="21"/>
              </w:rPr>
              <w:t>Social &amp; Environmental Impact</w:t>
            </w:r>
          </w:p>
        </w:tc>
        <w:tc>
          <w:tcPr>
            <w:tcW w:w="2448" w:type="dxa"/>
            <w:shd w:val="clear" w:color="auto" w:fill="1B365D"/>
            <w:tcMar>
              <w:top w:w="120" w:type="dxa"/>
              <w:left w:w="150" w:type="dxa"/>
              <w:bottom w:w="120" w:type="dxa"/>
              <w:right w:w="150" w:type="dxa"/>
            </w:tcMar>
          </w:tcPr>
          <w:p w14:paraId="16FB8B73">
            <w:pPr>
              <w:spacing w:before="0" w:after="0"/>
              <w:jc w:val="left"/>
            </w:pPr>
            <w:r>
              <w:rPr>
                <w:rFonts w:ascii="Calibri" w:hAnsi="Calibri"/>
                <w:b/>
                <w:color w:val="FFFFFF"/>
                <w:sz w:val="21"/>
              </w:rPr>
              <w:t>Economic Sustainability</w:t>
            </w:r>
          </w:p>
        </w:tc>
      </w:tr>
      <w:tr w14:paraId="31891F7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47668374">
            <w:pPr>
              <w:spacing w:before="0" w:after="0" w:line="276" w:lineRule="auto"/>
              <w:jc w:val="left"/>
            </w:pPr>
            <w:r>
              <w:rPr>
                <w:rFonts w:ascii="Calibri" w:hAnsi="Calibri"/>
                <w:color w:val="222222"/>
                <w:sz w:val="20"/>
              </w:rPr>
              <w:t>HKS Workforce Deployed</w:t>
            </w:r>
          </w:p>
        </w:tc>
        <w:tc>
          <w:tcPr>
            <w:tcW w:w="2160" w:type="dxa"/>
            <w:shd w:val="clear" w:color="auto" w:fill="FFFFFF"/>
            <w:tcMar>
              <w:top w:w="100" w:type="dxa"/>
              <w:left w:w="150" w:type="dxa"/>
              <w:bottom w:w="100" w:type="dxa"/>
              <w:right w:w="150" w:type="dxa"/>
            </w:tcMar>
          </w:tcPr>
          <w:p w14:paraId="70DEC651">
            <w:pPr>
              <w:spacing w:before="0" w:after="0" w:line="276" w:lineRule="auto"/>
              <w:jc w:val="left"/>
            </w:pPr>
            <w:r>
              <w:rPr>
                <w:rFonts w:ascii="Calibri" w:hAnsi="Calibri"/>
                <w:color w:val="222222"/>
                <w:sz w:val="20"/>
              </w:rPr>
              <w:t>30,000+ trained women workers</w:t>
            </w:r>
          </w:p>
        </w:tc>
        <w:tc>
          <w:tcPr>
            <w:tcW w:w="2592" w:type="dxa"/>
            <w:shd w:val="clear" w:color="auto" w:fill="FFFFFF"/>
            <w:tcMar>
              <w:top w:w="100" w:type="dxa"/>
              <w:left w:w="150" w:type="dxa"/>
              <w:bottom w:w="100" w:type="dxa"/>
              <w:right w:w="150" w:type="dxa"/>
            </w:tcMar>
          </w:tcPr>
          <w:p w14:paraId="7375A64A">
            <w:pPr>
              <w:spacing w:before="0" w:after="0" w:line="276" w:lineRule="auto"/>
              <w:jc w:val="left"/>
            </w:pPr>
            <w:r>
              <w:rPr>
                <w:rFonts w:ascii="Calibri" w:hAnsi="Calibri"/>
                <w:color w:val="222222"/>
                <w:sz w:val="20"/>
              </w:rPr>
              <w:t>Empowered women micro-entrepreneurs with stable monthly income</w:t>
            </w:r>
          </w:p>
        </w:tc>
        <w:tc>
          <w:tcPr>
            <w:tcW w:w="2448" w:type="dxa"/>
            <w:shd w:val="clear" w:color="auto" w:fill="FFFFFF"/>
            <w:tcMar>
              <w:top w:w="100" w:type="dxa"/>
              <w:left w:w="150" w:type="dxa"/>
              <w:bottom w:w="100" w:type="dxa"/>
              <w:right w:w="150" w:type="dxa"/>
            </w:tcMar>
          </w:tcPr>
          <w:p w14:paraId="50FF787A">
            <w:pPr>
              <w:spacing w:before="0" w:after="0" w:line="276" w:lineRule="auto"/>
              <w:jc w:val="left"/>
            </w:pPr>
            <w:r>
              <w:rPr>
                <w:rFonts w:ascii="Calibri" w:hAnsi="Calibri"/>
                <w:color w:val="222222"/>
                <w:sz w:val="20"/>
              </w:rPr>
              <w:t>Financed through monthly door-to-door user fee collection</w:t>
            </w:r>
          </w:p>
        </w:tc>
      </w:tr>
      <w:tr w14:paraId="6C8F89B8">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35A36399">
            <w:pPr>
              <w:spacing w:before="0" w:after="0" w:line="276" w:lineRule="auto"/>
              <w:jc w:val="left"/>
            </w:pPr>
            <w:r>
              <w:rPr>
                <w:rFonts w:ascii="Calibri" w:hAnsi="Calibri"/>
                <w:color w:val="222222"/>
                <w:sz w:val="20"/>
              </w:rPr>
              <w:t>LSGI Coverage</w:t>
            </w:r>
          </w:p>
        </w:tc>
        <w:tc>
          <w:tcPr>
            <w:tcW w:w="2160" w:type="dxa"/>
            <w:shd w:val="clear" w:color="auto" w:fill="F8F9FA"/>
            <w:tcMar>
              <w:top w:w="100" w:type="dxa"/>
              <w:left w:w="150" w:type="dxa"/>
              <w:bottom w:w="100" w:type="dxa"/>
              <w:right w:w="150" w:type="dxa"/>
            </w:tcMar>
          </w:tcPr>
          <w:p w14:paraId="6D8902C3">
            <w:pPr>
              <w:spacing w:before="0" w:after="0" w:line="276" w:lineRule="auto"/>
              <w:jc w:val="left"/>
            </w:pPr>
            <w:r>
              <w:rPr>
                <w:rFonts w:ascii="Calibri" w:hAnsi="Calibri"/>
                <w:color w:val="222222"/>
                <w:sz w:val="20"/>
              </w:rPr>
              <w:t>1,000+ Grama Panchayats, Municipalities &amp; Corporations</w:t>
            </w:r>
          </w:p>
        </w:tc>
        <w:tc>
          <w:tcPr>
            <w:tcW w:w="2592" w:type="dxa"/>
            <w:shd w:val="clear" w:color="auto" w:fill="F8F9FA"/>
            <w:tcMar>
              <w:top w:w="100" w:type="dxa"/>
              <w:left w:w="150" w:type="dxa"/>
              <w:bottom w:w="100" w:type="dxa"/>
              <w:right w:w="150" w:type="dxa"/>
            </w:tcMar>
          </w:tcPr>
          <w:p w14:paraId="0F0F9682">
            <w:pPr>
              <w:spacing w:before="0" w:after="0" w:line="276" w:lineRule="auto"/>
              <w:jc w:val="left"/>
            </w:pPr>
            <w:r>
              <w:rPr>
                <w:rFonts w:ascii="Calibri" w:hAnsi="Calibri"/>
                <w:color w:val="222222"/>
                <w:sz w:val="20"/>
              </w:rPr>
              <w:t>100% geographic coverage across rural and urban Kerala</w:t>
            </w:r>
          </w:p>
        </w:tc>
        <w:tc>
          <w:tcPr>
            <w:tcW w:w="2448" w:type="dxa"/>
            <w:shd w:val="clear" w:color="auto" w:fill="F8F9FA"/>
            <w:tcMar>
              <w:top w:w="100" w:type="dxa"/>
              <w:left w:w="150" w:type="dxa"/>
              <w:bottom w:w="100" w:type="dxa"/>
              <w:right w:w="150" w:type="dxa"/>
            </w:tcMar>
          </w:tcPr>
          <w:p w14:paraId="73DE9BFB">
            <w:pPr>
              <w:spacing w:before="0" w:after="0" w:line="276" w:lineRule="auto"/>
              <w:jc w:val="left"/>
            </w:pPr>
            <w:r>
              <w:rPr>
                <w:rFonts w:ascii="Calibri" w:hAnsi="Calibri"/>
                <w:color w:val="222222"/>
                <w:sz w:val="20"/>
              </w:rPr>
              <w:t>Decentralized collection reduces municipal transport costs</w:t>
            </w:r>
          </w:p>
        </w:tc>
      </w:tr>
      <w:tr w14:paraId="001BCFDA">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172BC3D8">
            <w:pPr>
              <w:spacing w:before="0" w:after="0" w:line="276" w:lineRule="auto"/>
              <w:jc w:val="left"/>
            </w:pPr>
            <w:r>
              <w:rPr>
                <w:rFonts w:ascii="Calibri" w:hAnsi="Calibri"/>
                <w:color w:val="222222"/>
                <w:sz w:val="20"/>
              </w:rPr>
              <w:t>E-Waste Tonnage Handled</w:t>
            </w:r>
          </w:p>
        </w:tc>
        <w:tc>
          <w:tcPr>
            <w:tcW w:w="2160" w:type="dxa"/>
            <w:shd w:val="clear" w:color="auto" w:fill="FFFFFF"/>
            <w:tcMar>
              <w:top w:w="100" w:type="dxa"/>
              <w:left w:w="150" w:type="dxa"/>
              <w:bottom w:w="100" w:type="dxa"/>
              <w:right w:w="150" w:type="dxa"/>
            </w:tcMar>
          </w:tcPr>
          <w:p w14:paraId="08829E88">
            <w:pPr>
              <w:spacing w:before="0" w:after="0" w:line="276" w:lineRule="auto"/>
              <w:jc w:val="left"/>
            </w:pPr>
            <w:r>
              <w:rPr>
                <w:rFonts w:ascii="Calibri" w:hAnsi="Calibri"/>
                <w:color w:val="222222"/>
                <w:sz w:val="20"/>
              </w:rPr>
              <w:t>Thousands of metric tonnes collected systematically</w:t>
            </w:r>
          </w:p>
        </w:tc>
        <w:tc>
          <w:tcPr>
            <w:tcW w:w="2592" w:type="dxa"/>
            <w:shd w:val="clear" w:color="auto" w:fill="FFFFFF"/>
            <w:tcMar>
              <w:top w:w="100" w:type="dxa"/>
              <w:left w:w="150" w:type="dxa"/>
              <w:bottom w:w="100" w:type="dxa"/>
              <w:right w:w="150" w:type="dxa"/>
            </w:tcMar>
          </w:tcPr>
          <w:p w14:paraId="3C6FCC9B">
            <w:pPr>
              <w:spacing w:before="0" w:after="0" w:line="276" w:lineRule="auto"/>
              <w:jc w:val="left"/>
            </w:pPr>
            <w:r>
              <w:rPr>
                <w:rFonts w:ascii="Calibri" w:hAnsi="Calibri"/>
                <w:color w:val="222222"/>
                <w:sz w:val="20"/>
              </w:rPr>
              <w:t>Diverted hazardous electronics from fragile backwater ecosystems</w:t>
            </w:r>
          </w:p>
        </w:tc>
        <w:tc>
          <w:tcPr>
            <w:tcW w:w="2448" w:type="dxa"/>
            <w:shd w:val="clear" w:color="auto" w:fill="FFFFFF"/>
            <w:tcMar>
              <w:top w:w="100" w:type="dxa"/>
              <w:left w:w="150" w:type="dxa"/>
              <w:bottom w:w="100" w:type="dxa"/>
              <w:right w:w="150" w:type="dxa"/>
            </w:tcMar>
          </w:tcPr>
          <w:p w14:paraId="51FAF3B5">
            <w:pPr>
              <w:spacing w:before="0" w:after="0" w:line="276" w:lineRule="auto"/>
              <w:jc w:val="left"/>
            </w:pPr>
            <w:r>
              <w:rPr>
                <w:rFonts w:ascii="Calibri" w:hAnsi="Calibri"/>
                <w:color w:val="222222"/>
                <w:sz w:val="20"/>
              </w:rPr>
              <w:t>Bulk sales to CPCB recyclers generate revenue for state PSUs</w:t>
            </w:r>
          </w:p>
        </w:tc>
      </w:tr>
      <w:tr w14:paraId="6CE98E2C">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55237A87">
            <w:pPr>
              <w:spacing w:before="0" w:after="0" w:line="276" w:lineRule="auto"/>
              <w:jc w:val="left"/>
            </w:pPr>
            <w:r>
              <w:rPr>
                <w:rFonts w:ascii="Calibri" w:hAnsi="Calibri"/>
                <w:color w:val="222222"/>
                <w:sz w:val="20"/>
              </w:rPr>
              <w:t>Infrastructure Nodes</w:t>
            </w:r>
          </w:p>
        </w:tc>
        <w:tc>
          <w:tcPr>
            <w:tcW w:w="2160" w:type="dxa"/>
            <w:shd w:val="clear" w:color="auto" w:fill="F8F9FA"/>
            <w:tcMar>
              <w:top w:w="100" w:type="dxa"/>
              <w:left w:w="150" w:type="dxa"/>
              <w:bottom w:w="100" w:type="dxa"/>
              <w:right w:w="150" w:type="dxa"/>
            </w:tcMar>
          </w:tcPr>
          <w:p w14:paraId="0722274C">
            <w:pPr>
              <w:spacing w:before="0" w:after="0" w:line="276" w:lineRule="auto"/>
              <w:jc w:val="left"/>
            </w:pPr>
            <w:r>
              <w:rPr>
                <w:rFonts w:ascii="Calibri" w:hAnsi="Calibri"/>
                <w:color w:val="222222"/>
                <w:sz w:val="20"/>
              </w:rPr>
              <w:t>1,000+ MCFs and 100+ RRFs operational statewide</w:t>
            </w:r>
          </w:p>
        </w:tc>
        <w:tc>
          <w:tcPr>
            <w:tcW w:w="2592" w:type="dxa"/>
            <w:shd w:val="clear" w:color="auto" w:fill="F8F9FA"/>
            <w:tcMar>
              <w:top w:w="100" w:type="dxa"/>
              <w:left w:w="150" w:type="dxa"/>
              <w:bottom w:w="100" w:type="dxa"/>
              <w:right w:w="150" w:type="dxa"/>
            </w:tcMar>
          </w:tcPr>
          <w:p w14:paraId="1FD822B2">
            <w:pPr>
              <w:spacing w:before="0" w:after="0" w:line="276" w:lineRule="auto"/>
              <w:jc w:val="left"/>
            </w:pPr>
            <w:r>
              <w:rPr>
                <w:rFonts w:ascii="Calibri" w:hAnsi="Calibri"/>
                <w:color w:val="222222"/>
                <w:sz w:val="20"/>
              </w:rPr>
              <w:t>Standardized storage prevents illegal dumping and open burning</w:t>
            </w:r>
          </w:p>
        </w:tc>
        <w:tc>
          <w:tcPr>
            <w:tcW w:w="2448" w:type="dxa"/>
            <w:shd w:val="clear" w:color="auto" w:fill="F8F9FA"/>
            <w:tcMar>
              <w:top w:w="100" w:type="dxa"/>
              <w:left w:w="150" w:type="dxa"/>
              <w:bottom w:w="100" w:type="dxa"/>
              <w:right w:w="150" w:type="dxa"/>
            </w:tcMar>
          </w:tcPr>
          <w:p w14:paraId="2627CC1F">
            <w:pPr>
              <w:spacing w:before="0" w:after="0" w:line="276" w:lineRule="auto"/>
              <w:jc w:val="left"/>
            </w:pPr>
            <w:r>
              <w:rPr>
                <w:rFonts w:ascii="Calibri" w:hAnsi="Calibri"/>
                <w:color w:val="222222"/>
                <w:sz w:val="20"/>
              </w:rPr>
              <w:t>Provides scalable infrastructure for future EPR partnerships</w:t>
            </w:r>
          </w:p>
        </w:tc>
      </w:tr>
    </w:tbl>
    <w:p w14:paraId="5E8AEA77">
      <w:pPr>
        <w:spacing w:before="0" w:after="160"/>
      </w:pPr>
    </w:p>
    <w:p w14:paraId="1CA3B6C1">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73B80C5D">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PrEx>
        <w:trPr>
          <w:jc w:val="center"/>
        </w:trPr>
        <w:tc>
          <w:tcPr>
            <w:tcW w:w="4680" w:type="dxa"/>
            <w:shd w:val="clear" w:color="auto" w:fill="E8F5E9"/>
            <w:tcMar>
              <w:top w:w="120" w:type="dxa"/>
              <w:left w:w="150" w:type="dxa"/>
              <w:bottom w:w="120" w:type="dxa"/>
              <w:right w:w="150" w:type="dxa"/>
            </w:tcMar>
          </w:tcPr>
          <w:p w14:paraId="46649E28">
            <w:pPr>
              <w:spacing w:before="0" w:after="80"/>
            </w:pPr>
            <w:r>
              <w:rPr>
                <w:rFonts w:ascii="Calibri" w:hAnsi="Calibri"/>
                <w:b/>
                <w:color w:val="2E7D32"/>
                <w:sz w:val="22"/>
              </w:rPr>
              <w:t>💪 STRENGTHS (Internal)</w:t>
            </w:r>
          </w:p>
          <w:p w14:paraId="35E7D014">
            <w:pPr>
              <w:pStyle w:val="23"/>
              <w:spacing w:before="40" w:after="40" w:line="276" w:lineRule="auto"/>
            </w:pPr>
            <w:r>
              <w:rPr>
                <w:rFonts w:ascii="Calibri" w:hAnsi="Calibri"/>
                <w:color w:val="333333"/>
                <w:sz w:val="19"/>
              </w:rPr>
              <w:t>Strong state policy support and institutional LSGD backing</w:t>
            </w:r>
          </w:p>
          <w:p w14:paraId="11A09386">
            <w:pPr>
              <w:pStyle w:val="23"/>
              <w:spacing w:before="40" w:after="40" w:line="276" w:lineRule="auto"/>
            </w:pPr>
            <w:r>
              <w:rPr>
                <w:rFonts w:ascii="Calibri" w:hAnsi="Calibri"/>
                <w:color w:val="333333"/>
                <w:sz w:val="19"/>
              </w:rPr>
              <w:t>Grassroots execution powered by 30,000+ Kudumbashree HKS workers</w:t>
            </w:r>
          </w:p>
          <w:p w14:paraId="1102AA7A">
            <w:pPr>
              <w:pStyle w:val="23"/>
              <w:spacing w:before="40" w:after="40" w:line="276" w:lineRule="auto"/>
            </w:pPr>
            <w:r>
              <w:rPr>
                <w:rFonts w:ascii="Calibri" w:hAnsi="Calibri"/>
                <w:color w:val="333333"/>
                <w:sz w:val="19"/>
              </w:rPr>
              <w:t>Robust two-tier collection infrastructure (MCFs and RRFs)</w:t>
            </w:r>
          </w:p>
          <w:p w14:paraId="47746082">
            <w:pPr>
              <w:pStyle w:val="23"/>
              <w:spacing w:before="40" w:after="40" w:line="276" w:lineRule="auto"/>
            </w:pPr>
            <w:r>
              <w:rPr>
                <w:rFonts w:ascii="Calibri" w:hAnsi="Calibri"/>
                <w:color w:val="333333"/>
                <w:sz w:val="19"/>
              </w:rPr>
              <w:t>High public trust and door-to-door user fee compliance</w:t>
            </w:r>
          </w:p>
        </w:tc>
        <w:tc>
          <w:tcPr>
            <w:tcW w:w="4680" w:type="dxa"/>
            <w:shd w:val="clear" w:color="auto" w:fill="FFEBEE"/>
            <w:tcMar>
              <w:top w:w="120" w:type="dxa"/>
              <w:left w:w="150" w:type="dxa"/>
              <w:bottom w:w="120" w:type="dxa"/>
              <w:right w:w="150" w:type="dxa"/>
            </w:tcMar>
          </w:tcPr>
          <w:p w14:paraId="372333AC">
            <w:pPr>
              <w:spacing w:before="0" w:after="80"/>
            </w:pPr>
            <w:r>
              <w:rPr>
                <w:rFonts w:ascii="Calibri" w:hAnsi="Calibri"/>
                <w:b/>
                <w:color w:val="C62828"/>
                <w:sz w:val="22"/>
              </w:rPr>
              <w:t>⚠️ WEAKNESSES (Internal)</w:t>
            </w:r>
          </w:p>
          <w:p w14:paraId="799343E1">
            <w:pPr>
              <w:pStyle w:val="23"/>
              <w:spacing w:before="40" w:after="40" w:line="276" w:lineRule="auto"/>
            </w:pPr>
            <w:r>
              <w:rPr>
                <w:rFonts w:ascii="Calibri" w:hAnsi="Calibri"/>
                <w:color w:val="333333"/>
                <w:sz w:val="19"/>
              </w:rPr>
              <w:t>Dependence on government administrative continuity and subsidies</w:t>
            </w:r>
          </w:p>
          <w:p w14:paraId="413A51B0">
            <w:pPr>
              <w:pStyle w:val="23"/>
              <w:spacing w:before="40" w:after="40" w:line="276" w:lineRule="auto"/>
            </w:pPr>
            <w:r>
              <w:rPr>
                <w:rFonts w:ascii="Calibri" w:hAnsi="Calibri"/>
                <w:color w:val="333333"/>
                <w:sz w:val="19"/>
              </w:rPr>
              <w:t>Limited in-state scientific metal extraction and refining facilities</w:t>
            </w:r>
          </w:p>
          <w:p w14:paraId="1E4F9692">
            <w:pPr>
              <w:pStyle w:val="23"/>
              <w:spacing w:before="40" w:after="40" w:line="276" w:lineRule="auto"/>
            </w:pPr>
            <w:r>
              <w:rPr>
                <w:rFonts w:ascii="Calibri" w:hAnsi="Calibri"/>
                <w:color w:val="333333"/>
                <w:sz w:val="19"/>
              </w:rPr>
              <w:t>Variability in HKS user fee collection rates across rural panchayats</w:t>
            </w:r>
          </w:p>
        </w:tc>
      </w:tr>
      <w:tr w14:paraId="3B6E4759">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43164E2A">
            <w:pPr>
              <w:spacing w:before="0" w:after="80"/>
            </w:pPr>
            <w:r>
              <w:rPr>
                <w:rFonts w:ascii="Calibri" w:hAnsi="Calibri"/>
                <w:b/>
                <w:color w:val="1565C0"/>
                <w:sz w:val="22"/>
              </w:rPr>
              <w:t>🚀 OPPORTUNITIES (External)</w:t>
            </w:r>
          </w:p>
          <w:p w14:paraId="6461479E">
            <w:pPr>
              <w:pStyle w:val="23"/>
              <w:spacing w:before="40" w:after="40" w:line="276" w:lineRule="auto"/>
            </w:pPr>
            <w:r>
              <w:rPr>
                <w:rFonts w:ascii="Calibri" w:hAnsi="Calibri"/>
                <w:color w:val="333333"/>
                <w:sz w:val="19"/>
              </w:rPr>
              <w:t>Monetizing collected e-waste directly via CPCB EPR certificate trading</w:t>
            </w:r>
          </w:p>
          <w:p w14:paraId="5E9C5A6A">
            <w:pPr>
              <w:pStyle w:val="23"/>
              <w:spacing w:before="40" w:after="40" w:line="276" w:lineRule="auto"/>
            </w:pPr>
            <w:r>
              <w:rPr>
                <w:rFonts w:ascii="Calibri" w:hAnsi="Calibri"/>
                <w:color w:val="333333"/>
                <w:sz w:val="19"/>
              </w:rPr>
              <w:t>Expanding HKS activities into formal e-waste testing and refurbishing</w:t>
            </w:r>
          </w:p>
          <w:p w14:paraId="4076FF3A">
            <w:pPr>
              <w:pStyle w:val="23"/>
              <w:spacing w:before="40" w:after="40" w:line="276" w:lineRule="auto"/>
            </w:pPr>
            <w:r>
              <w:rPr>
                <w:rFonts w:ascii="Calibri" w:hAnsi="Calibri"/>
                <w:color w:val="333333"/>
                <w:sz w:val="19"/>
              </w:rPr>
              <w:t>Replicating the CKCL-Kudumbashree PSU model in other Indian states</w:t>
            </w:r>
          </w:p>
        </w:tc>
        <w:tc>
          <w:tcPr>
            <w:tcW w:w="4680" w:type="dxa"/>
            <w:shd w:val="clear" w:color="auto" w:fill="FFF3E0"/>
            <w:tcMar>
              <w:top w:w="120" w:type="dxa"/>
              <w:left w:w="150" w:type="dxa"/>
              <w:bottom w:w="120" w:type="dxa"/>
              <w:right w:w="150" w:type="dxa"/>
            </w:tcMar>
          </w:tcPr>
          <w:p w14:paraId="1F7C8770">
            <w:pPr>
              <w:spacing w:before="0" w:after="80"/>
            </w:pPr>
            <w:r>
              <w:rPr>
                <w:rFonts w:ascii="Calibri" w:hAnsi="Calibri"/>
                <w:b/>
                <w:color w:val="E65100"/>
                <w:sz w:val="22"/>
              </w:rPr>
              <w:t>⚡ THREATS (External)</w:t>
            </w:r>
          </w:p>
          <w:p w14:paraId="2DE33328">
            <w:pPr>
              <w:pStyle w:val="23"/>
              <w:spacing w:before="40" w:after="40" w:line="276" w:lineRule="auto"/>
            </w:pPr>
            <w:r>
              <w:rPr>
                <w:rFonts w:ascii="Calibri" w:hAnsi="Calibri"/>
                <w:color w:val="333333"/>
                <w:sz w:val="19"/>
              </w:rPr>
              <w:t>Resistance from unorganized scrap buyers offering higher instant cash</w:t>
            </w:r>
          </w:p>
          <w:p w14:paraId="18AACDE3">
            <w:pPr>
              <w:pStyle w:val="23"/>
              <w:spacing w:before="40" w:after="40" w:line="276" w:lineRule="auto"/>
            </w:pPr>
            <w:r>
              <w:rPr>
                <w:rFonts w:ascii="Calibri" w:hAnsi="Calibri"/>
                <w:color w:val="333333"/>
                <w:sz w:val="19"/>
              </w:rPr>
              <w:t>Fluctuations in global scrap market prices affecting tender revenues</w:t>
            </w:r>
          </w:p>
          <w:p w14:paraId="0B35239A">
            <w:pPr>
              <w:pStyle w:val="23"/>
              <w:spacing w:before="40" w:after="40" w:line="276" w:lineRule="auto"/>
            </w:pPr>
            <w:r>
              <w:rPr>
                <w:rFonts w:ascii="Calibri" w:hAnsi="Calibri"/>
                <w:color w:val="333333"/>
                <w:sz w:val="19"/>
              </w:rPr>
              <w:t>Logistical bottlenecks in remote hilly terrains (Wayanad, Idukki)</w:t>
            </w:r>
          </w:p>
        </w:tc>
      </w:tr>
    </w:tbl>
    <w:p w14:paraId="5AC57F30">
      <w:pPr>
        <w:spacing w:before="0" w:after="160"/>
      </w:pPr>
    </w:p>
    <w:p w14:paraId="1F0CECEF">
      <w:pPr>
        <w:pStyle w:val="3"/>
        <w:keepNext/>
        <w:spacing w:before="280" w:after="120"/>
      </w:pPr>
      <w:r>
        <w:rPr>
          <w:rFonts w:ascii="Calibri" w:hAnsi="Calibri"/>
          <w:b/>
          <w:color w:val="2E75B6"/>
          <w:sz w:val="28"/>
        </w:rPr>
        <w:t>6. Comparison with National Models</w:t>
      </w:r>
    </w:p>
    <w:p w14:paraId="760DFB9A">
      <w:pPr>
        <w:pStyle w:val="23"/>
        <w:spacing w:before="40" w:after="80" w:line="276" w:lineRule="auto"/>
      </w:pPr>
      <w:r>
        <w:rPr>
          <w:rFonts w:ascii="Calibri" w:hAnsi="Calibri"/>
          <w:b/>
          <w:color w:val="1B365D"/>
          <w:sz w:val="22"/>
        </w:rPr>
        <w:t xml:space="preserve">State PSU vs Private Outsourcing: </w:t>
      </w:r>
      <w:r>
        <w:rPr>
          <w:rFonts w:ascii="Calibri" w:hAnsi="Calibri"/>
          <w:color w:val="222222"/>
          <w:sz w:val="22"/>
        </w:rPr>
        <w:t>While most Indian states leave e-waste collection to private contractors or unorganized markets, Kerala's CKCL model provides a state-governed, social-enterprise framework.</w:t>
      </w:r>
    </w:p>
    <w:p w14:paraId="7615A0F3">
      <w:pPr>
        <w:pStyle w:val="3"/>
        <w:keepNext/>
        <w:spacing w:before="280" w:after="120"/>
      </w:pPr>
      <w:r>
        <w:rPr>
          <w:rFonts w:ascii="Calibri" w:hAnsi="Calibri"/>
          <w:b/>
          <w:color w:val="2E75B6"/>
          <w:sz w:val="28"/>
        </w:rPr>
        <w:t>7. Recommendations</w:t>
      </w:r>
    </w:p>
    <w:p w14:paraId="68F39402">
      <w:pPr>
        <w:pStyle w:val="23"/>
        <w:spacing w:before="40" w:after="80" w:line="276" w:lineRule="auto"/>
      </w:pPr>
      <w:r>
        <w:rPr>
          <w:rFonts w:ascii="Calibri" w:hAnsi="Calibri"/>
          <w:b/>
          <w:color w:val="1B365D"/>
          <w:sz w:val="22"/>
        </w:rPr>
        <w:t xml:space="preserve">Establish In-State Recycling Facility: </w:t>
      </w:r>
      <w:r>
        <w:rPr>
          <w:rFonts w:ascii="Calibri" w:hAnsi="Calibri"/>
          <w:color w:val="222222"/>
          <w:sz w:val="22"/>
        </w:rPr>
        <w:t>Partner with private recyclers to build an advanced electronic material extraction plant within Kerala.</w:t>
      </w:r>
    </w:p>
    <w:p w14:paraId="0C37F096">
      <w:pPr>
        <w:pStyle w:val="23"/>
        <w:spacing w:before="40" w:after="80" w:line="276" w:lineRule="auto"/>
      </w:pPr>
      <w:r>
        <w:rPr>
          <w:rFonts w:ascii="Calibri" w:hAnsi="Calibri"/>
          <w:b/>
          <w:color w:val="1B365D"/>
          <w:sz w:val="22"/>
        </w:rPr>
        <w:t xml:space="preserve">Direct EPR Portal Integration: </w:t>
      </w:r>
      <w:r>
        <w:rPr>
          <w:rFonts w:ascii="Calibri" w:hAnsi="Calibri"/>
          <w:color w:val="222222"/>
          <w:sz w:val="22"/>
        </w:rPr>
        <w:t>Empower CKCL to register directly as a state aggregator on CPCB's national EPR portal.</w:t>
      </w:r>
    </w:p>
    <w:p w14:paraId="05BC823F">
      <w:pPr>
        <w:pStyle w:val="23"/>
        <w:spacing w:before="40" w:after="80" w:line="276" w:lineRule="auto"/>
      </w:pPr>
      <w:r>
        <w:rPr>
          <w:rFonts w:ascii="Calibri" w:hAnsi="Calibri"/>
          <w:b/>
          <w:color w:val="1B365D"/>
          <w:sz w:val="22"/>
        </w:rPr>
        <w:t xml:space="preserve">E-Waste Testing Training for HKS: </w:t>
      </w:r>
      <w:r>
        <w:rPr>
          <w:rFonts w:ascii="Calibri" w:hAnsi="Calibri"/>
          <w:color w:val="222222"/>
          <w:sz w:val="22"/>
        </w:rPr>
        <w:t>Train select HKS members to test and refurbish discarded electronics to maximize resale value.</w:t>
      </w:r>
    </w:p>
    <w:p w14:paraId="285579B5">
      <w:pPr>
        <w:pStyle w:val="3"/>
        <w:keepNext/>
        <w:spacing w:before="280" w:after="120"/>
      </w:pPr>
      <w:r>
        <w:rPr>
          <w:rFonts w:ascii="Calibri" w:hAnsi="Calibri"/>
          <w:b/>
          <w:color w:val="2E75B6"/>
          <w:sz w:val="28"/>
        </w:rPr>
        <w:t>8. Conclusion</w:t>
      </w:r>
    </w:p>
    <w:p w14:paraId="754ABBD6">
      <w:pPr>
        <w:spacing w:before="0" w:after="120" w:line="276" w:lineRule="auto"/>
        <w:jc w:val="left"/>
      </w:pPr>
      <w:r>
        <w:rPr>
          <w:rFonts w:ascii="Calibri" w:hAnsi="Calibri"/>
          <w:i w:val="0"/>
          <w:color w:val="222222"/>
          <w:sz w:val="22"/>
        </w:rPr>
        <w:t>Clean Kerala Company Ltd demonstrates that combining state-level PSU governance with grassroots women's cooperatives creates a highly effective, inclusive, and scalable model for non-biodegradable and electronic waste management.</w:t>
      </w:r>
    </w:p>
    <w:p w14:paraId="1D55B44F">
      <w:pPr>
        <w:pStyle w:val="3"/>
        <w:keepNext/>
        <w:spacing w:before="280" w:after="120"/>
      </w:pPr>
      <w:r>
        <w:rPr>
          <w:rFonts w:ascii="Calibri" w:hAnsi="Calibri"/>
          <w:b/>
          <w:color w:val="2E75B6"/>
          <w:sz w:val="28"/>
        </w:rPr>
        <w:t>9. References</w:t>
      </w:r>
    </w:p>
    <w:p w14:paraId="3A41B837">
      <w:pPr>
        <w:pStyle w:val="23"/>
        <w:spacing w:before="40" w:after="80" w:line="276" w:lineRule="auto"/>
      </w:pPr>
      <w:r>
        <w:rPr>
          <w:rFonts w:ascii="Calibri" w:hAnsi="Calibri"/>
          <w:b/>
          <w:color w:val="1B365D"/>
          <w:sz w:val="22"/>
        </w:rPr>
        <w:t xml:space="preserve">Clean Kerala Company Limited (CKCL). </w:t>
      </w:r>
      <w:r>
        <w:rPr>
          <w:rFonts w:ascii="Calibri" w:hAnsi="Calibri"/>
          <w:color w:val="222222"/>
          <w:sz w:val="22"/>
        </w:rPr>
        <w:t>'Annual Operations Report &amp; LSGD Progress.' Thiruvananthapuram, 2024.</w:t>
      </w:r>
    </w:p>
    <w:p w14:paraId="34E3E048">
      <w:pPr>
        <w:pStyle w:val="23"/>
        <w:spacing w:before="40" w:after="80" w:line="276" w:lineRule="auto"/>
      </w:pPr>
      <w:r>
        <w:rPr>
          <w:rFonts w:ascii="Calibri" w:hAnsi="Calibri"/>
          <w:b/>
          <w:color w:val="1B365D"/>
          <w:sz w:val="22"/>
        </w:rPr>
        <w:t xml:space="preserve">Kudumbashree State Poverty Eradication Mission. </w:t>
      </w:r>
      <w:r>
        <w:rPr>
          <w:rFonts w:ascii="Calibri" w:hAnsi="Calibri"/>
          <w:color w:val="222222"/>
          <w:sz w:val="22"/>
        </w:rPr>
        <w:t>'Haritha Karma Sena Waste Management Guidelines.' 2023.</w:t>
      </w:r>
    </w:p>
    <w:p w14:paraId="78934AFD">
      <w:r>
        <w:br w:type="page"/>
      </w:r>
    </w:p>
    <w:p w14:paraId="16F1C55C">
      <w:pPr>
        <w:pStyle w:val="3"/>
        <w:keepNext/>
        <w:spacing w:before="280" w:after="120"/>
      </w:pPr>
      <w:r>
        <w:rPr>
          <w:rFonts w:ascii="Calibri" w:hAnsi="Calibri"/>
          <w:b/>
          <w:color w:val="2E75B6"/>
          <w:sz w:val="28"/>
        </w:rPr>
        <w:t>11. One-Page Exam Revision Sheet — Topic 7</w:t>
      </w:r>
    </w:p>
    <w:tbl>
      <w:tblPr>
        <w:tblStyle w:val="12"/>
        <w:tblW w:w="0" w:type="auto"/>
        <w:jc w:val="center"/>
        <w:tblLayout w:type="fixed"/>
        <w:tblCellMar>
          <w:top w:w="0" w:type="dxa"/>
          <w:left w:w="108" w:type="dxa"/>
          <w:bottom w:w="0" w:type="dxa"/>
          <w:right w:w="108" w:type="dxa"/>
        </w:tblCellMar>
      </w:tblPr>
      <w:tblGrid>
        <w:gridCol w:w="9360"/>
      </w:tblGrid>
      <w:tr w14:paraId="6D8BDA59">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29B0B6B8">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Kerala's Clean Kerala Company Ltd (CKCL).</w:t>
            </w:r>
          </w:p>
        </w:tc>
      </w:tr>
    </w:tbl>
    <w:p w14:paraId="40C6F345">
      <w:pPr>
        <w:spacing w:before="0" w:after="120"/>
      </w:pPr>
    </w:p>
    <w:p w14:paraId="2E2B8F35">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CKCL is a Kerala state PSU that manages non-biodegradable and e-waste state-wide by partnering with 30,000+ Kudumbashree Haritha Karma Sena (HKS) women workers across 1,000+ local bodies.</w:t>
      </w:r>
    </w:p>
    <w:p w14:paraId="2C21A266">
      <w:pPr>
        <w:pStyle w:val="4"/>
        <w:keepNext/>
        <w:spacing w:before="200" w:after="80"/>
      </w:pPr>
      <w:r>
        <w:rPr>
          <w:rFonts w:ascii="Calibri" w:hAnsi="Calibri"/>
          <w:b/>
          <w:color w:val="333333"/>
          <w:sz w:val="24"/>
        </w:rPr>
        <w:t>Key Statistics &amp; Data Points for High-Scoring Answers:</w:t>
      </w:r>
    </w:p>
    <w:p w14:paraId="570C5524">
      <w:pPr>
        <w:pStyle w:val="23"/>
        <w:spacing w:before="40" w:after="80" w:line="276" w:lineRule="auto"/>
      </w:pPr>
      <w:r>
        <w:rPr>
          <w:rFonts w:ascii="Calibri" w:hAnsi="Calibri"/>
          <w:b/>
          <w:color w:val="1B365D"/>
          <w:sz w:val="22"/>
        </w:rPr>
        <w:t xml:space="preserve">Established Entity: </w:t>
      </w:r>
      <w:r>
        <w:rPr>
          <w:rFonts w:ascii="Calibri" w:hAnsi="Calibri"/>
          <w:color w:val="222222"/>
          <w:sz w:val="22"/>
        </w:rPr>
        <w:t>Clean Kerala Company Ltd (PSU under LSGD, formed in 2013)</w:t>
      </w:r>
    </w:p>
    <w:p w14:paraId="419EE567">
      <w:pPr>
        <w:pStyle w:val="23"/>
        <w:spacing w:before="40" w:after="80" w:line="276" w:lineRule="auto"/>
      </w:pPr>
      <w:r>
        <w:rPr>
          <w:rFonts w:ascii="Calibri" w:hAnsi="Calibri"/>
          <w:b/>
          <w:color w:val="1B365D"/>
          <w:sz w:val="22"/>
        </w:rPr>
        <w:t xml:space="preserve">Grassroots Workforce: </w:t>
      </w:r>
      <w:r>
        <w:rPr>
          <w:rFonts w:ascii="Calibri" w:hAnsi="Calibri"/>
          <w:color w:val="222222"/>
          <w:sz w:val="22"/>
        </w:rPr>
        <w:t>30,000+ Haritha Karma Sena (HKS) women micro-entrepreneurs</w:t>
      </w:r>
    </w:p>
    <w:p w14:paraId="1BEA72A2">
      <w:pPr>
        <w:pStyle w:val="23"/>
        <w:spacing w:before="40" w:after="80" w:line="276" w:lineRule="auto"/>
      </w:pPr>
      <w:r>
        <w:rPr>
          <w:rFonts w:ascii="Calibri" w:hAnsi="Calibri"/>
          <w:b/>
          <w:color w:val="1B365D"/>
          <w:sz w:val="22"/>
        </w:rPr>
        <w:t xml:space="preserve">Coverage Scale: </w:t>
      </w:r>
      <w:r>
        <w:rPr>
          <w:rFonts w:ascii="Calibri" w:hAnsi="Calibri"/>
          <w:color w:val="222222"/>
          <w:sz w:val="22"/>
        </w:rPr>
        <w:t>1,000+ Grama Panchayats, Municipalities, and Corporations</w:t>
      </w:r>
    </w:p>
    <w:p w14:paraId="599812F1">
      <w:pPr>
        <w:pStyle w:val="23"/>
        <w:spacing w:before="40" w:after="80" w:line="276" w:lineRule="auto"/>
      </w:pPr>
      <w:r>
        <w:rPr>
          <w:rFonts w:ascii="Calibri" w:hAnsi="Calibri"/>
          <w:b/>
          <w:color w:val="1B365D"/>
          <w:sz w:val="22"/>
        </w:rPr>
        <w:t xml:space="preserve">Collection Infrastructure: </w:t>
      </w:r>
      <w:r>
        <w:rPr>
          <w:rFonts w:ascii="Calibri" w:hAnsi="Calibri"/>
          <w:color w:val="222222"/>
          <w:sz w:val="22"/>
        </w:rPr>
        <w:t>Material Collection Facilities (MCFs) &amp; Resource Recovery Facilities (RRFs)</w:t>
      </w:r>
    </w:p>
    <w:p w14:paraId="11DB3D6D">
      <w:pPr>
        <w:pStyle w:val="4"/>
        <w:keepNext/>
        <w:spacing w:before="200" w:after="80"/>
      </w:pPr>
      <w:r>
        <w:rPr>
          <w:rFonts w:ascii="Calibri" w:hAnsi="Calibri"/>
          <w:b/>
          <w:color w:val="333333"/>
          <w:sz w:val="24"/>
        </w:rPr>
        <w:t>Statutory Frameworks &amp; Key Terminology:</w:t>
      </w:r>
    </w:p>
    <w:p w14:paraId="31CF8E87">
      <w:pPr>
        <w:pStyle w:val="23"/>
        <w:spacing w:before="40" w:after="80" w:line="276" w:lineRule="auto"/>
      </w:pPr>
      <w:r>
        <w:rPr>
          <w:rFonts w:ascii="Calibri" w:hAnsi="Calibri"/>
          <w:b/>
          <w:color w:val="1B365D"/>
          <w:sz w:val="22"/>
        </w:rPr>
        <w:t xml:space="preserve">Haritha Karma Sena (HKS): </w:t>
      </w:r>
      <w:r>
        <w:rPr>
          <w:rFonts w:ascii="Calibri" w:hAnsi="Calibri"/>
          <w:color w:val="222222"/>
          <w:sz w:val="22"/>
        </w:rPr>
        <w:t>Women's self-help group network collecting waste and user fees.</w:t>
      </w:r>
    </w:p>
    <w:p w14:paraId="19BABD75">
      <w:pPr>
        <w:pStyle w:val="23"/>
        <w:spacing w:before="40" w:after="80" w:line="276" w:lineRule="auto"/>
      </w:pPr>
      <w:r>
        <w:rPr>
          <w:rFonts w:ascii="Calibri" w:hAnsi="Calibri"/>
          <w:b/>
          <w:color w:val="1B365D"/>
          <w:sz w:val="22"/>
        </w:rPr>
        <w:t xml:space="preserve">MCF &amp; RRF: </w:t>
      </w:r>
      <w:r>
        <w:rPr>
          <w:rFonts w:ascii="Calibri" w:hAnsi="Calibri"/>
          <w:color w:val="222222"/>
          <w:sz w:val="22"/>
        </w:rPr>
        <w:t>Ward-level storage (MCF) and block-level processing nodes (RRF).</w:t>
      </w:r>
    </w:p>
    <w:p w14:paraId="05B156EE">
      <w:pPr>
        <w:pStyle w:val="23"/>
        <w:spacing w:before="40" w:after="80" w:line="276" w:lineRule="auto"/>
      </w:pPr>
      <w:r>
        <w:rPr>
          <w:rFonts w:ascii="Calibri" w:hAnsi="Calibri"/>
          <w:b/>
          <w:color w:val="1B365D"/>
          <w:sz w:val="22"/>
        </w:rPr>
        <w:t xml:space="preserve">LSGD: </w:t>
      </w:r>
      <w:r>
        <w:rPr>
          <w:rFonts w:ascii="Calibri" w:hAnsi="Calibri"/>
          <w:color w:val="222222"/>
          <w:sz w:val="22"/>
        </w:rPr>
        <w:t>Local Self Government Department providing institutional backing.</w:t>
      </w:r>
    </w:p>
    <w:p w14:paraId="712E38E6">
      <w:pPr>
        <w:pStyle w:val="4"/>
        <w:keepNext/>
        <w:spacing w:before="200" w:after="80"/>
      </w:pPr>
      <w:r>
        <w:rPr>
          <w:rFonts w:ascii="Calibri" w:hAnsi="Calibri"/>
          <w:b/>
          <w:color w:val="333333"/>
          <w:sz w:val="24"/>
        </w:rPr>
        <w:t>Expected Exam Questions &amp; Analytical Points:</w:t>
      </w:r>
    </w:p>
    <w:p w14:paraId="1A62DCC5">
      <w:pPr>
        <w:spacing w:before="40" w:after="80" w:line="276" w:lineRule="auto"/>
        <w:jc w:val="left"/>
      </w:pPr>
      <w:r>
        <w:rPr>
          <w:rFonts w:ascii="Calibri" w:hAnsi="Calibri"/>
          <w:b/>
          <w:color w:val="1B365D"/>
          <w:sz w:val="22"/>
        </w:rPr>
        <w:t xml:space="preserve">Q1: </w:t>
      </w:r>
      <w:r>
        <w:rPr>
          <w:rFonts w:ascii="Calibri" w:hAnsi="Calibri"/>
          <w:i w:val="0"/>
          <w:color w:val="222222"/>
          <w:sz w:val="22"/>
        </w:rPr>
        <w:t>Detail the institutional structure and operational workflow of Clean Kerala Company Ltd.</w:t>
      </w:r>
    </w:p>
    <w:p w14:paraId="6367AE69">
      <w:pPr>
        <w:spacing w:before="40" w:after="80" w:line="276" w:lineRule="auto"/>
        <w:jc w:val="left"/>
      </w:pPr>
      <w:r>
        <w:rPr>
          <w:rFonts w:ascii="Calibri" w:hAnsi="Calibri"/>
          <w:b/>
          <w:color w:val="1B365D"/>
          <w:sz w:val="22"/>
        </w:rPr>
        <w:t xml:space="preserve">Q2: </w:t>
      </w:r>
      <w:r>
        <w:rPr>
          <w:rFonts w:ascii="Calibri" w:hAnsi="Calibri"/>
          <w:i w:val="0"/>
          <w:color w:val="222222"/>
          <w:sz w:val="22"/>
        </w:rPr>
        <w:t>How does the Kudumbashree Haritha Karma Sena (HKS) integrate social inclusion with e-waste management?</w:t>
      </w:r>
    </w:p>
    <w:p w14:paraId="6F8EC931">
      <w:pPr>
        <w:spacing w:before="40" w:after="80" w:line="276" w:lineRule="auto"/>
        <w:jc w:val="left"/>
      </w:pPr>
      <w:r>
        <w:rPr>
          <w:rFonts w:ascii="Calibri" w:hAnsi="Calibri"/>
          <w:b/>
          <w:color w:val="1B365D"/>
          <w:sz w:val="22"/>
        </w:rPr>
        <w:t xml:space="preserve">Q3: </w:t>
      </w:r>
      <w:r>
        <w:rPr>
          <w:rFonts w:ascii="Calibri" w:hAnsi="Calibri"/>
          <w:i w:val="0"/>
          <w:color w:val="222222"/>
          <w:sz w:val="22"/>
        </w:rPr>
        <w:t>Explain the role of MCFs and RRFs in Kerala's two-tier waste storage architecture.</w:t>
      </w:r>
    </w:p>
    <w:p w14:paraId="53CFE162">
      <w:r>
        <w:br w:type="page"/>
      </w:r>
    </w:p>
    <w:p w14:paraId="5FB5E1B7">
      <w:pPr>
        <w:pStyle w:val="2"/>
        <w:keepNext/>
        <w:spacing w:before="360" w:after="160"/>
      </w:pPr>
      <w:r>
        <w:rPr>
          <w:rFonts w:ascii="Calibri" w:hAnsi="Calibri"/>
          <w:b/>
          <w:color w:val="1B365D"/>
          <w:sz w:val="36"/>
        </w:rPr>
        <w:t>Topic 8: Pune's SWaCH Model</w:t>
      </w:r>
    </w:p>
    <w:p w14:paraId="5ECB1470">
      <w:pPr>
        <w:pStyle w:val="3"/>
        <w:keepNext/>
        <w:spacing w:before="280" w:after="120"/>
      </w:pPr>
      <w:r>
        <w:rPr>
          <w:rFonts w:ascii="Calibri" w:hAnsi="Calibri"/>
          <w:b/>
          <w:color w:val="2E75B6"/>
          <w:sz w:val="28"/>
        </w:rPr>
        <w:t>1. Executive Summary</w:t>
      </w:r>
    </w:p>
    <w:p w14:paraId="1647AB2F">
      <w:pPr>
        <w:spacing w:before="0" w:after="120" w:line="276" w:lineRule="auto"/>
        <w:jc w:val="left"/>
      </w:pPr>
      <w:r>
        <w:rPr>
          <w:rFonts w:ascii="Calibri" w:hAnsi="Calibri"/>
          <w:i w:val="0"/>
          <w:color w:val="222222"/>
          <w:sz w:val="22"/>
        </w:rPr>
        <w:t>SWaCH (Solid Waste Collection and Handling) is India's first wholly waste picker-owned cooperative, representing a landmark public-private partnership with the Pune Municipal Corporation (PMC). Formed in 2007 through the Kagad Kach Patra Kashtakari Panchayat (KKPKP) trade union, SWaCH integrates over 3,500 former informal waste pickers into a formal municipal waste management service covering 800,000+ households. SWaCH has expanded its mandate beyond municipal solid waste to pioneer specialized household e-waste collection through dedicated drives like 'E-Waste Days' and doorstep collection. This model provides a nationally recognized template for converting informal waste pickers into empowered, fee-for-service environmental workers.</w:t>
      </w:r>
    </w:p>
    <w:p w14:paraId="410F8466">
      <w:pPr>
        <w:pStyle w:val="3"/>
        <w:keepNext/>
        <w:spacing w:before="280" w:after="120"/>
      </w:pPr>
      <w:r>
        <w:rPr>
          <w:rFonts w:ascii="Calibri" w:hAnsi="Calibri"/>
          <w:b/>
          <w:color w:val="2E75B6"/>
          <w:sz w:val="28"/>
        </w:rPr>
        <w:t>2. Background</w:t>
      </w:r>
    </w:p>
    <w:p w14:paraId="6C456076">
      <w:pPr>
        <w:spacing w:before="0" w:after="120" w:line="276" w:lineRule="auto"/>
        <w:jc w:val="left"/>
      </w:pPr>
      <w:r>
        <w:rPr>
          <w:rFonts w:ascii="Calibri" w:hAnsi="Calibri"/>
          <w:i w:val="0"/>
          <w:color w:val="222222"/>
          <w:sz w:val="22"/>
        </w:rPr>
        <w:t>Historically, Pune's informal waste pickers—predominantly marginalized women—lived in severe poverty, picking recyclable paper, plastic, and metal from municipal bins and landfills without safety gear or social dignity. In the 1990s, the KKPKP union organized these workers to demand identity cards, healthcare, and formal recognition. In 2007, PMC entered into an innovative pro-poor agreement, authorizing the newly created SWaCH cooperative to collect segregated waste directly from doorstep households, charging a user fee while retaining ownership of recyclable scrap.</w:t>
      </w:r>
    </w:p>
    <w:p w14:paraId="62B1AB98">
      <w:pPr>
        <w:pStyle w:val="3"/>
        <w:keepNext/>
        <w:spacing w:before="280" w:after="120"/>
      </w:pPr>
      <w:r>
        <w:rPr>
          <w:rFonts w:ascii="Calibri" w:hAnsi="Calibri"/>
          <w:b/>
          <w:color w:val="2E75B6"/>
          <w:sz w:val="28"/>
        </w:rPr>
        <w:t>3. Strategy / Initiative</w:t>
      </w:r>
    </w:p>
    <w:p w14:paraId="68FAC64F">
      <w:pPr>
        <w:spacing w:before="0" w:after="120" w:line="276" w:lineRule="auto"/>
        <w:jc w:val="left"/>
      </w:pPr>
      <w:r>
        <w:rPr>
          <w:rFonts w:ascii="Calibri" w:hAnsi="Calibri"/>
          <w:i w:val="0"/>
          <w:color w:val="222222"/>
          <w:sz w:val="22"/>
        </w:rPr>
        <w:t>SWaCH's e-waste strategy combines formal municipal authorization with worker cooperative empowerment:</w:t>
      </w:r>
    </w:p>
    <w:p w14:paraId="057B337D">
      <w:pPr>
        <w:pStyle w:val="23"/>
        <w:spacing w:before="40" w:after="80" w:line="276" w:lineRule="auto"/>
      </w:pPr>
      <w:r>
        <w:rPr>
          <w:rFonts w:ascii="Calibri" w:hAnsi="Calibri"/>
          <w:b/>
          <w:color w:val="1B365D"/>
          <w:sz w:val="22"/>
        </w:rPr>
        <w:t xml:space="preserve">User-Fee Financed Doorstep Collection: </w:t>
      </w:r>
      <w:r>
        <w:rPr>
          <w:rFonts w:ascii="Calibri" w:hAnsi="Calibri"/>
          <w:color w:val="222222"/>
          <w:sz w:val="22"/>
        </w:rPr>
        <w:t>Waste pickers operate in pairs, collecting segregated wet, dry, and electronic waste from 200-300 households daily, receiving direct user fees.</w:t>
      </w:r>
    </w:p>
    <w:p w14:paraId="4A16B238">
      <w:pPr>
        <w:pStyle w:val="23"/>
        <w:spacing w:before="40" w:after="80" w:line="276" w:lineRule="auto"/>
      </w:pPr>
      <w:r>
        <w:rPr>
          <w:rFonts w:ascii="Calibri" w:hAnsi="Calibri"/>
          <w:b/>
          <w:color w:val="1B365D"/>
          <w:sz w:val="22"/>
        </w:rPr>
        <w:t xml:space="preserve">Specialized E-Waste Drives ('V-Collect' &amp; 'E-Waste Days'): </w:t>
      </w:r>
      <w:r>
        <w:rPr>
          <w:rFonts w:ascii="Calibri" w:hAnsi="Calibri"/>
          <w:color w:val="222222"/>
          <w:sz w:val="22"/>
        </w:rPr>
        <w:t>SWaCH conducts targeted drop-off events across Pune neighborhoods and corporate parks, collecting old computers, phones, and wires.</w:t>
      </w:r>
    </w:p>
    <w:p w14:paraId="11226015">
      <w:pPr>
        <w:pStyle w:val="23"/>
        <w:spacing w:before="40" w:after="80" w:line="276" w:lineRule="auto"/>
      </w:pPr>
      <w:r>
        <w:rPr>
          <w:rFonts w:ascii="Calibri" w:hAnsi="Calibri"/>
          <w:b/>
          <w:color w:val="1B365D"/>
          <w:sz w:val="22"/>
        </w:rPr>
        <w:t xml:space="preserve">Formal Recycler Linkages: </w:t>
      </w:r>
      <w:r>
        <w:rPr>
          <w:rFonts w:ascii="Calibri" w:hAnsi="Calibri"/>
          <w:color w:val="222222"/>
          <w:sz w:val="22"/>
        </w:rPr>
        <w:t>E-waste collected by SWaCH members is aggregated at PMC sorting sheds and sold directly to CPCB-registered authorized recyclers, bypassing toxic informal processors.</w:t>
      </w:r>
    </w:p>
    <w:p w14:paraId="19BA83BE">
      <w:pPr>
        <w:pStyle w:val="3"/>
        <w:keepNext/>
        <w:spacing w:before="280" w:after="120"/>
      </w:pPr>
      <w:r>
        <w:rPr>
          <w:rFonts w:ascii="Calibri" w:hAnsi="Calibri"/>
          <w:b/>
          <w:color w:val="2E75B6"/>
          <w:sz w:val="28"/>
        </w:rPr>
        <w:t>4. Impact &amp; Results with Data Table</w:t>
      </w:r>
    </w:p>
    <w:p w14:paraId="4065A5F6">
      <w:pPr>
        <w:spacing w:before="0" w:after="120" w:line="276" w:lineRule="auto"/>
        <w:jc w:val="left"/>
      </w:pPr>
      <w:r>
        <w:rPr>
          <w:rFonts w:ascii="Calibri" w:hAnsi="Calibri"/>
          <w:i w:val="0"/>
          <w:color w:val="222222"/>
          <w:sz w:val="22"/>
        </w:rPr>
        <w:t>SWaCH has demonstrated exceptional operational and social impacts, establishing a benchmark for inclusive waste management.</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340"/>
        <w:gridCol w:w="2340"/>
        <w:gridCol w:w="2340"/>
        <w:gridCol w:w="2340"/>
      </w:tblGrid>
      <w:tr w14:paraId="406B472D">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1B365D"/>
            <w:tcMar>
              <w:top w:w="120" w:type="dxa"/>
              <w:left w:w="150" w:type="dxa"/>
              <w:bottom w:w="120" w:type="dxa"/>
              <w:right w:w="150" w:type="dxa"/>
            </w:tcMar>
          </w:tcPr>
          <w:p w14:paraId="2F09AD99">
            <w:pPr>
              <w:spacing w:before="0" w:after="0"/>
              <w:jc w:val="left"/>
            </w:pPr>
            <w:r>
              <w:rPr>
                <w:rFonts w:ascii="Calibri" w:hAnsi="Calibri"/>
                <w:b/>
                <w:color w:val="FFFFFF"/>
                <w:sz w:val="21"/>
              </w:rPr>
              <w:t>Performance Metric</w:t>
            </w:r>
          </w:p>
        </w:tc>
        <w:tc>
          <w:tcPr>
            <w:tcW w:w="2304" w:type="dxa"/>
            <w:shd w:val="clear" w:color="auto" w:fill="1B365D"/>
            <w:tcMar>
              <w:top w:w="120" w:type="dxa"/>
              <w:left w:w="150" w:type="dxa"/>
              <w:bottom w:w="120" w:type="dxa"/>
              <w:right w:w="150" w:type="dxa"/>
            </w:tcMar>
          </w:tcPr>
          <w:p w14:paraId="26C77BB4">
            <w:pPr>
              <w:spacing w:before="0" w:after="0"/>
              <w:jc w:val="left"/>
            </w:pPr>
            <w:r>
              <w:rPr>
                <w:rFonts w:ascii="Calibri" w:hAnsi="Calibri"/>
                <w:b/>
                <w:color w:val="FFFFFF"/>
                <w:sz w:val="21"/>
              </w:rPr>
              <w:t>SWaCH Cooperative Achievement</w:t>
            </w:r>
          </w:p>
        </w:tc>
        <w:tc>
          <w:tcPr>
            <w:tcW w:w="2448" w:type="dxa"/>
            <w:shd w:val="clear" w:color="auto" w:fill="1B365D"/>
            <w:tcMar>
              <w:top w:w="120" w:type="dxa"/>
              <w:left w:w="150" w:type="dxa"/>
              <w:bottom w:w="120" w:type="dxa"/>
              <w:right w:w="150" w:type="dxa"/>
            </w:tcMar>
          </w:tcPr>
          <w:p w14:paraId="4F7F55E6">
            <w:pPr>
              <w:spacing w:before="0" w:after="0"/>
              <w:jc w:val="left"/>
            </w:pPr>
            <w:r>
              <w:rPr>
                <w:rFonts w:ascii="Calibri" w:hAnsi="Calibri"/>
                <w:b/>
                <w:color w:val="FFFFFF"/>
                <w:sz w:val="21"/>
              </w:rPr>
              <w:t>Social &amp; Economic Impact</w:t>
            </w:r>
          </w:p>
        </w:tc>
        <w:tc>
          <w:tcPr>
            <w:tcW w:w="2448" w:type="dxa"/>
            <w:shd w:val="clear" w:color="auto" w:fill="1B365D"/>
            <w:tcMar>
              <w:top w:w="120" w:type="dxa"/>
              <w:left w:w="150" w:type="dxa"/>
              <w:bottom w:w="120" w:type="dxa"/>
              <w:right w:w="150" w:type="dxa"/>
            </w:tcMar>
          </w:tcPr>
          <w:p w14:paraId="43E5B491">
            <w:pPr>
              <w:spacing w:before="0" w:after="0"/>
              <w:jc w:val="left"/>
            </w:pPr>
            <w:r>
              <w:rPr>
                <w:rFonts w:ascii="Calibri" w:hAnsi="Calibri"/>
                <w:b/>
                <w:color w:val="FFFFFF"/>
                <w:sz w:val="21"/>
              </w:rPr>
              <w:t>Environmental Benefit</w:t>
            </w:r>
          </w:p>
        </w:tc>
      </w:tr>
      <w:tr w14:paraId="52F47437">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1C9A7081">
            <w:pPr>
              <w:spacing w:before="0" w:after="0" w:line="276" w:lineRule="auto"/>
              <w:jc w:val="left"/>
            </w:pPr>
            <w:r>
              <w:rPr>
                <w:rFonts w:ascii="Calibri" w:hAnsi="Calibri"/>
                <w:color w:val="222222"/>
                <w:sz w:val="20"/>
              </w:rPr>
              <w:t>Member Workforce</w:t>
            </w:r>
          </w:p>
        </w:tc>
        <w:tc>
          <w:tcPr>
            <w:tcW w:w="2304" w:type="dxa"/>
            <w:shd w:val="clear" w:color="auto" w:fill="FFFFFF"/>
            <w:tcMar>
              <w:top w:w="100" w:type="dxa"/>
              <w:left w:w="150" w:type="dxa"/>
              <w:bottom w:w="100" w:type="dxa"/>
              <w:right w:w="150" w:type="dxa"/>
            </w:tcMar>
          </w:tcPr>
          <w:p w14:paraId="2655799A">
            <w:pPr>
              <w:spacing w:before="0" w:after="0" w:line="276" w:lineRule="auto"/>
              <w:jc w:val="left"/>
            </w:pPr>
            <w:r>
              <w:rPr>
                <w:rFonts w:ascii="Calibri" w:hAnsi="Calibri"/>
                <w:color w:val="222222"/>
                <w:sz w:val="20"/>
              </w:rPr>
              <w:t>3,500+ waste pickers (80%+ women)</w:t>
            </w:r>
          </w:p>
        </w:tc>
        <w:tc>
          <w:tcPr>
            <w:tcW w:w="2448" w:type="dxa"/>
            <w:shd w:val="clear" w:color="auto" w:fill="FFFFFF"/>
            <w:tcMar>
              <w:top w:w="100" w:type="dxa"/>
              <w:left w:w="150" w:type="dxa"/>
              <w:bottom w:w="100" w:type="dxa"/>
              <w:right w:w="150" w:type="dxa"/>
            </w:tcMar>
          </w:tcPr>
          <w:p w14:paraId="3A8396C7">
            <w:pPr>
              <w:spacing w:before="0" w:after="0" w:line="276" w:lineRule="auto"/>
              <w:jc w:val="left"/>
            </w:pPr>
            <w:r>
              <w:rPr>
                <w:rFonts w:ascii="Calibri" w:hAnsi="Calibri"/>
                <w:color w:val="222222"/>
                <w:sz w:val="20"/>
              </w:rPr>
              <w:t>Guaranteed livelihoods, healthcare, and social dignity</w:t>
            </w:r>
          </w:p>
        </w:tc>
        <w:tc>
          <w:tcPr>
            <w:tcW w:w="2448" w:type="dxa"/>
            <w:shd w:val="clear" w:color="auto" w:fill="FFFFFF"/>
            <w:tcMar>
              <w:top w:w="100" w:type="dxa"/>
              <w:left w:w="150" w:type="dxa"/>
              <w:bottom w:w="100" w:type="dxa"/>
              <w:right w:w="150" w:type="dxa"/>
            </w:tcMar>
          </w:tcPr>
          <w:p w14:paraId="664EDBBC">
            <w:pPr>
              <w:spacing w:before="0" w:after="0" w:line="276" w:lineRule="auto"/>
              <w:jc w:val="left"/>
            </w:pPr>
            <w:r>
              <w:rPr>
                <w:rFonts w:ascii="Calibri" w:hAnsi="Calibri"/>
                <w:color w:val="222222"/>
                <w:sz w:val="20"/>
              </w:rPr>
              <w:t>Formalized informal workforce without municipal payroll burden</w:t>
            </w:r>
          </w:p>
        </w:tc>
      </w:tr>
      <w:tr w14:paraId="0B092A9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615CACB8">
            <w:pPr>
              <w:spacing w:before="0" w:after="0" w:line="276" w:lineRule="auto"/>
              <w:jc w:val="left"/>
            </w:pPr>
            <w:r>
              <w:rPr>
                <w:rFonts w:ascii="Calibri" w:hAnsi="Calibri"/>
                <w:color w:val="222222"/>
                <w:sz w:val="20"/>
              </w:rPr>
              <w:t>Household Coverage</w:t>
            </w:r>
          </w:p>
        </w:tc>
        <w:tc>
          <w:tcPr>
            <w:tcW w:w="2304" w:type="dxa"/>
            <w:shd w:val="clear" w:color="auto" w:fill="F8F9FA"/>
            <w:tcMar>
              <w:top w:w="100" w:type="dxa"/>
              <w:left w:w="150" w:type="dxa"/>
              <w:bottom w:w="100" w:type="dxa"/>
              <w:right w:w="150" w:type="dxa"/>
            </w:tcMar>
          </w:tcPr>
          <w:p w14:paraId="3C8DDEEE">
            <w:pPr>
              <w:spacing w:before="0" w:after="0" w:line="276" w:lineRule="auto"/>
              <w:jc w:val="left"/>
            </w:pPr>
            <w:r>
              <w:rPr>
                <w:rFonts w:ascii="Calibri" w:hAnsi="Calibri"/>
                <w:color w:val="222222"/>
                <w:sz w:val="20"/>
              </w:rPr>
              <w:t>800,000+ households (~70% of Pune)</w:t>
            </w:r>
          </w:p>
        </w:tc>
        <w:tc>
          <w:tcPr>
            <w:tcW w:w="2448" w:type="dxa"/>
            <w:shd w:val="clear" w:color="auto" w:fill="F8F9FA"/>
            <w:tcMar>
              <w:top w:w="100" w:type="dxa"/>
              <w:left w:w="150" w:type="dxa"/>
              <w:bottom w:w="100" w:type="dxa"/>
              <w:right w:w="150" w:type="dxa"/>
            </w:tcMar>
          </w:tcPr>
          <w:p w14:paraId="007980A6">
            <w:pPr>
              <w:spacing w:before="0" w:after="0" w:line="276" w:lineRule="auto"/>
              <w:jc w:val="left"/>
            </w:pPr>
            <w:r>
              <w:rPr>
                <w:rFonts w:ascii="Calibri" w:hAnsi="Calibri"/>
                <w:color w:val="222222"/>
                <w:sz w:val="20"/>
              </w:rPr>
              <w:t>Direct door-to-door user fee collection model</w:t>
            </w:r>
          </w:p>
        </w:tc>
        <w:tc>
          <w:tcPr>
            <w:tcW w:w="2448" w:type="dxa"/>
            <w:shd w:val="clear" w:color="auto" w:fill="F8F9FA"/>
            <w:tcMar>
              <w:top w:w="100" w:type="dxa"/>
              <w:left w:w="150" w:type="dxa"/>
              <w:bottom w:w="100" w:type="dxa"/>
              <w:right w:w="150" w:type="dxa"/>
            </w:tcMar>
          </w:tcPr>
          <w:p w14:paraId="6940774A">
            <w:pPr>
              <w:spacing w:before="0" w:after="0" w:line="276" w:lineRule="auto"/>
              <w:jc w:val="left"/>
            </w:pPr>
            <w:r>
              <w:rPr>
                <w:rFonts w:ascii="Calibri" w:hAnsi="Calibri"/>
                <w:color w:val="222222"/>
                <w:sz w:val="20"/>
              </w:rPr>
              <w:t>Diverts over 1,000 tonnes of waste daily from landfills</w:t>
            </w:r>
          </w:p>
        </w:tc>
      </w:tr>
      <w:tr w14:paraId="6FFEF58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27F770A3">
            <w:pPr>
              <w:spacing w:before="0" w:after="0" w:line="276" w:lineRule="auto"/>
              <w:jc w:val="left"/>
            </w:pPr>
            <w:r>
              <w:rPr>
                <w:rFonts w:ascii="Calibri" w:hAnsi="Calibri"/>
                <w:color w:val="222222"/>
                <w:sz w:val="20"/>
              </w:rPr>
              <w:t>E-Waste Collection Volume</w:t>
            </w:r>
          </w:p>
        </w:tc>
        <w:tc>
          <w:tcPr>
            <w:tcW w:w="2304" w:type="dxa"/>
            <w:shd w:val="clear" w:color="auto" w:fill="FFFFFF"/>
            <w:tcMar>
              <w:top w:w="100" w:type="dxa"/>
              <w:left w:w="150" w:type="dxa"/>
              <w:bottom w:w="100" w:type="dxa"/>
              <w:right w:w="150" w:type="dxa"/>
            </w:tcMar>
          </w:tcPr>
          <w:p w14:paraId="2A57B8B8">
            <w:pPr>
              <w:spacing w:before="0" w:after="0" w:line="276" w:lineRule="auto"/>
              <w:jc w:val="left"/>
            </w:pPr>
            <w:r>
              <w:rPr>
                <w:rFonts w:ascii="Calibri" w:hAnsi="Calibri"/>
                <w:color w:val="222222"/>
                <w:sz w:val="20"/>
              </w:rPr>
              <w:t>Hundreds of metric tonnes collected annually</w:t>
            </w:r>
          </w:p>
        </w:tc>
        <w:tc>
          <w:tcPr>
            <w:tcW w:w="2448" w:type="dxa"/>
            <w:shd w:val="clear" w:color="auto" w:fill="FFFFFF"/>
            <w:tcMar>
              <w:top w:w="100" w:type="dxa"/>
              <w:left w:w="150" w:type="dxa"/>
              <w:bottom w:w="100" w:type="dxa"/>
              <w:right w:w="150" w:type="dxa"/>
            </w:tcMar>
          </w:tcPr>
          <w:p w14:paraId="251B8404">
            <w:pPr>
              <w:spacing w:before="0" w:after="0" w:line="276" w:lineRule="auto"/>
              <w:jc w:val="left"/>
            </w:pPr>
            <w:r>
              <w:rPr>
                <w:rFonts w:ascii="Calibri" w:hAnsi="Calibri"/>
                <w:color w:val="222222"/>
                <w:sz w:val="20"/>
              </w:rPr>
              <w:t>Members earn additional income from aggregated WEEE sales</w:t>
            </w:r>
          </w:p>
        </w:tc>
        <w:tc>
          <w:tcPr>
            <w:tcW w:w="2448" w:type="dxa"/>
            <w:shd w:val="clear" w:color="auto" w:fill="FFFFFF"/>
            <w:tcMar>
              <w:top w:w="100" w:type="dxa"/>
              <w:left w:w="150" w:type="dxa"/>
              <w:bottom w:w="100" w:type="dxa"/>
              <w:right w:w="150" w:type="dxa"/>
            </w:tcMar>
          </w:tcPr>
          <w:p w14:paraId="7A4BC17C">
            <w:pPr>
              <w:spacing w:before="0" w:after="0" w:line="276" w:lineRule="auto"/>
              <w:jc w:val="left"/>
            </w:pPr>
            <w:r>
              <w:rPr>
                <w:rFonts w:ascii="Calibri" w:hAnsi="Calibri"/>
                <w:color w:val="222222"/>
                <w:sz w:val="20"/>
              </w:rPr>
              <w:t>Prevents dangerous informal acid-stripping in Pune suburbs</w:t>
            </w:r>
          </w:p>
        </w:tc>
      </w:tr>
      <w:tr w14:paraId="38016DC6">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322D6AF5">
            <w:pPr>
              <w:spacing w:before="0" w:after="0" w:line="276" w:lineRule="auto"/>
              <w:jc w:val="left"/>
            </w:pPr>
            <w:r>
              <w:rPr>
                <w:rFonts w:ascii="Calibri" w:hAnsi="Calibri"/>
                <w:color w:val="222222"/>
                <w:sz w:val="20"/>
              </w:rPr>
              <w:t>Municipal Cost Savings</w:t>
            </w:r>
          </w:p>
        </w:tc>
        <w:tc>
          <w:tcPr>
            <w:tcW w:w="2304" w:type="dxa"/>
            <w:shd w:val="clear" w:color="auto" w:fill="F8F9FA"/>
            <w:tcMar>
              <w:top w:w="100" w:type="dxa"/>
              <w:left w:w="150" w:type="dxa"/>
              <w:bottom w:w="100" w:type="dxa"/>
              <w:right w:w="150" w:type="dxa"/>
            </w:tcMar>
          </w:tcPr>
          <w:p w14:paraId="64AD74B1">
            <w:pPr>
              <w:spacing w:before="0" w:after="0" w:line="276" w:lineRule="auto"/>
              <w:jc w:val="left"/>
            </w:pPr>
            <w:r>
              <w:rPr>
                <w:rFonts w:ascii="Calibri" w:hAnsi="Calibri"/>
                <w:color w:val="222222"/>
                <w:sz w:val="20"/>
              </w:rPr>
              <w:t>PMC saves ₹100+ Crore annually in transport costs</w:t>
            </w:r>
          </w:p>
        </w:tc>
        <w:tc>
          <w:tcPr>
            <w:tcW w:w="2448" w:type="dxa"/>
            <w:shd w:val="clear" w:color="auto" w:fill="F8F9FA"/>
            <w:tcMar>
              <w:top w:w="100" w:type="dxa"/>
              <w:left w:w="150" w:type="dxa"/>
              <w:bottom w:w="100" w:type="dxa"/>
              <w:right w:w="150" w:type="dxa"/>
            </w:tcMar>
          </w:tcPr>
          <w:p w14:paraId="0D6D236F">
            <w:pPr>
              <w:spacing w:before="0" w:after="0" w:line="276" w:lineRule="auto"/>
              <w:jc w:val="left"/>
            </w:pPr>
            <w:r>
              <w:rPr>
                <w:rFonts w:ascii="Calibri" w:hAnsi="Calibri"/>
                <w:color w:val="222222"/>
                <w:sz w:val="20"/>
              </w:rPr>
              <w:t>Decentralized sorting reduces landfill transportation costs</w:t>
            </w:r>
          </w:p>
        </w:tc>
        <w:tc>
          <w:tcPr>
            <w:tcW w:w="2448" w:type="dxa"/>
            <w:shd w:val="clear" w:color="auto" w:fill="F8F9FA"/>
            <w:tcMar>
              <w:top w:w="100" w:type="dxa"/>
              <w:left w:w="150" w:type="dxa"/>
              <w:bottom w:w="100" w:type="dxa"/>
              <w:right w:w="150" w:type="dxa"/>
            </w:tcMar>
          </w:tcPr>
          <w:p w14:paraId="4C38B21A">
            <w:pPr>
              <w:spacing w:before="0" w:after="0" w:line="276" w:lineRule="auto"/>
              <w:jc w:val="left"/>
            </w:pPr>
            <w:r>
              <w:rPr>
                <w:rFonts w:ascii="Calibri" w:hAnsi="Calibri"/>
                <w:color w:val="222222"/>
                <w:sz w:val="20"/>
              </w:rPr>
              <w:t>Optimizes municipal solid waste management efficiency</w:t>
            </w:r>
          </w:p>
        </w:tc>
      </w:tr>
    </w:tbl>
    <w:p w14:paraId="7A1E4B36">
      <w:pPr>
        <w:spacing w:before="0" w:after="160"/>
      </w:pPr>
    </w:p>
    <w:p w14:paraId="2B082570">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05834430">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8F5E9"/>
            <w:tcMar>
              <w:top w:w="120" w:type="dxa"/>
              <w:left w:w="150" w:type="dxa"/>
              <w:bottom w:w="120" w:type="dxa"/>
              <w:right w:w="150" w:type="dxa"/>
            </w:tcMar>
          </w:tcPr>
          <w:p w14:paraId="45658AAA">
            <w:pPr>
              <w:spacing w:before="0" w:after="80"/>
            </w:pPr>
            <w:r>
              <w:rPr>
                <w:rFonts w:ascii="Calibri" w:hAnsi="Calibri"/>
                <w:b/>
                <w:color w:val="2E7D32"/>
                <w:sz w:val="22"/>
              </w:rPr>
              <w:t>💪 STRENGTHS (Internal)</w:t>
            </w:r>
          </w:p>
          <w:p w14:paraId="66211F5F">
            <w:pPr>
              <w:pStyle w:val="23"/>
              <w:spacing w:before="40" w:after="40" w:line="276" w:lineRule="auto"/>
            </w:pPr>
            <w:r>
              <w:rPr>
                <w:rFonts w:ascii="Calibri" w:hAnsi="Calibri"/>
                <w:color w:val="333333"/>
                <w:sz w:val="19"/>
              </w:rPr>
              <w:t>India's first legally recognized, waste picker-owned cooperative model</w:t>
            </w:r>
          </w:p>
          <w:p w14:paraId="30493FBF">
            <w:pPr>
              <w:pStyle w:val="23"/>
              <w:spacing w:before="40" w:after="40" w:line="276" w:lineRule="auto"/>
            </w:pPr>
            <w:r>
              <w:rPr>
                <w:rFonts w:ascii="Calibri" w:hAnsi="Calibri"/>
                <w:color w:val="333333"/>
                <w:sz w:val="19"/>
              </w:rPr>
              <w:t>High household door-to-door coverage (800,000+ families)</w:t>
            </w:r>
          </w:p>
          <w:p w14:paraId="664F2A89">
            <w:pPr>
              <w:pStyle w:val="23"/>
              <w:spacing w:before="40" w:after="40" w:line="276" w:lineRule="auto"/>
            </w:pPr>
            <w:r>
              <w:rPr>
                <w:rFonts w:ascii="Calibri" w:hAnsi="Calibri"/>
                <w:color w:val="333333"/>
                <w:sz w:val="19"/>
              </w:rPr>
              <w:t>Significant cost savings for Pune Municipal Corporation</w:t>
            </w:r>
          </w:p>
          <w:p w14:paraId="76654BF6">
            <w:pPr>
              <w:pStyle w:val="23"/>
              <w:spacing w:before="40" w:after="40" w:line="276" w:lineRule="auto"/>
            </w:pPr>
            <w:r>
              <w:rPr>
                <w:rFonts w:ascii="Calibri" w:hAnsi="Calibri"/>
                <w:color w:val="333333"/>
                <w:sz w:val="19"/>
              </w:rPr>
              <w:t>Empowerment of marginalized women through direct user fees</w:t>
            </w:r>
          </w:p>
        </w:tc>
        <w:tc>
          <w:tcPr>
            <w:tcW w:w="4680" w:type="dxa"/>
            <w:shd w:val="clear" w:color="auto" w:fill="FFEBEE"/>
            <w:tcMar>
              <w:top w:w="120" w:type="dxa"/>
              <w:left w:w="150" w:type="dxa"/>
              <w:bottom w:w="120" w:type="dxa"/>
              <w:right w:w="150" w:type="dxa"/>
            </w:tcMar>
          </w:tcPr>
          <w:p w14:paraId="6029EF7E">
            <w:pPr>
              <w:spacing w:before="0" w:after="80"/>
            </w:pPr>
            <w:r>
              <w:rPr>
                <w:rFonts w:ascii="Calibri" w:hAnsi="Calibri"/>
                <w:b/>
                <w:color w:val="C62828"/>
                <w:sz w:val="22"/>
              </w:rPr>
              <w:t>⚠️ WEAKNESSES (Internal)</w:t>
            </w:r>
          </w:p>
          <w:p w14:paraId="0FE6FD1F">
            <w:pPr>
              <w:pStyle w:val="23"/>
              <w:spacing w:before="40" w:after="40" w:line="276" w:lineRule="auto"/>
            </w:pPr>
            <w:r>
              <w:rPr>
                <w:rFonts w:ascii="Calibri" w:hAnsi="Calibri"/>
                <w:color w:val="333333"/>
                <w:sz w:val="19"/>
              </w:rPr>
              <w:t>Frequent political uncertainties regarding PMC contract renewals</w:t>
            </w:r>
          </w:p>
          <w:p w14:paraId="3A42D293">
            <w:pPr>
              <w:pStyle w:val="23"/>
              <w:spacing w:before="40" w:after="40" w:line="276" w:lineRule="auto"/>
            </w:pPr>
            <w:r>
              <w:rPr>
                <w:rFonts w:ascii="Calibri" w:hAnsi="Calibri"/>
                <w:color w:val="333333"/>
                <w:sz w:val="19"/>
              </w:rPr>
              <w:t>Limited specialized technical infrastructure for e-waste dismantling</w:t>
            </w:r>
          </w:p>
          <w:p w14:paraId="3D464E3A">
            <w:pPr>
              <w:pStyle w:val="23"/>
              <w:spacing w:before="40" w:after="40" w:line="276" w:lineRule="auto"/>
            </w:pPr>
            <w:r>
              <w:rPr>
                <w:rFonts w:ascii="Calibri" w:hAnsi="Calibri"/>
                <w:color w:val="333333"/>
                <w:sz w:val="19"/>
              </w:rPr>
              <w:t>Dependence on public cooperation for doorstep e-waste segregation</w:t>
            </w:r>
          </w:p>
        </w:tc>
      </w:tr>
      <w:tr w14:paraId="31A7CCE5">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64CA37CF">
            <w:pPr>
              <w:spacing w:before="0" w:after="80"/>
            </w:pPr>
            <w:r>
              <w:rPr>
                <w:rFonts w:ascii="Calibri" w:hAnsi="Calibri"/>
                <w:b/>
                <w:color w:val="1565C0"/>
                <w:sz w:val="22"/>
              </w:rPr>
              <w:t>🚀 OPPORTUNITIES (External)</w:t>
            </w:r>
          </w:p>
          <w:p w14:paraId="0D367CD5">
            <w:pPr>
              <w:pStyle w:val="23"/>
              <w:spacing w:before="40" w:after="40" w:line="276" w:lineRule="auto"/>
            </w:pPr>
            <w:r>
              <w:rPr>
                <w:rFonts w:ascii="Calibri" w:hAnsi="Calibri"/>
                <w:color w:val="333333"/>
                <w:sz w:val="19"/>
              </w:rPr>
              <w:t>EPR registration as an authorized collection aggregator on CPCB portal</w:t>
            </w:r>
          </w:p>
          <w:p w14:paraId="2493DA6D">
            <w:pPr>
              <w:pStyle w:val="23"/>
              <w:spacing w:before="40" w:after="40" w:line="276" w:lineRule="auto"/>
            </w:pPr>
            <w:r>
              <w:rPr>
                <w:rFonts w:ascii="Calibri" w:hAnsi="Calibri"/>
                <w:color w:val="333333"/>
                <w:sz w:val="19"/>
              </w:rPr>
              <w:t>Expanding e-waste refurbishment and repair centers run by cooperative kids</w:t>
            </w:r>
          </w:p>
          <w:p w14:paraId="50B3042A">
            <w:pPr>
              <w:pStyle w:val="23"/>
              <w:spacing w:before="40" w:after="40" w:line="276" w:lineRule="auto"/>
            </w:pPr>
            <w:r>
              <w:rPr>
                <w:rFonts w:ascii="Calibri" w:hAnsi="Calibri"/>
                <w:color w:val="333333"/>
                <w:sz w:val="19"/>
              </w:rPr>
              <w:t>Replicating SWaCH model across Maharashtra and other Indian states</w:t>
            </w:r>
          </w:p>
        </w:tc>
        <w:tc>
          <w:tcPr>
            <w:tcW w:w="4680" w:type="dxa"/>
            <w:shd w:val="clear" w:color="auto" w:fill="FFF3E0"/>
            <w:tcMar>
              <w:top w:w="120" w:type="dxa"/>
              <w:left w:w="150" w:type="dxa"/>
              <w:bottom w:w="120" w:type="dxa"/>
              <w:right w:w="150" w:type="dxa"/>
            </w:tcMar>
          </w:tcPr>
          <w:p w14:paraId="7E00FBF6">
            <w:pPr>
              <w:spacing w:before="0" w:after="80"/>
            </w:pPr>
            <w:r>
              <w:rPr>
                <w:rFonts w:ascii="Calibri" w:hAnsi="Calibri"/>
                <w:b/>
                <w:color w:val="E65100"/>
                <w:sz w:val="22"/>
              </w:rPr>
              <w:t>⚡ THREATS (External)</w:t>
            </w:r>
          </w:p>
          <w:p w14:paraId="5CCC18D8">
            <w:pPr>
              <w:pStyle w:val="23"/>
              <w:spacing w:before="40" w:after="40" w:line="276" w:lineRule="auto"/>
            </w:pPr>
            <w:r>
              <w:rPr>
                <w:rFonts w:ascii="Calibri" w:hAnsi="Calibri"/>
                <w:color w:val="333333"/>
                <w:sz w:val="19"/>
              </w:rPr>
              <w:t>Unregulated private informal scrap buyers undercutting cooperative rates</w:t>
            </w:r>
          </w:p>
          <w:p w14:paraId="7FF5EF3A">
            <w:pPr>
              <w:pStyle w:val="23"/>
              <w:spacing w:before="40" w:after="40" w:line="276" w:lineRule="auto"/>
            </w:pPr>
            <w:r>
              <w:rPr>
                <w:rFonts w:ascii="Calibri" w:hAnsi="Calibri"/>
                <w:color w:val="333333"/>
                <w:sz w:val="19"/>
              </w:rPr>
              <w:t>Contractual delays and unpaid municipal subsidies from PMC</w:t>
            </w:r>
          </w:p>
          <w:p w14:paraId="000A66C2">
            <w:pPr>
              <w:pStyle w:val="23"/>
              <w:spacing w:before="40" w:after="40" w:line="276" w:lineRule="auto"/>
            </w:pPr>
            <w:r>
              <w:rPr>
                <w:rFonts w:ascii="Calibri" w:hAnsi="Calibri"/>
                <w:color w:val="333333"/>
                <w:sz w:val="19"/>
              </w:rPr>
              <w:t>Occupational hazards from mishandling cracked CRTs and battery chemicals</w:t>
            </w:r>
          </w:p>
        </w:tc>
      </w:tr>
    </w:tbl>
    <w:p w14:paraId="68DA7B8B">
      <w:pPr>
        <w:spacing w:before="0" w:after="160"/>
      </w:pPr>
    </w:p>
    <w:p w14:paraId="604F8D01">
      <w:pPr>
        <w:pStyle w:val="3"/>
        <w:keepNext/>
        <w:spacing w:before="280" w:after="120"/>
      </w:pPr>
      <w:r>
        <w:rPr>
          <w:rFonts w:ascii="Calibri" w:hAnsi="Calibri"/>
          <w:b/>
          <w:color w:val="2E75B6"/>
          <w:sz w:val="28"/>
        </w:rPr>
        <w:t>6. Comparison with National Models</w:t>
      </w:r>
    </w:p>
    <w:p w14:paraId="3BC23BA7">
      <w:pPr>
        <w:pStyle w:val="23"/>
        <w:spacing w:before="40" w:after="80" w:line="276" w:lineRule="auto"/>
      </w:pPr>
      <w:r>
        <w:rPr>
          <w:rFonts w:ascii="Calibri" w:hAnsi="Calibri"/>
          <w:b/>
          <w:color w:val="1B365D"/>
          <w:sz w:val="22"/>
        </w:rPr>
        <w:t xml:space="preserve">Cooperative Ownership vs Corporate Outsourcing: </w:t>
      </w:r>
      <w:r>
        <w:rPr>
          <w:rFonts w:ascii="Calibri" w:hAnsi="Calibri"/>
          <w:color w:val="222222"/>
          <w:sz w:val="22"/>
        </w:rPr>
        <w:t>Unlike cities that contract private waste management corporations, Pune empowers the waste pickers themselves through cooperative ownership, keeping profits with the workers.</w:t>
      </w:r>
    </w:p>
    <w:p w14:paraId="7EDEF341">
      <w:pPr>
        <w:pStyle w:val="3"/>
        <w:keepNext/>
        <w:spacing w:before="280" w:after="120"/>
      </w:pPr>
      <w:r>
        <w:rPr>
          <w:rFonts w:ascii="Calibri" w:hAnsi="Calibri"/>
          <w:b/>
          <w:color w:val="2E75B6"/>
          <w:sz w:val="28"/>
        </w:rPr>
        <w:t>7. Recommendations</w:t>
      </w:r>
    </w:p>
    <w:p w14:paraId="2AC66E73">
      <w:pPr>
        <w:pStyle w:val="23"/>
        <w:spacing w:before="40" w:after="80" w:line="276" w:lineRule="auto"/>
      </w:pPr>
      <w:r>
        <w:rPr>
          <w:rFonts w:ascii="Calibri" w:hAnsi="Calibri"/>
          <w:b/>
          <w:color w:val="1B365D"/>
          <w:sz w:val="22"/>
        </w:rPr>
        <w:t xml:space="preserve">Long-Term PMC Contract Permanence: </w:t>
      </w:r>
      <w:r>
        <w:rPr>
          <w:rFonts w:ascii="Calibri" w:hAnsi="Calibri"/>
          <w:color w:val="222222"/>
          <w:sz w:val="22"/>
        </w:rPr>
        <w:t>Secure long-term 10-year municipal contracts for SWaCH to eliminate political renewal uncertainties.</w:t>
      </w:r>
    </w:p>
    <w:p w14:paraId="7B2DF1A6">
      <w:pPr>
        <w:pStyle w:val="23"/>
        <w:spacing w:before="40" w:after="80" w:line="276" w:lineRule="auto"/>
      </w:pPr>
      <w:r>
        <w:rPr>
          <w:rFonts w:ascii="Calibri" w:hAnsi="Calibri"/>
          <w:b/>
          <w:color w:val="1B365D"/>
          <w:sz w:val="22"/>
        </w:rPr>
        <w:t xml:space="preserve">E-Waste Safety Gear &amp; Testing Tools: </w:t>
      </w:r>
      <w:r>
        <w:rPr>
          <w:rFonts w:ascii="Calibri" w:hAnsi="Calibri"/>
          <w:color w:val="222222"/>
          <w:sz w:val="22"/>
        </w:rPr>
        <w:t>Provide SWaCH members with specialized personal protective equipment (PPE) and digital testing tools for safe handling.</w:t>
      </w:r>
    </w:p>
    <w:p w14:paraId="3EBBC960">
      <w:pPr>
        <w:pStyle w:val="23"/>
        <w:spacing w:before="40" w:after="80" w:line="276" w:lineRule="auto"/>
      </w:pPr>
      <w:r>
        <w:rPr>
          <w:rFonts w:ascii="Calibri" w:hAnsi="Calibri"/>
          <w:b/>
          <w:color w:val="1B365D"/>
          <w:sz w:val="22"/>
        </w:rPr>
        <w:t xml:space="preserve">CPCB EPR Aggregator License: </w:t>
      </w:r>
      <w:r>
        <w:rPr>
          <w:rFonts w:ascii="Calibri" w:hAnsi="Calibri"/>
          <w:color w:val="222222"/>
          <w:sz w:val="22"/>
        </w:rPr>
        <w:t>Formally register SWaCH on the national CPCB portal to receive direct EPR credit funds.</w:t>
      </w:r>
    </w:p>
    <w:p w14:paraId="59DE23EE">
      <w:pPr>
        <w:pStyle w:val="3"/>
        <w:keepNext/>
        <w:spacing w:before="280" w:after="120"/>
      </w:pPr>
      <w:r>
        <w:rPr>
          <w:rFonts w:ascii="Calibri" w:hAnsi="Calibri"/>
          <w:b/>
          <w:color w:val="2E75B6"/>
          <w:sz w:val="28"/>
        </w:rPr>
        <w:t>8. Conclusion</w:t>
      </w:r>
    </w:p>
    <w:p w14:paraId="5943489A">
      <w:pPr>
        <w:spacing w:before="0" w:after="120" w:line="276" w:lineRule="auto"/>
        <w:jc w:val="left"/>
      </w:pPr>
      <w:r>
        <w:rPr>
          <w:rFonts w:ascii="Calibri" w:hAnsi="Calibri"/>
          <w:i w:val="0"/>
          <w:color w:val="222222"/>
          <w:sz w:val="22"/>
        </w:rPr>
        <w:t>Pune's SWaCH model proves that integrating informal waste pickers into a legally empowered cooperative creates an equitable, financially viable, and environmentally effective e-waste management system.</w:t>
      </w:r>
    </w:p>
    <w:p w14:paraId="42FC9B4F">
      <w:pPr>
        <w:pStyle w:val="3"/>
        <w:keepNext/>
        <w:spacing w:before="280" w:after="120"/>
      </w:pPr>
      <w:r>
        <w:rPr>
          <w:rFonts w:ascii="Calibri" w:hAnsi="Calibri"/>
          <w:b/>
          <w:color w:val="2E75B6"/>
          <w:sz w:val="28"/>
        </w:rPr>
        <w:t>9. References</w:t>
      </w:r>
    </w:p>
    <w:p w14:paraId="0AE53E76">
      <w:pPr>
        <w:pStyle w:val="23"/>
        <w:spacing w:before="40" w:after="80" w:line="276" w:lineRule="auto"/>
      </w:pPr>
      <w:r>
        <w:rPr>
          <w:rFonts w:ascii="Calibri" w:hAnsi="Calibri"/>
          <w:b/>
          <w:color w:val="1B365D"/>
          <w:sz w:val="22"/>
        </w:rPr>
        <w:t xml:space="preserve">SWaCH Cooperative Pune. </w:t>
      </w:r>
      <w:r>
        <w:rPr>
          <w:rFonts w:ascii="Calibri" w:hAnsi="Calibri"/>
          <w:color w:val="222222"/>
          <w:sz w:val="22"/>
        </w:rPr>
        <w:t>'Annual Impact Report &amp; Waste Picker Rights Overview.' Pune, 2024.</w:t>
      </w:r>
    </w:p>
    <w:p w14:paraId="64F3EA56">
      <w:pPr>
        <w:pStyle w:val="23"/>
        <w:spacing w:before="40" w:after="80" w:line="276" w:lineRule="auto"/>
      </w:pPr>
      <w:r>
        <w:rPr>
          <w:rFonts w:ascii="Calibri" w:hAnsi="Calibri"/>
          <w:b/>
          <w:color w:val="1B365D"/>
          <w:sz w:val="22"/>
        </w:rPr>
        <w:t xml:space="preserve">Pune Municipal Corporation (PMC). </w:t>
      </w:r>
      <w:r>
        <w:rPr>
          <w:rFonts w:ascii="Calibri" w:hAnsi="Calibri"/>
          <w:color w:val="222222"/>
          <w:sz w:val="22"/>
        </w:rPr>
        <w:t>'Joint Waste Management Operational Review.' 2023.</w:t>
      </w:r>
    </w:p>
    <w:p w14:paraId="451341E9">
      <w:r>
        <w:br w:type="page"/>
      </w:r>
    </w:p>
    <w:p w14:paraId="6EE88730">
      <w:pPr>
        <w:pStyle w:val="3"/>
        <w:keepNext/>
        <w:spacing w:before="280" w:after="120"/>
      </w:pPr>
      <w:r>
        <w:rPr>
          <w:rFonts w:ascii="Calibri" w:hAnsi="Calibri"/>
          <w:b/>
          <w:color w:val="2E75B6"/>
          <w:sz w:val="28"/>
        </w:rPr>
        <w:t>11. One-Page Exam Revision Sheet — Topic 8</w:t>
      </w:r>
    </w:p>
    <w:tbl>
      <w:tblPr>
        <w:tblStyle w:val="12"/>
        <w:tblW w:w="0" w:type="auto"/>
        <w:jc w:val="center"/>
        <w:tblLayout w:type="fixed"/>
        <w:tblCellMar>
          <w:top w:w="0" w:type="dxa"/>
          <w:left w:w="108" w:type="dxa"/>
          <w:bottom w:w="0" w:type="dxa"/>
          <w:right w:w="108" w:type="dxa"/>
        </w:tblCellMar>
      </w:tblPr>
      <w:tblGrid>
        <w:gridCol w:w="9360"/>
      </w:tblGrid>
      <w:tr w14:paraId="3144BFB1">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23D3C036">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Pune's SWaCH Model.</w:t>
            </w:r>
          </w:p>
        </w:tc>
      </w:tr>
    </w:tbl>
    <w:p w14:paraId="4A45C96E">
      <w:pPr>
        <w:spacing w:before="0" w:after="120"/>
      </w:pPr>
    </w:p>
    <w:p w14:paraId="785D2FA5">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SWaCH is India's first waste picker-owned cooperative, partnering with Pune Municipal Corporation to integrate 3,500+ informal workers into a doorstep waste and e-waste collection service.</w:t>
      </w:r>
    </w:p>
    <w:p w14:paraId="36B9EC4E">
      <w:pPr>
        <w:pStyle w:val="4"/>
        <w:keepNext/>
        <w:spacing w:before="200" w:after="80"/>
      </w:pPr>
      <w:r>
        <w:rPr>
          <w:rFonts w:ascii="Calibri" w:hAnsi="Calibri"/>
          <w:b/>
          <w:color w:val="333333"/>
          <w:sz w:val="24"/>
        </w:rPr>
        <w:t>Key Statistics &amp; Data Points for High-Scoring Answers:</w:t>
      </w:r>
    </w:p>
    <w:p w14:paraId="76CC08A0">
      <w:pPr>
        <w:pStyle w:val="23"/>
        <w:spacing w:before="40" w:after="80" w:line="276" w:lineRule="auto"/>
      </w:pPr>
      <w:r>
        <w:rPr>
          <w:rFonts w:ascii="Calibri" w:hAnsi="Calibri"/>
          <w:b/>
          <w:color w:val="1B365D"/>
          <w:sz w:val="22"/>
        </w:rPr>
        <w:t xml:space="preserve">Cooperative Identity: </w:t>
      </w:r>
      <w:r>
        <w:rPr>
          <w:rFonts w:ascii="Calibri" w:hAnsi="Calibri"/>
          <w:color w:val="222222"/>
          <w:sz w:val="22"/>
        </w:rPr>
        <w:t>SWaCH (Solid Waste Collection and Handling), formed via KKPKP union in 2007</w:t>
      </w:r>
    </w:p>
    <w:p w14:paraId="568255B2">
      <w:pPr>
        <w:pStyle w:val="23"/>
        <w:spacing w:before="40" w:after="80" w:line="276" w:lineRule="auto"/>
      </w:pPr>
      <w:r>
        <w:rPr>
          <w:rFonts w:ascii="Calibri" w:hAnsi="Calibri"/>
          <w:b/>
          <w:color w:val="1B365D"/>
          <w:sz w:val="22"/>
        </w:rPr>
        <w:t xml:space="preserve">Workforce Scale: </w:t>
      </w:r>
      <w:r>
        <w:rPr>
          <w:rFonts w:ascii="Calibri" w:hAnsi="Calibri"/>
          <w:color w:val="222222"/>
          <w:sz w:val="22"/>
        </w:rPr>
        <w:t>3,500+ waste pickers (over 80% marginalized women)</w:t>
      </w:r>
    </w:p>
    <w:p w14:paraId="102F3E84">
      <w:pPr>
        <w:pStyle w:val="23"/>
        <w:spacing w:before="40" w:after="80" w:line="276" w:lineRule="auto"/>
      </w:pPr>
      <w:r>
        <w:rPr>
          <w:rFonts w:ascii="Calibri" w:hAnsi="Calibri"/>
          <w:b/>
          <w:color w:val="1B365D"/>
          <w:sz w:val="22"/>
        </w:rPr>
        <w:t xml:space="preserve">Household Footprint: </w:t>
      </w:r>
      <w:r>
        <w:rPr>
          <w:rFonts w:ascii="Calibri" w:hAnsi="Calibri"/>
          <w:color w:val="222222"/>
          <w:sz w:val="22"/>
        </w:rPr>
        <w:t>Covers 800,000+ households across Pune Municipal Corporation</w:t>
      </w:r>
    </w:p>
    <w:p w14:paraId="14D69E9A">
      <w:pPr>
        <w:pStyle w:val="23"/>
        <w:spacing w:before="40" w:after="80" w:line="276" w:lineRule="auto"/>
      </w:pPr>
      <w:r>
        <w:rPr>
          <w:rFonts w:ascii="Calibri" w:hAnsi="Calibri"/>
          <w:b/>
          <w:color w:val="1B365D"/>
          <w:sz w:val="22"/>
        </w:rPr>
        <w:t xml:space="preserve">Municipal Savings: </w:t>
      </w:r>
      <w:r>
        <w:rPr>
          <w:rFonts w:ascii="Calibri" w:hAnsi="Calibri"/>
          <w:color w:val="222222"/>
          <w:sz w:val="22"/>
        </w:rPr>
        <w:t>Saves PMC over ₹100 Crore annually in waste handling and transport costs</w:t>
      </w:r>
    </w:p>
    <w:p w14:paraId="64A345F4">
      <w:pPr>
        <w:pStyle w:val="4"/>
        <w:keepNext/>
        <w:spacing w:before="200" w:after="80"/>
      </w:pPr>
      <w:r>
        <w:rPr>
          <w:rFonts w:ascii="Calibri" w:hAnsi="Calibri"/>
          <w:b/>
          <w:color w:val="333333"/>
          <w:sz w:val="24"/>
        </w:rPr>
        <w:t>Statutory Frameworks &amp; Key Terminology:</w:t>
      </w:r>
    </w:p>
    <w:p w14:paraId="604DFA58">
      <w:pPr>
        <w:pStyle w:val="23"/>
        <w:spacing w:before="40" w:after="80" w:line="276" w:lineRule="auto"/>
      </w:pPr>
      <w:r>
        <w:rPr>
          <w:rFonts w:ascii="Calibri" w:hAnsi="Calibri"/>
          <w:b/>
          <w:color w:val="1B365D"/>
          <w:sz w:val="22"/>
        </w:rPr>
        <w:t xml:space="preserve">KKPKP: </w:t>
      </w:r>
      <w:r>
        <w:rPr>
          <w:rFonts w:ascii="Calibri" w:hAnsi="Calibri"/>
          <w:color w:val="222222"/>
          <w:sz w:val="22"/>
        </w:rPr>
        <w:t>Kagad Kach Patra Kashtakari Panchayat (trade union of waste pickers).</w:t>
      </w:r>
    </w:p>
    <w:p w14:paraId="3DF90C09">
      <w:pPr>
        <w:pStyle w:val="23"/>
        <w:spacing w:before="40" w:after="80" w:line="276" w:lineRule="auto"/>
      </w:pPr>
      <w:r>
        <w:rPr>
          <w:rFonts w:ascii="Calibri" w:hAnsi="Calibri"/>
          <w:b/>
          <w:color w:val="1B365D"/>
          <w:sz w:val="22"/>
        </w:rPr>
        <w:t xml:space="preserve">User-Fee Model: </w:t>
      </w:r>
      <w:r>
        <w:rPr>
          <w:rFonts w:ascii="Calibri" w:hAnsi="Calibri"/>
          <w:color w:val="222222"/>
          <w:sz w:val="22"/>
        </w:rPr>
        <w:t>Direct payment from households to waste pickers for doorstep collection.</w:t>
      </w:r>
    </w:p>
    <w:p w14:paraId="48F42420">
      <w:pPr>
        <w:pStyle w:val="23"/>
        <w:spacing w:before="40" w:after="80" w:line="276" w:lineRule="auto"/>
      </w:pPr>
      <w:r>
        <w:rPr>
          <w:rFonts w:ascii="Calibri" w:hAnsi="Calibri"/>
          <w:b/>
          <w:color w:val="1B365D"/>
          <w:sz w:val="22"/>
        </w:rPr>
        <w:t xml:space="preserve">V-Collect Drives: </w:t>
      </w:r>
      <w:r>
        <w:rPr>
          <w:rFonts w:ascii="Calibri" w:hAnsi="Calibri"/>
          <w:color w:val="222222"/>
          <w:sz w:val="22"/>
        </w:rPr>
        <w:t>Specialized community drop-off events for e-waste and clothes.</w:t>
      </w:r>
    </w:p>
    <w:p w14:paraId="21CF2297">
      <w:pPr>
        <w:pStyle w:val="4"/>
        <w:keepNext/>
        <w:spacing w:before="200" w:after="80"/>
      </w:pPr>
      <w:r>
        <w:rPr>
          <w:rFonts w:ascii="Calibri" w:hAnsi="Calibri"/>
          <w:b/>
          <w:color w:val="333333"/>
          <w:sz w:val="24"/>
        </w:rPr>
        <w:t>Expected Exam Questions &amp; Analytical Points:</w:t>
      </w:r>
    </w:p>
    <w:p w14:paraId="5C4EA1BA">
      <w:pPr>
        <w:spacing w:before="40" w:after="80" w:line="276" w:lineRule="auto"/>
        <w:jc w:val="left"/>
      </w:pPr>
      <w:r>
        <w:rPr>
          <w:rFonts w:ascii="Calibri" w:hAnsi="Calibri"/>
          <w:b/>
          <w:color w:val="1B365D"/>
          <w:sz w:val="22"/>
        </w:rPr>
        <w:t xml:space="preserve">Q1: </w:t>
      </w:r>
      <w:r>
        <w:rPr>
          <w:rFonts w:ascii="Calibri" w:hAnsi="Calibri"/>
          <w:i w:val="0"/>
          <w:color w:val="222222"/>
          <w:sz w:val="22"/>
        </w:rPr>
        <w:t>How does the SWaCH cooperative model transform informal waste pickers into formal environmental workers?</w:t>
      </w:r>
    </w:p>
    <w:p w14:paraId="10DC0710">
      <w:pPr>
        <w:spacing w:before="40" w:after="80" w:line="276" w:lineRule="auto"/>
        <w:jc w:val="left"/>
      </w:pPr>
      <w:r>
        <w:rPr>
          <w:rFonts w:ascii="Calibri" w:hAnsi="Calibri"/>
          <w:b/>
          <w:color w:val="1B365D"/>
          <w:sz w:val="22"/>
        </w:rPr>
        <w:t xml:space="preserve">Q2: </w:t>
      </w:r>
      <w:r>
        <w:rPr>
          <w:rFonts w:ascii="Calibri" w:hAnsi="Calibri"/>
          <w:i w:val="0"/>
          <w:color w:val="222222"/>
          <w:sz w:val="22"/>
        </w:rPr>
        <w:t>Analyze the financial mechanics of SWaCH's user-fee model and municipal cost savings for PMC.</w:t>
      </w:r>
    </w:p>
    <w:p w14:paraId="680ABC00">
      <w:pPr>
        <w:spacing w:before="40" w:after="80" w:line="276" w:lineRule="auto"/>
        <w:jc w:val="left"/>
      </w:pPr>
      <w:r>
        <w:rPr>
          <w:rFonts w:ascii="Calibri" w:hAnsi="Calibri"/>
          <w:b/>
          <w:color w:val="1B365D"/>
          <w:sz w:val="22"/>
        </w:rPr>
        <w:t xml:space="preserve">Q3: </w:t>
      </w:r>
      <w:r>
        <w:rPr>
          <w:rFonts w:ascii="Calibri" w:hAnsi="Calibri"/>
          <w:i w:val="0"/>
          <w:color w:val="222222"/>
          <w:sz w:val="22"/>
        </w:rPr>
        <w:t>Explain how SWaCH handles household e-waste collection through community drives and formal recycler tie-ups.</w:t>
      </w:r>
    </w:p>
    <w:p w14:paraId="0B6D4672">
      <w:r>
        <w:br w:type="page"/>
      </w:r>
    </w:p>
    <w:p w14:paraId="36DAB68E">
      <w:pPr>
        <w:pStyle w:val="2"/>
        <w:keepNext/>
        <w:spacing w:before="360" w:after="160"/>
      </w:pPr>
      <w:r>
        <w:rPr>
          <w:rFonts w:ascii="Calibri" w:hAnsi="Calibri"/>
          <w:b/>
          <w:color w:val="1B365D"/>
          <w:sz w:val="36"/>
        </w:rPr>
        <w:t>Topic 9: Dharavi Recycling Ecosystem</w:t>
      </w:r>
    </w:p>
    <w:p w14:paraId="06EA06B0">
      <w:pPr>
        <w:pStyle w:val="3"/>
        <w:keepNext/>
        <w:spacing w:before="280" w:after="120"/>
      </w:pPr>
      <w:r>
        <w:rPr>
          <w:rFonts w:ascii="Calibri" w:hAnsi="Calibri"/>
          <w:b/>
          <w:color w:val="2E75B6"/>
          <w:sz w:val="28"/>
        </w:rPr>
        <w:t>1. Executive Summary</w:t>
      </w:r>
    </w:p>
    <w:p w14:paraId="3D295B8F">
      <w:pPr>
        <w:spacing w:before="0" w:after="120" w:line="276" w:lineRule="auto"/>
        <w:jc w:val="left"/>
      </w:pPr>
      <w:r>
        <w:rPr>
          <w:rFonts w:ascii="Calibri" w:hAnsi="Calibri"/>
          <w:i w:val="0"/>
          <w:color w:val="222222"/>
          <w:sz w:val="22"/>
        </w:rPr>
        <w:t>Dharavi, located in the heart of Mumbai, is world-renowned as one of the largest informal recycling clusters on the planet. Spanning just over 2.1 square kilometers, Dharavi houses an estimated 13,000+ micro-recycling workshops generating an annual economic turnover exceeding $1 Billion USD. The informal ecosystem processes over 80% of Mumbai's solid plastic and electronic waste, employing upwards of 100,000 workers. However, this remarkable economic circularity operates at severe human and environmental costs. Unregulated manual dismantling, open burning of insulated copper wires, and crude cyanide/nitric acid baths for gold recovery release lead, cadmium, and dioxins into the air, soil, and Mithi River. This case study evaluates the paradox of Dharavi's extreme resource recovery efficiency versus its severe occupational health hazards.</w:t>
      </w:r>
    </w:p>
    <w:p w14:paraId="2B959C67">
      <w:pPr>
        <w:pStyle w:val="3"/>
        <w:keepNext/>
        <w:spacing w:before="280" w:after="120"/>
      </w:pPr>
      <w:r>
        <w:rPr>
          <w:rFonts w:ascii="Calibri" w:hAnsi="Calibri"/>
          <w:b/>
          <w:color w:val="2E75B6"/>
          <w:sz w:val="28"/>
        </w:rPr>
        <w:t>2. Background</w:t>
      </w:r>
    </w:p>
    <w:p w14:paraId="719138F7">
      <w:pPr>
        <w:spacing w:before="0" w:after="120" w:line="276" w:lineRule="auto"/>
        <w:jc w:val="left"/>
      </w:pPr>
      <w:r>
        <w:rPr>
          <w:rFonts w:ascii="Calibri" w:hAnsi="Calibri"/>
          <w:i w:val="0"/>
          <w:color w:val="222222"/>
          <w:sz w:val="22"/>
        </w:rPr>
        <w:t>Dharavi evolved over a century from a marshy fishing village into a bustling industrial center. Driven by rural-urban migration, thousands of workers built a specialized, highly organized informal waste economy. Today, Dharavi is divided into distinct industrial quarters: 13th Compound serves as the epicenter for plastic pelletizing and electronic scrap sorting. WEEE from across India arrives via trains and trucks, purchased by scrap wholesalers ('wholesalers') and distributed to micro-workshops for precision manual disassembly.</w:t>
      </w:r>
    </w:p>
    <w:p w14:paraId="286D43A8">
      <w:pPr>
        <w:pStyle w:val="3"/>
        <w:keepNext/>
        <w:spacing w:before="280" w:after="120"/>
      </w:pPr>
      <w:r>
        <w:rPr>
          <w:rFonts w:ascii="Calibri" w:hAnsi="Calibri"/>
          <w:b/>
          <w:color w:val="2E75B6"/>
          <w:sz w:val="28"/>
        </w:rPr>
        <w:t>3. Strategy / Initiative</w:t>
      </w:r>
    </w:p>
    <w:p w14:paraId="0EA91D79">
      <w:pPr>
        <w:spacing w:before="0" w:after="120" w:line="276" w:lineRule="auto"/>
        <w:jc w:val="left"/>
      </w:pPr>
      <w:r>
        <w:rPr>
          <w:rFonts w:ascii="Calibri" w:hAnsi="Calibri"/>
          <w:i w:val="0"/>
          <w:color w:val="222222"/>
          <w:sz w:val="22"/>
        </w:rPr>
        <w:t>Dharavi's operational strategy rests on extreme labor specialization and low-cost resource extraction:</w:t>
      </w:r>
    </w:p>
    <w:p w14:paraId="5D9C34AE">
      <w:pPr>
        <w:pStyle w:val="23"/>
        <w:spacing w:before="40" w:after="80" w:line="276" w:lineRule="auto"/>
      </w:pPr>
      <w:r>
        <w:rPr>
          <w:rFonts w:ascii="Calibri" w:hAnsi="Calibri"/>
          <w:b/>
          <w:color w:val="1B365D"/>
          <w:sz w:val="22"/>
        </w:rPr>
        <w:t xml:space="preserve">Labor Specialization &amp; Sorting: </w:t>
      </w:r>
      <w:r>
        <w:rPr>
          <w:rFonts w:ascii="Calibri" w:hAnsi="Calibri"/>
          <w:color w:val="222222"/>
          <w:sz w:val="22"/>
        </w:rPr>
        <w:t>Workers manually strip complex electronic devices into high-purity material streams—separate grades of copper, aluminum, ABS plastic, copper transformers, and motherboards—achieving near 100% sorting accuracy.</w:t>
      </w:r>
    </w:p>
    <w:p w14:paraId="69AA83DB">
      <w:pPr>
        <w:pStyle w:val="23"/>
        <w:spacing w:before="40" w:after="80" w:line="276" w:lineRule="auto"/>
      </w:pPr>
      <w:r>
        <w:rPr>
          <w:rFonts w:ascii="Calibri" w:hAnsi="Calibri"/>
          <w:b/>
          <w:color w:val="1B365D"/>
          <w:sz w:val="22"/>
        </w:rPr>
        <w:t xml:space="preserve">Informal Hydrometallurgy: </w:t>
      </w:r>
      <w:r>
        <w:rPr>
          <w:rFonts w:ascii="Calibri" w:hAnsi="Calibri"/>
          <w:color w:val="222222"/>
          <w:sz w:val="22"/>
        </w:rPr>
        <w:t>Printed circuit boards are soaked in open vats of nitric and hydrochloric acid (aqua regia) to leach gold and silver, discharging untreated acidic sludge into open gutters.</w:t>
      </w:r>
    </w:p>
    <w:p w14:paraId="47791B4F">
      <w:pPr>
        <w:pStyle w:val="23"/>
        <w:spacing w:before="40" w:after="80" w:line="276" w:lineRule="auto"/>
      </w:pPr>
      <w:r>
        <w:rPr>
          <w:rFonts w:ascii="Calibri" w:hAnsi="Calibri"/>
          <w:b/>
          <w:color w:val="1B365D"/>
          <w:sz w:val="22"/>
        </w:rPr>
        <w:t xml:space="preserve">Plastic Pelletizing: </w:t>
      </w:r>
      <w:r>
        <w:rPr>
          <w:rFonts w:ascii="Calibri" w:hAnsi="Calibri"/>
          <w:color w:val="222222"/>
          <w:sz w:val="22"/>
        </w:rPr>
        <w:t>Plastic casings from monitors and refrigerators are shredded, washed, melted, and extruded into reusable plastic granules for manufacturing.</w:t>
      </w:r>
    </w:p>
    <w:p w14:paraId="624D83D3">
      <w:pPr>
        <w:pStyle w:val="3"/>
        <w:keepNext/>
        <w:spacing w:before="280" w:after="120"/>
      </w:pPr>
      <w:r>
        <w:rPr>
          <w:rFonts w:ascii="Calibri" w:hAnsi="Calibri"/>
          <w:b/>
          <w:color w:val="2E75B6"/>
          <w:sz w:val="28"/>
        </w:rPr>
        <w:t>4. Impact &amp; Results with Data Table</w:t>
      </w:r>
    </w:p>
    <w:p w14:paraId="513A5335">
      <w:pPr>
        <w:spacing w:before="0" w:after="120" w:line="276" w:lineRule="auto"/>
        <w:jc w:val="left"/>
      </w:pPr>
      <w:r>
        <w:rPr>
          <w:rFonts w:ascii="Calibri" w:hAnsi="Calibri"/>
          <w:i w:val="0"/>
          <w:color w:val="222222"/>
          <w:sz w:val="22"/>
        </w:rPr>
        <w:t>Dharavi's recycling ecosystem presents an extraordinary contrast between economic productivity and environmental degradation.</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340"/>
        <w:gridCol w:w="2340"/>
        <w:gridCol w:w="2340"/>
        <w:gridCol w:w="2340"/>
      </w:tblGrid>
      <w:tr w14:paraId="188616D5">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PrEx>
        <w:trPr>
          <w:jc w:val="center"/>
        </w:trPr>
        <w:tc>
          <w:tcPr>
            <w:tcW w:w="2160" w:type="dxa"/>
            <w:shd w:val="clear" w:color="auto" w:fill="1B365D"/>
            <w:tcMar>
              <w:top w:w="120" w:type="dxa"/>
              <w:left w:w="150" w:type="dxa"/>
              <w:bottom w:w="120" w:type="dxa"/>
              <w:right w:w="150" w:type="dxa"/>
            </w:tcMar>
          </w:tcPr>
          <w:p w14:paraId="4EA1EB6D">
            <w:pPr>
              <w:spacing w:before="0" w:after="0"/>
              <w:jc w:val="left"/>
            </w:pPr>
            <w:r>
              <w:rPr>
                <w:rFonts w:ascii="Calibri" w:hAnsi="Calibri"/>
                <w:b/>
                <w:color w:val="FFFFFF"/>
                <w:sz w:val="21"/>
              </w:rPr>
              <w:t>Ecosystem Dimension</w:t>
            </w:r>
          </w:p>
        </w:tc>
        <w:tc>
          <w:tcPr>
            <w:tcW w:w="1872" w:type="dxa"/>
            <w:shd w:val="clear" w:color="auto" w:fill="1B365D"/>
            <w:tcMar>
              <w:top w:w="120" w:type="dxa"/>
              <w:left w:w="150" w:type="dxa"/>
              <w:bottom w:w="120" w:type="dxa"/>
              <w:right w:w="150" w:type="dxa"/>
            </w:tcMar>
          </w:tcPr>
          <w:p w14:paraId="2C45230B">
            <w:pPr>
              <w:spacing w:before="0" w:after="0"/>
              <w:jc w:val="left"/>
            </w:pPr>
            <w:r>
              <w:rPr>
                <w:rFonts w:ascii="Calibri" w:hAnsi="Calibri"/>
                <w:b/>
                <w:color w:val="FFFFFF"/>
                <w:sz w:val="21"/>
              </w:rPr>
              <w:t>Quantitative Estimate / Scale</w:t>
            </w:r>
          </w:p>
        </w:tc>
        <w:tc>
          <w:tcPr>
            <w:tcW w:w="2592" w:type="dxa"/>
            <w:shd w:val="clear" w:color="auto" w:fill="1B365D"/>
            <w:tcMar>
              <w:top w:w="120" w:type="dxa"/>
              <w:left w:w="150" w:type="dxa"/>
              <w:bottom w:w="120" w:type="dxa"/>
              <w:right w:w="150" w:type="dxa"/>
            </w:tcMar>
          </w:tcPr>
          <w:p w14:paraId="6B06B921">
            <w:pPr>
              <w:spacing w:before="0" w:after="0"/>
              <w:jc w:val="left"/>
            </w:pPr>
            <w:r>
              <w:rPr>
                <w:rFonts w:ascii="Calibri" w:hAnsi="Calibri"/>
                <w:b/>
                <w:color w:val="FFFFFF"/>
                <w:sz w:val="21"/>
              </w:rPr>
              <w:t>Positive Economic Contribution</w:t>
            </w:r>
          </w:p>
        </w:tc>
        <w:tc>
          <w:tcPr>
            <w:tcW w:w="2736" w:type="dxa"/>
            <w:shd w:val="clear" w:color="auto" w:fill="1B365D"/>
            <w:tcMar>
              <w:top w:w="120" w:type="dxa"/>
              <w:left w:w="150" w:type="dxa"/>
              <w:bottom w:w="120" w:type="dxa"/>
              <w:right w:w="150" w:type="dxa"/>
            </w:tcMar>
          </w:tcPr>
          <w:p w14:paraId="23D703AC">
            <w:pPr>
              <w:spacing w:before="0" w:after="0"/>
              <w:jc w:val="left"/>
            </w:pPr>
            <w:r>
              <w:rPr>
                <w:rFonts w:ascii="Calibri" w:hAnsi="Calibri"/>
                <w:b/>
                <w:color w:val="FFFFFF"/>
                <w:sz w:val="21"/>
              </w:rPr>
              <w:t>Negative Environmental &amp; Health Impact</w:t>
            </w:r>
          </w:p>
        </w:tc>
      </w:tr>
      <w:tr w14:paraId="0B94C0B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7F0FD6FC">
            <w:pPr>
              <w:spacing w:before="0" w:after="0" w:line="276" w:lineRule="auto"/>
              <w:jc w:val="left"/>
            </w:pPr>
            <w:r>
              <w:rPr>
                <w:rFonts w:ascii="Calibri" w:hAnsi="Calibri"/>
                <w:color w:val="222222"/>
                <w:sz w:val="20"/>
              </w:rPr>
              <w:t>Annual Economic Turnover</w:t>
            </w:r>
          </w:p>
        </w:tc>
        <w:tc>
          <w:tcPr>
            <w:tcW w:w="1872" w:type="dxa"/>
            <w:shd w:val="clear" w:color="auto" w:fill="FFFFFF"/>
            <w:tcMar>
              <w:top w:w="100" w:type="dxa"/>
              <w:left w:w="150" w:type="dxa"/>
              <w:bottom w:w="100" w:type="dxa"/>
              <w:right w:w="150" w:type="dxa"/>
            </w:tcMar>
          </w:tcPr>
          <w:p w14:paraId="19A8C82A">
            <w:pPr>
              <w:spacing w:before="0" w:after="0" w:line="276" w:lineRule="auto"/>
              <w:jc w:val="left"/>
            </w:pPr>
            <w:r>
              <w:rPr>
                <w:rFonts w:ascii="Calibri" w:hAnsi="Calibri"/>
                <w:color w:val="222222"/>
                <w:sz w:val="20"/>
              </w:rPr>
              <w:t>&gt; $1.0 Billion USD</w:t>
            </w:r>
          </w:p>
        </w:tc>
        <w:tc>
          <w:tcPr>
            <w:tcW w:w="2592" w:type="dxa"/>
            <w:shd w:val="clear" w:color="auto" w:fill="FFFFFF"/>
            <w:tcMar>
              <w:top w:w="100" w:type="dxa"/>
              <w:left w:w="150" w:type="dxa"/>
              <w:bottom w:w="100" w:type="dxa"/>
              <w:right w:w="150" w:type="dxa"/>
            </w:tcMar>
          </w:tcPr>
          <w:p w14:paraId="7CF18126">
            <w:pPr>
              <w:spacing w:before="0" w:after="0" w:line="276" w:lineRule="auto"/>
              <w:jc w:val="left"/>
            </w:pPr>
            <w:r>
              <w:rPr>
                <w:rFonts w:ascii="Calibri" w:hAnsi="Calibri"/>
                <w:color w:val="222222"/>
                <w:sz w:val="20"/>
              </w:rPr>
              <w:t>Substantial wealth generation from waste processing</w:t>
            </w:r>
          </w:p>
        </w:tc>
        <w:tc>
          <w:tcPr>
            <w:tcW w:w="2736" w:type="dxa"/>
            <w:shd w:val="clear" w:color="auto" w:fill="FFFFFF"/>
            <w:tcMar>
              <w:top w:w="100" w:type="dxa"/>
              <w:left w:w="150" w:type="dxa"/>
              <w:bottom w:w="100" w:type="dxa"/>
              <w:right w:w="150" w:type="dxa"/>
            </w:tcMar>
          </w:tcPr>
          <w:p w14:paraId="5C5FDD86">
            <w:pPr>
              <w:spacing w:before="0" w:after="0" w:line="276" w:lineRule="auto"/>
              <w:jc w:val="left"/>
            </w:pPr>
            <w:r>
              <w:rPr>
                <w:rFonts w:ascii="Calibri" w:hAnsi="Calibri"/>
                <w:color w:val="222222"/>
                <w:sz w:val="20"/>
              </w:rPr>
              <w:t>Zero tax revenues; unorganized economic activity</w:t>
            </w:r>
          </w:p>
        </w:tc>
      </w:tr>
      <w:tr w14:paraId="275712E9">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6B8BDCFA">
            <w:pPr>
              <w:spacing w:before="0" w:after="0" w:line="276" w:lineRule="auto"/>
              <w:jc w:val="left"/>
            </w:pPr>
            <w:r>
              <w:rPr>
                <w:rFonts w:ascii="Calibri" w:hAnsi="Calibri"/>
                <w:color w:val="222222"/>
                <w:sz w:val="20"/>
              </w:rPr>
              <w:t>Micro-Workshops Operating</w:t>
            </w:r>
          </w:p>
        </w:tc>
        <w:tc>
          <w:tcPr>
            <w:tcW w:w="1872" w:type="dxa"/>
            <w:shd w:val="clear" w:color="auto" w:fill="F8F9FA"/>
            <w:tcMar>
              <w:top w:w="100" w:type="dxa"/>
              <w:left w:w="150" w:type="dxa"/>
              <w:bottom w:w="100" w:type="dxa"/>
              <w:right w:w="150" w:type="dxa"/>
            </w:tcMar>
          </w:tcPr>
          <w:p w14:paraId="30D4B613">
            <w:pPr>
              <w:spacing w:before="0" w:after="0" w:line="276" w:lineRule="auto"/>
              <w:jc w:val="left"/>
            </w:pPr>
            <w:r>
              <w:rPr>
                <w:rFonts w:ascii="Calibri" w:hAnsi="Calibri"/>
                <w:color w:val="222222"/>
                <w:sz w:val="20"/>
              </w:rPr>
              <w:t>13,000+ small enterprises</w:t>
            </w:r>
          </w:p>
        </w:tc>
        <w:tc>
          <w:tcPr>
            <w:tcW w:w="2592" w:type="dxa"/>
            <w:shd w:val="clear" w:color="auto" w:fill="F8F9FA"/>
            <w:tcMar>
              <w:top w:w="100" w:type="dxa"/>
              <w:left w:w="150" w:type="dxa"/>
              <w:bottom w:w="100" w:type="dxa"/>
              <w:right w:w="150" w:type="dxa"/>
            </w:tcMar>
          </w:tcPr>
          <w:p w14:paraId="17304018">
            <w:pPr>
              <w:spacing w:before="0" w:after="0" w:line="276" w:lineRule="auto"/>
              <w:jc w:val="left"/>
            </w:pPr>
            <w:r>
              <w:rPr>
                <w:rFonts w:ascii="Calibri" w:hAnsi="Calibri"/>
                <w:color w:val="222222"/>
                <w:sz w:val="20"/>
              </w:rPr>
              <w:t>Massive micro-entrepreneurship and employment hub</w:t>
            </w:r>
          </w:p>
        </w:tc>
        <w:tc>
          <w:tcPr>
            <w:tcW w:w="2736" w:type="dxa"/>
            <w:shd w:val="clear" w:color="auto" w:fill="F8F9FA"/>
            <w:tcMar>
              <w:top w:w="100" w:type="dxa"/>
              <w:left w:w="150" w:type="dxa"/>
              <w:bottom w:w="100" w:type="dxa"/>
              <w:right w:w="150" w:type="dxa"/>
            </w:tcMar>
          </w:tcPr>
          <w:p w14:paraId="1EB6BE1A">
            <w:pPr>
              <w:spacing w:before="0" w:after="0" w:line="276" w:lineRule="auto"/>
              <w:jc w:val="left"/>
            </w:pPr>
            <w:r>
              <w:rPr>
                <w:rFonts w:ascii="Calibri" w:hAnsi="Calibri"/>
                <w:color w:val="222222"/>
                <w:sz w:val="20"/>
              </w:rPr>
              <w:t>Zero structural fire safety or ventilation compliance</w:t>
            </w:r>
          </w:p>
        </w:tc>
      </w:tr>
      <w:tr w14:paraId="3B471A3F">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0BF6DEED">
            <w:pPr>
              <w:spacing w:before="0" w:after="0" w:line="276" w:lineRule="auto"/>
              <w:jc w:val="left"/>
            </w:pPr>
            <w:r>
              <w:rPr>
                <w:rFonts w:ascii="Calibri" w:hAnsi="Calibri"/>
                <w:color w:val="222222"/>
                <w:sz w:val="20"/>
              </w:rPr>
              <w:t>Workforce Employed</w:t>
            </w:r>
          </w:p>
        </w:tc>
        <w:tc>
          <w:tcPr>
            <w:tcW w:w="1872" w:type="dxa"/>
            <w:shd w:val="clear" w:color="auto" w:fill="FFFFFF"/>
            <w:tcMar>
              <w:top w:w="100" w:type="dxa"/>
              <w:left w:w="150" w:type="dxa"/>
              <w:bottom w:w="100" w:type="dxa"/>
              <w:right w:w="150" w:type="dxa"/>
            </w:tcMar>
          </w:tcPr>
          <w:p w14:paraId="364F976B">
            <w:pPr>
              <w:spacing w:before="0" w:after="0" w:line="276" w:lineRule="auto"/>
              <w:jc w:val="left"/>
            </w:pPr>
            <w:r>
              <w:rPr>
                <w:rFonts w:ascii="Calibri" w:hAnsi="Calibri"/>
                <w:color w:val="222222"/>
                <w:sz w:val="20"/>
              </w:rPr>
              <w:t>100,000+ migrant workers</w:t>
            </w:r>
          </w:p>
        </w:tc>
        <w:tc>
          <w:tcPr>
            <w:tcW w:w="2592" w:type="dxa"/>
            <w:shd w:val="clear" w:color="auto" w:fill="FFFFFF"/>
            <w:tcMar>
              <w:top w:w="100" w:type="dxa"/>
              <w:left w:w="150" w:type="dxa"/>
              <w:bottom w:w="100" w:type="dxa"/>
              <w:right w:w="150" w:type="dxa"/>
            </w:tcMar>
          </w:tcPr>
          <w:p w14:paraId="57FA3942">
            <w:pPr>
              <w:spacing w:before="0" w:after="0" w:line="276" w:lineRule="auto"/>
              <w:jc w:val="left"/>
            </w:pPr>
            <w:r>
              <w:rPr>
                <w:rFonts w:ascii="Calibri" w:hAnsi="Calibri"/>
                <w:color w:val="222222"/>
                <w:sz w:val="20"/>
              </w:rPr>
              <w:t>Livelihood security for unorganized urban poor</w:t>
            </w:r>
          </w:p>
        </w:tc>
        <w:tc>
          <w:tcPr>
            <w:tcW w:w="2736" w:type="dxa"/>
            <w:shd w:val="clear" w:color="auto" w:fill="FFFFFF"/>
            <w:tcMar>
              <w:top w:w="100" w:type="dxa"/>
              <w:left w:w="150" w:type="dxa"/>
              <w:bottom w:w="100" w:type="dxa"/>
              <w:right w:w="150" w:type="dxa"/>
            </w:tcMar>
          </w:tcPr>
          <w:p w14:paraId="023AF1BD">
            <w:pPr>
              <w:spacing w:before="0" w:after="0" w:line="276" w:lineRule="auto"/>
              <w:jc w:val="left"/>
            </w:pPr>
            <w:r>
              <w:rPr>
                <w:rFonts w:ascii="Calibri" w:hAnsi="Calibri"/>
                <w:color w:val="222222"/>
                <w:sz w:val="20"/>
              </w:rPr>
              <w:t>Severe occupational toxicity (lead poisoning, silicosis)</w:t>
            </w:r>
          </w:p>
        </w:tc>
      </w:tr>
      <w:tr w14:paraId="42FEF030">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6C4810FD">
            <w:pPr>
              <w:spacing w:before="0" w:after="0" w:line="276" w:lineRule="auto"/>
              <w:jc w:val="left"/>
            </w:pPr>
            <w:r>
              <w:rPr>
                <w:rFonts w:ascii="Calibri" w:hAnsi="Calibri"/>
                <w:color w:val="222222"/>
                <w:sz w:val="20"/>
              </w:rPr>
              <w:t>Resource Recovery Rate</w:t>
            </w:r>
          </w:p>
        </w:tc>
        <w:tc>
          <w:tcPr>
            <w:tcW w:w="1872" w:type="dxa"/>
            <w:shd w:val="clear" w:color="auto" w:fill="F8F9FA"/>
            <w:tcMar>
              <w:top w:w="100" w:type="dxa"/>
              <w:left w:w="150" w:type="dxa"/>
              <w:bottom w:w="100" w:type="dxa"/>
              <w:right w:w="150" w:type="dxa"/>
            </w:tcMar>
          </w:tcPr>
          <w:p w14:paraId="2DAF8F52">
            <w:pPr>
              <w:spacing w:before="0" w:after="0" w:line="276" w:lineRule="auto"/>
              <w:jc w:val="left"/>
            </w:pPr>
            <w:r>
              <w:rPr>
                <w:rFonts w:ascii="Calibri" w:hAnsi="Calibri"/>
                <w:color w:val="222222"/>
                <w:sz w:val="20"/>
              </w:rPr>
              <w:t>&gt;80% of incoming waste streams</w:t>
            </w:r>
          </w:p>
        </w:tc>
        <w:tc>
          <w:tcPr>
            <w:tcW w:w="2592" w:type="dxa"/>
            <w:shd w:val="clear" w:color="auto" w:fill="F8F9FA"/>
            <w:tcMar>
              <w:top w:w="100" w:type="dxa"/>
              <w:left w:w="150" w:type="dxa"/>
              <w:bottom w:w="100" w:type="dxa"/>
              <w:right w:w="150" w:type="dxa"/>
            </w:tcMar>
          </w:tcPr>
          <w:p w14:paraId="66FF91E7">
            <w:pPr>
              <w:spacing w:before="0" w:after="0" w:line="276" w:lineRule="auto"/>
              <w:jc w:val="left"/>
            </w:pPr>
            <w:r>
              <w:rPr>
                <w:rFonts w:ascii="Calibri" w:hAnsi="Calibri"/>
                <w:color w:val="222222"/>
                <w:sz w:val="20"/>
              </w:rPr>
              <w:t>Prevents millions of tonnes from reaching municipal landfills</w:t>
            </w:r>
          </w:p>
        </w:tc>
        <w:tc>
          <w:tcPr>
            <w:tcW w:w="2736" w:type="dxa"/>
            <w:shd w:val="clear" w:color="auto" w:fill="F8F9FA"/>
            <w:tcMar>
              <w:top w:w="100" w:type="dxa"/>
              <w:left w:w="150" w:type="dxa"/>
              <w:bottom w:w="100" w:type="dxa"/>
              <w:right w:w="150" w:type="dxa"/>
            </w:tcMar>
          </w:tcPr>
          <w:p w14:paraId="2866E18B">
            <w:pPr>
              <w:spacing w:before="0" w:after="0" w:line="276" w:lineRule="auto"/>
              <w:jc w:val="left"/>
            </w:pPr>
            <w:r>
              <w:rPr>
                <w:rFonts w:ascii="Calibri" w:hAnsi="Calibri"/>
                <w:color w:val="222222"/>
                <w:sz w:val="20"/>
              </w:rPr>
              <w:t>Heavy metal pollution in Mithi River and local groundwater</w:t>
            </w:r>
          </w:p>
        </w:tc>
      </w:tr>
    </w:tbl>
    <w:p w14:paraId="3884F9EC">
      <w:pPr>
        <w:spacing w:before="0" w:after="160"/>
      </w:pPr>
    </w:p>
    <w:p w14:paraId="7890FDA2">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6C730CF1">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8F5E9"/>
            <w:tcMar>
              <w:top w:w="120" w:type="dxa"/>
              <w:left w:w="150" w:type="dxa"/>
              <w:bottom w:w="120" w:type="dxa"/>
              <w:right w:w="150" w:type="dxa"/>
            </w:tcMar>
          </w:tcPr>
          <w:p w14:paraId="1DB2B47B">
            <w:pPr>
              <w:spacing w:before="0" w:after="80"/>
            </w:pPr>
            <w:r>
              <w:rPr>
                <w:rFonts w:ascii="Calibri" w:hAnsi="Calibri"/>
                <w:b/>
                <w:color w:val="2E7D32"/>
                <w:sz w:val="22"/>
              </w:rPr>
              <w:t>💪 STRENGTHS (Internal)</w:t>
            </w:r>
          </w:p>
          <w:p w14:paraId="2CD0497C">
            <w:pPr>
              <w:pStyle w:val="23"/>
              <w:spacing w:before="40" w:after="40" w:line="276" w:lineRule="auto"/>
            </w:pPr>
            <w:r>
              <w:rPr>
                <w:rFonts w:ascii="Calibri" w:hAnsi="Calibri"/>
                <w:color w:val="333333"/>
                <w:sz w:val="19"/>
              </w:rPr>
              <w:t>World-leading material recovery efficiency (&gt;80% of waste recycled)</w:t>
            </w:r>
          </w:p>
          <w:p w14:paraId="3787AB0B">
            <w:pPr>
              <w:pStyle w:val="23"/>
              <w:spacing w:before="40" w:after="40" w:line="276" w:lineRule="auto"/>
            </w:pPr>
            <w:r>
              <w:rPr>
                <w:rFonts w:ascii="Calibri" w:hAnsi="Calibri"/>
                <w:color w:val="333333"/>
                <w:sz w:val="19"/>
              </w:rPr>
              <w:t>$1 Billion USD annual turnover demonstrating viable waste economy</w:t>
            </w:r>
          </w:p>
          <w:p w14:paraId="511F877C">
            <w:pPr>
              <w:pStyle w:val="23"/>
              <w:spacing w:before="40" w:after="40" w:line="276" w:lineRule="auto"/>
            </w:pPr>
            <w:r>
              <w:rPr>
                <w:rFonts w:ascii="Calibri" w:hAnsi="Calibri"/>
                <w:color w:val="333333"/>
                <w:sz w:val="19"/>
              </w:rPr>
              <w:t>Deep labor specialization and rapid manual sorting capability</w:t>
            </w:r>
          </w:p>
          <w:p w14:paraId="006DBBA4">
            <w:pPr>
              <w:pStyle w:val="23"/>
              <w:spacing w:before="40" w:after="40" w:line="276" w:lineRule="auto"/>
            </w:pPr>
            <w:r>
              <w:rPr>
                <w:rFonts w:ascii="Calibri" w:hAnsi="Calibri"/>
                <w:color w:val="333333"/>
                <w:sz w:val="19"/>
              </w:rPr>
              <w:t>Zero burden on public tax funds for operating infrastructure</w:t>
            </w:r>
          </w:p>
        </w:tc>
        <w:tc>
          <w:tcPr>
            <w:tcW w:w="4680" w:type="dxa"/>
            <w:shd w:val="clear" w:color="auto" w:fill="FFEBEE"/>
            <w:tcMar>
              <w:top w:w="120" w:type="dxa"/>
              <w:left w:w="150" w:type="dxa"/>
              <w:bottom w:w="120" w:type="dxa"/>
              <w:right w:w="150" w:type="dxa"/>
            </w:tcMar>
          </w:tcPr>
          <w:p w14:paraId="67D42A59">
            <w:pPr>
              <w:spacing w:before="0" w:after="80"/>
            </w:pPr>
            <w:r>
              <w:rPr>
                <w:rFonts w:ascii="Calibri" w:hAnsi="Calibri"/>
                <w:b/>
                <w:color w:val="C62828"/>
                <w:sz w:val="22"/>
              </w:rPr>
              <w:t>⚠️ WEAKNESSES (Internal)</w:t>
            </w:r>
          </w:p>
          <w:p w14:paraId="52DF4D44">
            <w:pPr>
              <w:pStyle w:val="23"/>
              <w:spacing w:before="40" w:after="40" w:line="276" w:lineRule="auto"/>
            </w:pPr>
            <w:r>
              <w:rPr>
                <w:rFonts w:ascii="Calibri" w:hAnsi="Calibri"/>
                <w:color w:val="333333"/>
                <w:sz w:val="19"/>
              </w:rPr>
              <w:t>Severe occupational health risks and lack of personal protective equipment (PPE)</w:t>
            </w:r>
          </w:p>
          <w:p w14:paraId="7E575908">
            <w:pPr>
              <w:pStyle w:val="23"/>
              <w:spacing w:before="40" w:after="40" w:line="276" w:lineRule="auto"/>
            </w:pPr>
            <w:r>
              <w:rPr>
                <w:rFonts w:ascii="Calibri" w:hAnsi="Calibri"/>
                <w:color w:val="333333"/>
                <w:sz w:val="19"/>
              </w:rPr>
              <w:t>Toxic heavy metal and acid effluent discharge into Mithi River</w:t>
            </w:r>
          </w:p>
          <w:p w14:paraId="678766B4">
            <w:pPr>
              <w:pStyle w:val="23"/>
              <w:spacing w:before="40" w:after="40" w:line="276" w:lineRule="auto"/>
            </w:pPr>
            <w:r>
              <w:rPr>
                <w:rFonts w:ascii="Calibri" w:hAnsi="Calibri"/>
                <w:color w:val="333333"/>
                <w:sz w:val="19"/>
              </w:rPr>
              <w:t>Extreme fire vulnerability in cramped, poorly ventilated workshops</w:t>
            </w:r>
          </w:p>
        </w:tc>
      </w:tr>
      <w:tr w14:paraId="6CC2A8D6">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22B364ED">
            <w:pPr>
              <w:spacing w:before="0" w:after="80"/>
            </w:pPr>
            <w:r>
              <w:rPr>
                <w:rFonts w:ascii="Calibri" w:hAnsi="Calibri"/>
                <w:b/>
                <w:color w:val="1565C0"/>
                <w:sz w:val="22"/>
              </w:rPr>
              <w:t>🚀 OPPORTUNITIES (External)</w:t>
            </w:r>
          </w:p>
          <w:p w14:paraId="21A5CF0F">
            <w:pPr>
              <w:pStyle w:val="23"/>
              <w:spacing w:before="40" w:after="40" w:line="276" w:lineRule="auto"/>
            </w:pPr>
            <w:r>
              <w:rPr>
                <w:rFonts w:ascii="Calibri" w:hAnsi="Calibri"/>
                <w:color w:val="333333"/>
                <w:sz w:val="19"/>
              </w:rPr>
              <w:t>Formalizing workshops into clean tech micro-enterprises under redevelopment</w:t>
            </w:r>
          </w:p>
          <w:p w14:paraId="4669DDD8">
            <w:pPr>
              <w:pStyle w:val="23"/>
              <w:spacing w:before="40" w:after="40" w:line="276" w:lineRule="auto"/>
            </w:pPr>
            <w:r>
              <w:rPr>
                <w:rFonts w:ascii="Calibri" w:hAnsi="Calibri"/>
                <w:color w:val="333333"/>
                <w:sz w:val="19"/>
              </w:rPr>
              <w:t>Introducing safe hydrometallurgical closed-loop recovery technology</w:t>
            </w:r>
          </w:p>
          <w:p w14:paraId="36E005EB">
            <w:pPr>
              <w:pStyle w:val="23"/>
              <w:spacing w:before="40" w:after="40" w:line="276" w:lineRule="auto"/>
            </w:pPr>
            <w:r>
              <w:rPr>
                <w:rFonts w:ascii="Calibri" w:hAnsi="Calibri"/>
                <w:color w:val="333333"/>
                <w:sz w:val="19"/>
              </w:rPr>
              <w:t>Integrating Dharavi aggregators as CPCB-licensed EPR collection centers</w:t>
            </w:r>
          </w:p>
        </w:tc>
        <w:tc>
          <w:tcPr>
            <w:tcW w:w="4680" w:type="dxa"/>
            <w:shd w:val="clear" w:color="auto" w:fill="FFF3E0"/>
            <w:tcMar>
              <w:top w:w="120" w:type="dxa"/>
              <w:left w:w="150" w:type="dxa"/>
              <w:bottom w:w="120" w:type="dxa"/>
              <w:right w:w="150" w:type="dxa"/>
            </w:tcMar>
          </w:tcPr>
          <w:p w14:paraId="278099D8">
            <w:pPr>
              <w:spacing w:before="0" w:after="80"/>
            </w:pPr>
            <w:r>
              <w:rPr>
                <w:rFonts w:ascii="Calibri" w:hAnsi="Calibri"/>
                <w:b/>
                <w:color w:val="E65100"/>
                <w:sz w:val="22"/>
              </w:rPr>
              <w:t>⚡ THREATS (External)</w:t>
            </w:r>
          </w:p>
          <w:p w14:paraId="3DE29E8F">
            <w:pPr>
              <w:pStyle w:val="23"/>
              <w:spacing w:before="40" w:after="40" w:line="276" w:lineRule="auto"/>
            </w:pPr>
            <w:r>
              <w:rPr>
                <w:rFonts w:ascii="Calibri" w:hAnsi="Calibri"/>
                <w:color w:val="333333"/>
                <w:sz w:val="19"/>
              </w:rPr>
              <w:t>Impending Dharavi Redevelopment Project threatening worker displacement</w:t>
            </w:r>
          </w:p>
          <w:p w14:paraId="52C3C0C9">
            <w:pPr>
              <w:pStyle w:val="23"/>
              <w:spacing w:before="40" w:after="40" w:line="276" w:lineRule="auto"/>
            </w:pPr>
            <w:r>
              <w:rPr>
                <w:rFonts w:ascii="Calibri" w:hAnsi="Calibri"/>
                <w:color w:val="333333"/>
                <w:sz w:val="19"/>
              </w:rPr>
              <w:t>Strict MPCB enforcement closures driving operations underground</w:t>
            </w:r>
          </w:p>
          <w:p w14:paraId="5E8974A3">
            <w:pPr>
              <w:pStyle w:val="23"/>
              <w:spacing w:before="40" w:after="40" w:line="276" w:lineRule="auto"/>
            </w:pPr>
            <w:r>
              <w:rPr>
                <w:rFonts w:ascii="Calibri" w:hAnsi="Calibri"/>
                <w:color w:val="333333"/>
                <w:sz w:val="19"/>
              </w:rPr>
              <w:t>Catastrophic industrial fires caused by lithium-ion batteries and open melting</w:t>
            </w:r>
          </w:p>
        </w:tc>
      </w:tr>
    </w:tbl>
    <w:p w14:paraId="7B91BB03">
      <w:pPr>
        <w:spacing w:before="0" w:after="160"/>
      </w:pPr>
    </w:p>
    <w:p w14:paraId="0D67980A">
      <w:pPr>
        <w:pStyle w:val="3"/>
        <w:keepNext/>
        <w:spacing w:before="280" w:after="120"/>
      </w:pPr>
      <w:r>
        <w:rPr>
          <w:rFonts w:ascii="Calibri" w:hAnsi="Calibri"/>
          <w:b/>
          <w:color w:val="2E75B6"/>
          <w:sz w:val="28"/>
        </w:rPr>
        <w:t>6. Comparison with Formal Scientific Recycling</w:t>
      </w:r>
    </w:p>
    <w:p w14:paraId="4C1A4390">
      <w:pPr>
        <w:pStyle w:val="23"/>
        <w:spacing w:before="40" w:after="80" w:line="276" w:lineRule="auto"/>
      </w:pPr>
      <w:r>
        <w:rPr>
          <w:rFonts w:ascii="Calibri" w:hAnsi="Calibri"/>
          <w:b/>
          <w:color w:val="1B365D"/>
          <w:sz w:val="22"/>
        </w:rPr>
        <w:t xml:space="preserve">Capital Efficiency vs Safety: </w:t>
      </w:r>
      <w:r>
        <w:rPr>
          <w:rFonts w:ascii="Calibri" w:hAnsi="Calibri"/>
          <w:color w:val="222222"/>
          <w:sz w:val="22"/>
        </w:rPr>
        <w:t>Dharavi recovers materials at a fraction of the capital cost of automated plants, but at an unacceptably high human health and environmental cost.</w:t>
      </w:r>
    </w:p>
    <w:p w14:paraId="13D99FA2">
      <w:pPr>
        <w:pStyle w:val="3"/>
        <w:keepNext/>
        <w:spacing w:before="280" w:after="120"/>
      </w:pPr>
      <w:r>
        <w:rPr>
          <w:rFonts w:ascii="Calibri" w:hAnsi="Calibri"/>
          <w:b/>
          <w:color w:val="2E75B6"/>
          <w:sz w:val="28"/>
        </w:rPr>
        <w:t>7. Recommendations</w:t>
      </w:r>
    </w:p>
    <w:p w14:paraId="3A3965BE">
      <w:pPr>
        <w:pStyle w:val="23"/>
        <w:spacing w:before="40" w:after="80" w:line="276" w:lineRule="auto"/>
      </w:pPr>
      <w:r>
        <w:rPr>
          <w:rFonts w:ascii="Calibri" w:hAnsi="Calibri"/>
          <w:b/>
          <w:color w:val="1B365D"/>
          <w:sz w:val="22"/>
        </w:rPr>
        <w:t xml:space="preserve">Redevelopment Green Industrial Zone: </w:t>
      </w:r>
      <w:r>
        <w:rPr>
          <w:rFonts w:ascii="Calibri" w:hAnsi="Calibri"/>
          <w:color w:val="222222"/>
          <w:sz w:val="22"/>
        </w:rPr>
        <w:t>Incorporate a modern, ventilated Common Facility Center (CFC) for e-waste dismantling within the Dharavi Redevelopment Master Plan.</w:t>
      </w:r>
    </w:p>
    <w:p w14:paraId="6CC14C51">
      <w:pPr>
        <w:pStyle w:val="23"/>
        <w:spacing w:before="40" w:after="80" w:line="276" w:lineRule="auto"/>
      </w:pPr>
      <w:r>
        <w:rPr>
          <w:rFonts w:ascii="Calibri" w:hAnsi="Calibri"/>
          <w:b/>
          <w:color w:val="1B365D"/>
          <w:sz w:val="22"/>
        </w:rPr>
        <w:t xml:space="preserve">PPE &amp; Hydrometallurgy Technology Transfer: </w:t>
      </w:r>
      <w:r>
        <w:rPr>
          <w:rFonts w:ascii="Calibri" w:hAnsi="Calibri"/>
          <w:color w:val="222222"/>
          <w:sz w:val="22"/>
        </w:rPr>
        <w:t>Distribute respirators, gloves, and eco-friendly chemical leaching kits to micro-units.</w:t>
      </w:r>
    </w:p>
    <w:p w14:paraId="1C09D2AF">
      <w:pPr>
        <w:pStyle w:val="23"/>
        <w:spacing w:before="40" w:after="80" w:line="276" w:lineRule="auto"/>
      </w:pPr>
      <w:r>
        <w:rPr>
          <w:rFonts w:ascii="Calibri" w:hAnsi="Calibri"/>
          <w:b/>
          <w:color w:val="1B365D"/>
          <w:sz w:val="22"/>
        </w:rPr>
        <w:t xml:space="preserve">Formal Collector Licensing: </w:t>
      </w:r>
      <w:r>
        <w:rPr>
          <w:rFonts w:ascii="Calibri" w:hAnsi="Calibri"/>
          <w:color w:val="222222"/>
          <w:sz w:val="22"/>
        </w:rPr>
        <w:t>Register Dharavi scrap wholesalers as licensed collection nodes under India's EPR framework.</w:t>
      </w:r>
    </w:p>
    <w:p w14:paraId="442E5D51">
      <w:pPr>
        <w:pStyle w:val="3"/>
        <w:keepNext/>
        <w:spacing w:before="280" w:after="120"/>
      </w:pPr>
      <w:r>
        <w:rPr>
          <w:rFonts w:ascii="Calibri" w:hAnsi="Calibri"/>
          <w:b/>
          <w:color w:val="2E75B6"/>
          <w:sz w:val="28"/>
        </w:rPr>
        <w:t>8. Conclusion</w:t>
      </w:r>
    </w:p>
    <w:p w14:paraId="652F3EFF">
      <w:pPr>
        <w:spacing w:before="0" w:after="120" w:line="276" w:lineRule="auto"/>
        <w:jc w:val="left"/>
      </w:pPr>
      <w:r>
        <w:rPr>
          <w:rFonts w:ascii="Calibri" w:hAnsi="Calibri"/>
          <w:i w:val="0"/>
          <w:color w:val="222222"/>
          <w:sz w:val="22"/>
        </w:rPr>
        <w:t>Dharavi represents the ultimate paradox of urban waste management—a multi-million dollar circular economy success story that urgently requires technology upgrades and social protection to eliminate human toxicity.</w:t>
      </w:r>
    </w:p>
    <w:p w14:paraId="3B2EF797">
      <w:pPr>
        <w:pStyle w:val="3"/>
        <w:keepNext/>
        <w:spacing w:before="280" w:after="120"/>
      </w:pPr>
      <w:r>
        <w:rPr>
          <w:rFonts w:ascii="Calibri" w:hAnsi="Calibri"/>
          <w:b/>
          <w:color w:val="2E75B6"/>
          <w:sz w:val="28"/>
        </w:rPr>
        <w:t>9. References</w:t>
      </w:r>
    </w:p>
    <w:p w14:paraId="27EA71AA">
      <w:pPr>
        <w:pStyle w:val="23"/>
        <w:spacing w:before="40" w:after="80" w:line="276" w:lineRule="auto"/>
      </w:pPr>
      <w:r>
        <w:rPr>
          <w:rFonts w:ascii="Calibri" w:hAnsi="Calibri"/>
          <w:b/>
          <w:color w:val="1B365D"/>
          <w:sz w:val="22"/>
        </w:rPr>
        <w:t xml:space="preserve">National Geographic. </w:t>
      </w:r>
      <w:r>
        <w:rPr>
          <w:rFonts w:ascii="Calibri" w:hAnsi="Calibri"/>
          <w:color w:val="222222"/>
          <w:sz w:val="22"/>
        </w:rPr>
        <w:t>'Inside Dharavi's $1 Billion Informal Recycling Machine.' 2023.</w:t>
      </w:r>
    </w:p>
    <w:p w14:paraId="7D0BFA85">
      <w:pPr>
        <w:pStyle w:val="23"/>
        <w:spacing w:before="40" w:after="80" w:line="276" w:lineRule="auto"/>
      </w:pPr>
      <w:r>
        <w:rPr>
          <w:rFonts w:ascii="Calibri" w:hAnsi="Calibri"/>
          <w:b/>
          <w:color w:val="1B365D"/>
          <w:sz w:val="22"/>
        </w:rPr>
        <w:t xml:space="preserve">NEERI / MPCB Joint Study. </w:t>
      </w:r>
      <w:r>
        <w:rPr>
          <w:rFonts w:ascii="Calibri" w:hAnsi="Calibri"/>
          <w:color w:val="222222"/>
          <w:sz w:val="22"/>
        </w:rPr>
        <w:t>'Environmental Contamination Assessment of 13th Compound Dharavi.' Mumbai, 2024.</w:t>
      </w:r>
    </w:p>
    <w:p w14:paraId="5D4C6768">
      <w:r>
        <w:br w:type="page"/>
      </w:r>
    </w:p>
    <w:p w14:paraId="4512AC6B">
      <w:pPr>
        <w:pStyle w:val="3"/>
        <w:keepNext/>
        <w:spacing w:before="280" w:after="120"/>
      </w:pPr>
      <w:r>
        <w:rPr>
          <w:rFonts w:ascii="Calibri" w:hAnsi="Calibri"/>
          <w:b/>
          <w:color w:val="2E75B6"/>
          <w:sz w:val="28"/>
        </w:rPr>
        <w:t>11. One-Page Exam Revision Sheet — Topic 9</w:t>
      </w:r>
    </w:p>
    <w:tbl>
      <w:tblPr>
        <w:tblStyle w:val="12"/>
        <w:tblW w:w="0" w:type="auto"/>
        <w:jc w:val="center"/>
        <w:tblLayout w:type="fixed"/>
        <w:tblCellMar>
          <w:top w:w="0" w:type="dxa"/>
          <w:left w:w="108" w:type="dxa"/>
          <w:bottom w:w="0" w:type="dxa"/>
          <w:right w:w="108" w:type="dxa"/>
        </w:tblCellMar>
      </w:tblPr>
      <w:tblGrid>
        <w:gridCol w:w="9360"/>
      </w:tblGrid>
      <w:tr w14:paraId="17B8440D">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5A91F4B4">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Dharavi Recycling Ecosystem.</w:t>
            </w:r>
          </w:p>
        </w:tc>
      </w:tr>
    </w:tbl>
    <w:p w14:paraId="2289A894">
      <w:pPr>
        <w:spacing w:before="0" w:after="120"/>
      </w:pPr>
    </w:p>
    <w:p w14:paraId="6F1B1C5E">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Dharavi is a $1 Billion informal recycling hub operating 13,000+ micro-units that process &gt;80% of Mumbai's waste, demonstrating high recovery efficiency alongside severe toxic pollution.</w:t>
      </w:r>
    </w:p>
    <w:p w14:paraId="3B50ACE8">
      <w:pPr>
        <w:pStyle w:val="4"/>
        <w:keepNext/>
        <w:spacing w:before="200" w:after="80"/>
      </w:pPr>
      <w:r>
        <w:rPr>
          <w:rFonts w:ascii="Calibri" w:hAnsi="Calibri"/>
          <w:b/>
          <w:color w:val="333333"/>
          <w:sz w:val="24"/>
        </w:rPr>
        <w:t>Key Statistics &amp; Data Points for High-Scoring Answers:</w:t>
      </w:r>
    </w:p>
    <w:p w14:paraId="2DFAEC63">
      <w:pPr>
        <w:pStyle w:val="23"/>
        <w:spacing w:before="40" w:after="80" w:line="276" w:lineRule="auto"/>
      </w:pPr>
      <w:r>
        <w:rPr>
          <w:rFonts w:ascii="Calibri" w:hAnsi="Calibri"/>
          <w:b/>
          <w:color w:val="1B365D"/>
          <w:sz w:val="22"/>
        </w:rPr>
        <w:t xml:space="preserve">Economic Scale: </w:t>
      </w:r>
      <w:r>
        <w:rPr>
          <w:rFonts w:ascii="Calibri" w:hAnsi="Calibri"/>
          <w:color w:val="222222"/>
          <w:sz w:val="22"/>
        </w:rPr>
        <w:t>&gt; $1.0 Billion USD annual economic turnover</w:t>
      </w:r>
    </w:p>
    <w:p w14:paraId="2B58EB8A">
      <w:pPr>
        <w:pStyle w:val="23"/>
        <w:spacing w:before="40" w:after="80" w:line="276" w:lineRule="auto"/>
      </w:pPr>
      <w:r>
        <w:rPr>
          <w:rFonts w:ascii="Calibri" w:hAnsi="Calibri"/>
          <w:b/>
          <w:color w:val="1B365D"/>
          <w:sz w:val="22"/>
        </w:rPr>
        <w:t xml:space="preserve">Workforce &amp; Units: </w:t>
      </w:r>
      <w:r>
        <w:rPr>
          <w:rFonts w:ascii="Calibri" w:hAnsi="Calibri"/>
          <w:color w:val="222222"/>
          <w:sz w:val="22"/>
        </w:rPr>
        <w:t>100,000+ workers across 13,000+ micro-workshops</w:t>
      </w:r>
    </w:p>
    <w:p w14:paraId="096B043A">
      <w:pPr>
        <w:pStyle w:val="23"/>
        <w:spacing w:before="40" w:after="80" w:line="276" w:lineRule="auto"/>
      </w:pPr>
      <w:r>
        <w:rPr>
          <w:rFonts w:ascii="Calibri" w:hAnsi="Calibri"/>
          <w:b/>
          <w:color w:val="1B365D"/>
          <w:sz w:val="22"/>
        </w:rPr>
        <w:t xml:space="preserve">Core Processing Zone: </w:t>
      </w:r>
      <w:r>
        <w:rPr>
          <w:rFonts w:ascii="Calibri" w:hAnsi="Calibri"/>
          <w:color w:val="222222"/>
          <w:sz w:val="22"/>
        </w:rPr>
        <w:t>13th Compound (epicenter for plastic pelletizing &amp; WEEE dismantling)</w:t>
      </w:r>
    </w:p>
    <w:p w14:paraId="55E15D87">
      <w:pPr>
        <w:pStyle w:val="23"/>
        <w:spacing w:before="40" w:after="80" w:line="276" w:lineRule="auto"/>
      </w:pPr>
      <w:r>
        <w:rPr>
          <w:rFonts w:ascii="Calibri" w:hAnsi="Calibri"/>
          <w:b/>
          <w:color w:val="1B365D"/>
          <w:sz w:val="22"/>
        </w:rPr>
        <w:t xml:space="preserve">Primary Environmental Hazard: </w:t>
      </w:r>
      <w:r>
        <w:rPr>
          <w:rFonts w:ascii="Calibri" w:hAnsi="Calibri"/>
          <w:color w:val="222222"/>
          <w:sz w:val="22"/>
        </w:rPr>
        <w:t>Untreated acid effluents discharged into Mithi River; open wire burning</w:t>
      </w:r>
    </w:p>
    <w:p w14:paraId="4A78FB4E">
      <w:pPr>
        <w:pStyle w:val="4"/>
        <w:keepNext/>
        <w:spacing w:before="200" w:after="80"/>
      </w:pPr>
      <w:r>
        <w:rPr>
          <w:rFonts w:ascii="Calibri" w:hAnsi="Calibri"/>
          <w:b/>
          <w:color w:val="333333"/>
          <w:sz w:val="24"/>
        </w:rPr>
        <w:t>Statutory Frameworks &amp; Key Terminology:</w:t>
      </w:r>
    </w:p>
    <w:p w14:paraId="1056F68F">
      <w:pPr>
        <w:pStyle w:val="23"/>
        <w:spacing w:before="40" w:after="80" w:line="276" w:lineRule="auto"/>
      </w:pPr>
      <w:r>
        <w:rPr>
          <w:rFonts w:ascii="Calibri" w:hAnsi="Calibri"/>
          <w:b/>
          <w:color w:val="1B365D"/>
          <w:sz w:val="22"/>
        </w:rPr>
        <w:t xml:space="preserve">13th Compound: </w:t>
      </w:r>
      <w:r>
        <w:rPr>
          <w:rFonts w:ascii="Calibri" w:hAnsi="Calibri"/>
          <w:color w:val="222222"/>
          <w:sz w:val="22"/>
        </w:rPr>
        <w:t>Central industrial cluster in Dharavi for plastic and e-waste processing.</w:t>
      </w:r>
    </w:p>
    <w:p w14:paraId="00403A89">
      <w:pPr>
        <w:pStyle w:val="23"/>
        <w:spacing w:before="40" w:after="80" w:line="276" w:lineRule="auto"/>
      </w:pPr>
      <w:r>
        <w:rPr>
          <w:rFonts w:ascii="Calibri" w:hAnsi="Calibri"/>
          <w:b/>
          <w:color w:val="1B365D"/>
          <w:sz w:val="22"/>
        </w:rPr>
        <w:t xml:space="preserve">Aqua Regia Leaching: </w:t>
      </w:r>
      <w:r>
        <w:rPr>
          <w:rFonts w:ascii="Calibri" w:hAnsi="Calibri"/>
          <w:color w:val="222222"/>
          <w:sz w:val="22"/>
        </w:rPr>
        <w:t>Hazardous acid bath method used to recover gold from circuit boards.</w:t>
      </w:r>
    </w:p>
    <w:p w14:paraId="493522DB">
      <w:pPr>
        <w:pStyle w:val="23"/>
        <w:spacing w:before="40" w:after="80" w:line="276" w:lineRule="auto"/>
      </w:pPr>
      <w:r>
        <w:rPr>
          <w:rFonts w:ascii="Calibri" w:hAnsi="Calibri"/>
          <w:b/>
          <w:color w:val="1B365D"/>
          <w:sz w:val="22"/>
        </w:rPr>
        <w:t xml:space="preserve">Resource Recovery Rate: </w:t>
      </w:r>
      <w:r>
        <w:rPr>
          <w:rFonts w:ascii="Calibri" w:hAnsi="Calibri"/>
          <w:color w:val="222222"/>
          <w:sz w:val="22"/>
        </w:rPr>
        <w:t>&gt;80% diversion of incoming scrap back into secondary manufacturing.</w:t>
      </w:r>
    </w:p>
    <w:p w14:paraId="149A92A3">
      <w:pPr>
        <w:pStyle w:val="4"/>
        <w:keepNext/>
        <w:spacing w:before="200" w:after="80"/>
      </w:pPr>
      <w:r>
        <w:rPr>
          <w:rFonts w:ascii="Calibri" w:hAnsi="Calibri"/>
          <w:b/>
          <w:color w:val="333333"/>
          <w:sz w:val="24"/>
        </w:rPr>
        <w:t>Expected Exam Questions &amp; Analytical Points:</w:t>
      </w:r>
    </w:p>
    <w:p w14:paraId="427DB975">
      <w:pPr>
        <w:spacing w:before="40" w:after="80" w:line="276" w:lineRule="auto"/>
        <w:jc w:val="left"/>
      </w:pPr>
      <w:r>
        <w:rPr>
          <w:rFonts w:ascii="Calibri" w:hAnsi="Calibri"/>
          <w:b/>
          <w:color w:val="1B365D"/>
          <w:sz w:val="22"/>
        </w:rPr>
        <w:t xml:space="preserve">Q1: </w:t>
      </w:r>
      <w:r>
        <w:rPr>
          <w:rFonts w:ascii="Calibri" w:hAnsi="Calibri"/>
          <w:i w:val="0"/>
          <w:color w:val="222222"/>
          <w:sz w:val="22"/>
        </w:rPr>
        <w:t>Explain the economic and environmental paradox of the Dharavi recycling ecosystem.</w:t>
      </w:r>
    </w:p>
    <w:p w14:paraId="47ED8844">
      <w:pPr>
        <w:spacing w:before="40" w:after="80" w:line="276" w:lineRule="auto"/>
        <w:jc w:val="left"/>
      </w:pPr>
      <w:r>
        <w:rPr>
          <w:rFonts w:ascii="Calibri" w:hAnsi="Calibri"/>
          <w:b/>
          <w:color w:val="1B365D"/>
          <w:sz w:val="22"/>
        </w:rPr>
        <w:t xml:space="preserve">Q2: </w:t>
      </w:r>
      <w:r>
        <w:rPr>
          <w:rFonts w:ascii="Calibri" w:hAnsi="Calibri"/>
          <w:i w:val="0"/>
          <w:color w:val="222222"/>
          <w:sz w:val="22"/>
        </w:rPr>
        <w:t>What are the primary occupational health hazards faced by workers in Dharavi's 13th Compound?</w:t>
      </w:r>
    </w:p>
    <w:p w14:paraId="447FE4FC">
      <w:pPr>
        <w:spacing w:before="40" w:after="80" w:line="276" w:lineRule="auto"/>
        <w:jc w:val="left"/>
      </w:pPr>
      <w:r>
        <w:rPr>
          <w:rFonts w:ascii="Calibri" w:hAnsi="Calibri"/>
          <w:b/>
          <w:color w:val="1B365D"/>
          <w:sz w:val="22"/>
        </w:rPr>
        <w:t xml:space="preserve">Q3: </w:t>
      </w:r>
      <w:r>
        <w:rPr>
          <w:rFonts w:ascii="Calibri" w:hAnsi="Calibri"/>
          <w:i w:val="0"/>
          <w:color w:val="222222"/>
          <w:sz w:val="22"/>
        </w:rPr>
        <w:t>How should the Dharavi Redevelopment Project incorporate clean recycling infrastructure for informal workers?</w:t>
      </w:r>
    </w:p>
    <w:p w14:paraId="657FBE5F">
      <w:r>
        <w:br w:type="page"/>
      </w:r>
    </w:p>
    <w:p w14:paraId="203E0653">
      <w:pPr>
        <w:pStyle w:val="2"/>
        <w:keepNext/>
        <w:spacing w:before="360" w:after="160"/>
      </w:pPr>
      <w:r>
        <w:rPr>
          <w:rFonts w:ascii="Calibri" w:hAnsi="Calibri"/>
          <w:b/>
          <w:color w:val="1B365D"/>
          <w:sz w:val="36"/>
        </w:rPr>
        <w:t>Topic 10: Dell's Circular Economy Strategy</w:t>
      </w:r>
    </w:p>
    <w:p w14:paraId="0310A85E">
      <w:pPr>
        <w:pStyle w:val="3"/>
        <w:keepNext/>
        <w:spacing w:before="280" w:after="120"/>
      </w:pPr>
      <w:r>
        <w:rPr>
          <w:rFonts w:ascii="Calibri" w:hAnsi="Calibri"/>
          <w:b/>
          <w:color w:val="2E75B6"/>
          <w:sz w:val="28"/>
        </w:rPr>
        <w:t>1. Executive Summary</w:t>
      </w:r>
    </w:p>
    <w:p w14:paraId="162EEBD6">
      <w:pPr>
        <w:spacing w:before="0" w:after="120" w:line="276" w:lineRule="auto"/>
        <w:jc w:val="left"/>
      </w:pPr>
      <w:r>
        <w:rPr>
          <w:rFonts w:ascii="Calibri" w:hAnsi="Calibri"/>
          <w:i w:val="0"/>
          <w:color w:val="222222"/>
          <w:sz w:val="22"/>
        </w:rPr>
        <w:t>Dell Technologies represents a leading global corporate benchmark in integrating circular economy principles across the Information and Communications Technology (ICT) hardware lifecycle. Moving beyond traditional linear 'take-make-dispose' manufacturing, Dell established an ambitious closed-loop supply chain incorporating recycled plastics, closed-loop aluminum, and recycled rare earth magnets directly into new enterprise computers. Through its landmark 'Dell Reconnect' partnership with Goodwill and its global return programs, Dell has collected and recycled over 2.5 billion pounds (1.13 million metric tonnes) of e-waste since 2007. This case study evaluates Dell's Design for Environment (DfE) engineering standards, modular product prototypes (Concept Luna), and progress toward its 2030 Moonshot Goals.</w:t>
      </w:r>
    </w:p>
    <w:p w14:paraId="348A462D">
      <w:pPr>
        <w:pStyle w:val="3"/>
        <w:keepNext/>
        <w:spacing w:before="280" w:after="120"/>
      </w:pPr>
      <w:r>
        <w:rPr>
          <w:rFonts w:ascii="Calibri" w:hAnsi="Calibri"/>
          <w:b/>
          <w:color w:val="2E75B6"/>
          <w:sz w:val="28"/>
        </w:rPr>
        <w:t>2. Background</w:t>
      </w:r>
    </w:p>
    <w:p w14:paraId="0DFA2527">
      <w:pPr>
        <w:spacing w:before="0" w:after="120" w:line="276" w:lineRule="auto"/>
        <w:jc w:val="left"/>
      </w:pPr>
      <w:r>
        <w:rPr>
          <w:rFonts w:ascii="Calibri" w:hAnsi="Calibri"/>
          <w:i w:val="0"/>
          <w:color w:val="222222"/>
          <w:sz w:val="22"/>
        </w:rPr>
        <w:t>As one of the world's largest personal computer and server manufacturers, Dell recognized that rising electronic waste, supply chain volatility for critical raw materials, and corporate carbon emissions posed systemic operational risks. In 2014, Dell pioneered the IT industry's first UL-certified closed-loop plastic supply chain, recycling post-consumer electronics back into brand-new desktop monitors and laptops. This initiative evolved into Dell's broader 'Progress Made Real 2030' plan, placing circularity at the core of product design.</w:t>
      </w:r>
    </w:p>
    <w:p w14:paraId="161B7A13">
      <w:pPr>
        <w:pStyle w:val="3"/>
        <w:keepNext/>
        <w:spacing w:before="280" w:after="120"/>
      </w:pPr>
      <w:r>
        <w:rPr>
          <w:rFonts w:ascii="Calibri" w:hAnsi="Calibri"/>
          <w:b/>
          <w:color w:val="2E75B6"/>
          <w:sz w:val="28"/>
        </w:rPr>
        <w:t>3. Strategy / Initiative</w:t>
      </w:r>
    </w:p>
    <w:p w14:paraId="155698B7">
      <w:pPr>
        <w:spacing w:before="0" w:after="120" w:line="276" w:lineRule="auto"/>
        <w:jc w:val="left"/>
      </w:pPr>
      <w:r>
        <w:rPr>
          <w:rFonts w:ascii="Calibri" w:hAnsi="Calibri"/>
          <w:i w:val="0"/>
          <w:color w:val="222222"/>
          <w:sz w:val="22"/>
        </w:rPr>
        <w:t>Dell's strategy rests on three interconnected pillars:</w:t>
      </w:r>
    </w:p>
    <w:p w14:paraId="5BEBA083">
      <w:pPr>
        <w:pStyle w:val="23"/>
        <w:spacing w:before="40" w:after="80" w:line="276" w:lineRule="auto"/>
      </w:pPr>
      <w:r>
        <w:rPr>
          <w:rFonts w:ascii="Calibri" w:hAnsi="Calibri"/>
          <w:b/>
          <w:color w:val="1B365D"/>
          <w:sz w:val="22"/>
        </w:rPr>
        <w:t xml:space="preserve">Design for Environment (DfE) &amp; Modular Engineering: </w:t>
      </w:r>
      <w:r>
        <w:rPr>
          <w:rFonts w:ascii="Calibri" w:hAnsi="Calibri"/>
          <w:color w:val="222222"/>
          <w:sz w:val="22"/>
        </w:rPr>
        <w:t>Products are engineered using standardized screw types, minimal chemical glues, and snap-fit assemblies to maximize dismantling speed. Prototypes like 'Concept Luna' reduce screws from 100+ to just 4, enabling complete disassembly in under 3 minutes.</w:t>
      </w:r>
    </w:p>
    <w:p w14:paraId="71A0A07A">
      <w:pPr>
        <w:pStyle w:val="23"/>
        <w:spacing w:before="40" w:after="80" w:line="276" w:lineRule="auto"/>
      </w:pPr>
      <w:r>
        <w:rPr>
          <w:rFonts w:ascii="Calibri" w:hAnsi="Calibri"/>
          <w:b/>
          <w:color w:val="1B365D"/>
          <w:sz w:val="22"/>
        </w:rPr>
        <w:t xml:space="preserve">Closed-Loop Material Integration: </w:t>
      </w:r>
      <w:r>
        <w:rPr>
          <w:rFonts w:ascii="Calibri" w:hAnsi="Calibri"/>
          <w:color w:val="222222"/>
          <w:sz w:val="22"/>
        </w:rPr>
        <w:t>Dell harvests post-consumer plastics from discarded electronics, carbon fiber from aerospace waste, and closed-loop aluminum from scrap, reprocessing them into new chassis components.</w:t>
      </w:r>
    </w:p>
    <w:p w14:paraId="32F2CE01">
      <w:pPr>
        <w:pStyle w:val="23"/>
        <w:spacing w:before="40" w:after="80" w:line="276" w:lineRule="auto"/>
      </w:pPr>
      <w:r>
        <w:rPr>
          <w:rFonts w:ascii="Calibri" w:hAnsi="Calibri"/>
          <w:b/>
          <w:color w:val="1B365D"/>
          <w:sz w:val="22"/>
        </w:rPr>
        <w:t xml:space="preserve">Dell Reconnect Take-Back Partnership: </w:t>
      </w:r>
      <w:r>
        <w:rPr>
          <w:rFonts w:ascii="Calibri" w:hAnsi="Calibri"/>
          <w:color w:val="222222"/>
          <w:sz w:val="22"/>
        </w:rPr>
        <w:t>Partnering with Goodwill across 2,000+ retail locations in North America, Dell provides free consumer drop-off for any brand of electronics, ensuring certified environmental recycling.</w:t>
      </w:r>
    </w:p>
    <w:p w14:paraId="30A6A2F7">
      <w:pPr>
        <w:pStyle w:val="3"/>
        <w:keepNext/>
        <w:spacing w:before="280" w:after="120"/>
      </w:pPr>
      <w:r>
        <w:rPr>
          <w:rFonts w:ascii="Calibri" w:hAnsi="Calibri"/>
          <w:b/>
          <w:color w:val="2E75B6"/>
          <w:sz w:val="28"/>
        </w:rPr>
        <w:t>4. Impact &amp; Results with Data Table</w:t>
      </w:r>
    </w:p>
    <w:p w14:paraId="2B60032A">
      <w:pPr>
        <w:spacing w:before="0" w:after="120" w:line="276" w:lineRule="auto"/>
        <w:jc w:val="left"/>
      </w:pPr>
      <w:r>
        <w:rPr>
          <w:rFonts w:ascii="Calibri" w:hAnsi="Calibri"/>
          <w:i w:val="0"/>
          <w:color w:val="222222"/>
          <w:sz w:val="22"/>
        </w:rPr>
        <w:t>Dell's circular economy progress is tracked against ambitious 2030 Moonshot Goals.</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Layout w:type="fixed"/>
        <w:tblCellMar>
          <w:top w:w="0" w:type="dxa"/>
          <w:left w:w="108" w:type="dxa"/>
          <w:bottom w:w="0" w:type="dxa"/>
          <w:right w:w="108" w:type="dxa"/>
        </w:tblCellMar>
      </w:tblPr>
      <w:tblGrid>
        <w:gridCol w:w="2340"/>
        <w:gridCol w:w="2340"/>
        <w:gridCol w:w="2340"/>
        <w:gridCol w:w="2340"/>
      </w:tblGrid>
      <w:tr w14:paraId="5819BD7B">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1B365D"/>
            <w:tcMar>
              <w:top w:w="120" w:type="dxa"/>
              <w:left w:w="150" w:type="dxa"/>
              <w:bottom w:w="120" w:type="dxa"/>
              <w:right w:w="150" w:type="dxa"/>
            </w:tcMar>
          </w:tcPr>
          <w:p w14:paraId="69636A0A">
            <w:pPr>
              <w:spacing w:before="0" w:after="0"/>
              <w:jc w:val="left"/>
            </w:pPr>
            <w:r>
              <w:rPr>
                <w:rFonts w:ascii="Calibri" w:hAnsi="Calibri"/>
                <w:b/>
                <w:color w:val="FFFFFF"/>
                <w:sz w:val="21"/>
              </w:rPr>
              <w:t>Dell Circular Economy Metric</w:t>
            </w:r>
          </w:p>
        </w:tc>
        <w:tc>
          <w:tcPr>
            <w:tcW w:w="2160" w:type="dxa"/>
            <w:shd w:val="clear" w:color="auto" w:fill="1B365D"/>
            <w:tcMar>
              <w:top w:w="120" w:type="dxa"/>
              <w:left w:w="150" w:type="dxa"/>
              <w:bottom w:w="120" w:type="dxa"/>
              <w:right w:w="150" w:type="dxa"/>
            </w:tcMar>
          </w:tcPr>
          <w:p w14:paraId="165267AB">
            <w:pPr>
              <w:spacing w:before="0" w:after="0"/>
              <w:jc w:val="left"/>
            </w:pPr>
            <w:r>
              <w:rPr>
                <w:rFonts w:ascii="Calibri" w:hAnsi="Calibri"/>
                <w:b/>
                <w:color w:val="FFFFFF"/>
                <w:sz w:val="21"/>
              </w:rPr>
              <w:t>Historical Cumulative Performance</w:t>
            </w:r>
          </w:p>
        </w:tc>
        <w:tc>
          <w:tcPr>
            <w:tcW w:w="2448" w:type="dxa"/>
            <w:shd w:val="clear" w:color="auto" w:fill="1B365D"/>
            <w:tcMar>
              <w:top w:w="120" w:type="dxa"/>
              <w:left w:w="150" w:type="dxa"/>
              <w:bottom w:w="120" w:type="dxa"/>
              <w:right w:w="150" w:type="dxa"/>
            </w:tcMar>
          </w:tcPr>
          <w:p w14:paraId="1054D0F9">
            <w:pPr>
              <w:spacing w:before="0" w:after="0"/>
              <w:jc w:val="left"/>
            </w:pPr>
            <w:r>
              <w:rPr>
                <w:rFonts w:ascii="Calibri" w:hAnsi="Calibri"/>
                <w:b/>
                <w:color w:val="FFFFFF"/>
                <w:sz w:val="21"/>
              </w:rPr>
              <w:t>2030 Moonshot Target Goal</w:t>
            </w:r>
          </w:p>
        </w:tc>
        <w:tc>
          <w:tcPr>
            <w:tcW w:w="2592" w:type="dxa"/>
            <w:shd w:val="clear" w:color="auto" w:fill="1B365D"/>
            <w:tcMar>
              <w:top w:w="120" w:type="dxa"/>
              <w:left w:w="150" w:type="dxa"/>
              <w:bottom w:w="120" w:type="dxa"/>
              <w:right w:w="150" w:type="dxa"/>
            </w:tcMar>
          </w:tcPr>
          <w:p w14:paraId="509C8220">
            <w:pPr>
              <w:spacing w:before="0" w:after="0"/>
              <w:jc w:val="left"/>
            </w:pPr>
            <w:r>
              <w:rPr>
                <w:rFonts w:ascii="Calibri" w:hAnsi="Calibri"/>
                <w:b/>
                <w:color w:val="FFFFFF"/>
                <w:sz w:val="21"/>
              </w:rPr>
              <w:t>Key Technical Innovations</w:t>
            </w:r>
          </w:p>
        </w:tc>
      </w:tr>
      <w:tr w14:paraId="3CCAFD53">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0BBCDBF5">
            <w:pPr>
              <w:spacing w:before="0" w:after="0" w:line="276" w:lineRule="auto"/>
              <w:jc w:val="left"/>
            </w:pPr>
            <w:r>
              <w:rPr>
                <w:rFonts w:ascii="Calibri" w:hAnsi="Calibri"/>
                <w:color w:val="222222"/>
                <w:sz w:val="20"/>
              </w:rPr>
              <w:t>Total E-Waste Recovered</w:t>
            </w:r>
          </w:p>
        </w:tc>
        <w:tc>
          <w:tcPr>
            <w:tcW w:w="2160" w:type="dxa"/>
            <w:shd w:val="clear" w:color="auto" w:fill="FFFFFF"/>
            <w:tcMar>
              <w:top w:w="100" w:type="dxa"/>
              <w:left w:w="150" w:type="dxa"/>
              <w:bottom w:w="100" w:type="dxa"/>
              <w:right w:w="150" w:type="dxa"/>
            </w:tcMar>
          </w:tcPr>
          <w:p w14:paraId="132F1DBA">
            <w:pPr>
              <w:spacing w:before="0" w:after="0" w:line="276" w:lineRule="auto"/>
              <w:jc w:val="left"/>
            </w:pPr>
            <w:r>
              <w:rPr>
                <w:rFonts w:ascii="Calibri" w:hAnsi="Calibri"/>
                <w:color w:val="222222"/>
                <w:sz w:val="20"/>
              </w:rPr>
              <w:t>&gt; 2.5 Billion lbs (1.13M Tonnes) since 2007</w:t>
            </w:r>
          </w:p>
        </w:tc>
        <w:tc>
          <w:tcPr>
            <w:tcW w:w="2448" w:type="dxa"/>
            <w:shd w:val="clear" w:color="auto" w:fill="FFFFFF"/>
            <w:tcMar>
              <w:top w:w="100" w:type="dxa"/>
              <w:left w:w="150" w:type="dxa"/>
              <w:bottom w:w="100" w:type="dxa"/>
              <w:right w:w="150" w:type="dxa"/>
            </w:tcMar>
          </w:tcPr>
          <w:p w14:paraId="62BA69DB">
            <w:pPr>
              <w:spacing w:before="0" w:after="0" w:line="276" w:lineRule="auto"/>
              <w:jc w:val="left"/>
            </w:pPr>
            <w:r>
              <w:rPr>
                <w:rFonts w:ascii="Calibri" w:hAnsi="Calibri"/>
                <w:color w:val="222222"/>
                <w:sz w:val="20"/>
              </w:rPr>
              <w:t>1-for-1 recycling/reuse for every product sold</w:t>
            </w:r>
          </w:p>
        </w:tc>
        <w:tc>
          <w:tcPr>
            <w:tcW w:w="2592" w:type="dxa"/>
            <w:shd w:val="clear" w:color="auto" w:fill="FFFFFF"/>
            <w:tcMar>
              <w:top w:w="100" w:type="dxa"/>
              <w:left w:w="150" w:type="dxa"/>
              <w:bottom w:w="100" w:type="dxa"/>
              <w:right w:w="150" w:type="dxa"/>
            </w:tcMar>
          </w:tcPr>
          <w:p w14:paraId="10EA53BB">
            <w:pPr>
              <w:spacing w:before="0" w:after="0" w:line="276" w:lineRule="auto"/>
              <w:jc w:val="left"/>
            </w:pPr>
            <w:r>
              <w:rPr>
                <w:rFonts w:ascii="Calibri" w:hAnsi="Calibri"/>
                <w:color w:val="222222"/>
                <w:sz w:val="20"/>
              </w:rPr>
              <w:t>Global take-back programs in 75+ countries</w:t>
            </w:r>
          </w:p>
        </w:tc>
      </w:tr>
      <w:tr w14:paraId="2FEEABA4">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57982BF7">
            <w:pPr>
              <w:spacing w:before="0" w:after="0" w:line="276" w:lineRule="auto"/>
              <w:jc w:val="left"/>
            </w:pPr>
            <w:r>
              <w:rPr>
                <w:rFonts w:ascii="Calibri" w:hAnsi="Calibri"/>
                <w:color w:val="222222"/>
                <w:sz w:val="20"/>
              </w:rPr>
              <w:t>Sustainable Materials Used</w:t>
            </w:r>
          </w:p>
        </w:tc>
        <w:tc>
          <w:tcPr>
            <w:tcW w:w="2160" w:type="dxa"/>
            <w:shd w:val="clear" w:color="auto" w:fill="F8F9FA"/>
            <w:tcMar>
              <w:top w:w="100" w:type="dxa"/>
              <w:left w:w="150" w:type="dxa"/>
              <w:bottom w:w="100" w:type="dxa"/>
              <w:right w:w="150" w:type="dxa"/>
            </w:tcMar>
          </w:tcPr>
          <w:p w14:paraId="78192FB1">
            <w:pPr>
              <w:spacing w:before="0" w:after="0" w:line="276" w:lineRule="auto"/>
              <w:jc w:val="left"/>
            </w:pPr>
            <w:r>
              <w:rPr>
                <w:rFonts w:ascii="Calibri" w:hAnsi="Calibri"/>
                <w:color w:val="222222"/>
                <w:sz w:val="20"/>
              </w:rPr>
              <w:t>&gt; 100 Million lbs of recycled materials</w:t>
            </w:r>
          </w:p>
        </w:tc>
        <w:tc>
          <w:tcPr>
            <w:tcW w:w="2448" w:type="dxa"/>
            <w:shd w:val="clear" w:color="auto" w:fill="F8F9FA"/>
            <w:tcMar>
              <w:top w:w="100" w:type="dxa"/>
              <w:left w:w="150" w:type="dxa"/>
              <w:bottom w:w="100" w:type="dxa"/>
              <w:right w:w="150" w:type="dxa"/>
            </w:tcMar>
          </w:tcPr>
          <w:p w14:paraId="724C5AEC">
            <w:pPr>
              <w:spacing w:before="0" w:after="0" w:line="276" w:lineRule="auto"/>
              <w:jc w:val="left"/>
            </w:pPr>
            <w:r>
              <w:rPr>
                <w:rFonts w:ascii="Calibri" w:hAnsi="Calibri"/>
                <w:color w:val="222222"/>
                <w:sz w:val="20"/>
              </w:rPr>
              <w:t>100% packaging made from recycled/renewable content</w:t>
            </w:r>
          </w:p>
        </w:tc>
        <w:tc>
          <w:tcPr>
            <w:tcW w:w="2592" w:type="dxa"/>
            <w:shd w:val="clear" w:color="auto" w:fill="F8F9FA"/>
            <w:tcMar>
              <w:top w:w="100" w:type="dxa"/>
              <w:left w:w="150" w:type="dxa"/>
              <w:bottom w:w="100" w:type="dxa"/>
              <w:right w:w="150" w:type="dxa"/>
            </w:tcMar>
          </w:tcPr>
          <w:p w14:paraId="45D73FA6">
            <w:pPr>
              <w:spacing w:before="0" w:after="0" w:line="276" w:lineRule="auto"/>
              <w:jc w:val="left"/>
            </w:pPr>
            <w:r>
              <w:rPr>
                <w:rFonts w:ascii="Calibri" w:hAnsi="Calibri"/>
                <w:color w:val="222222"/>
                <w:sz w:val="20"/>
              </w:rPr>
              <w:t>Closed-loop plastics, ocean-bound plastics, bio-based rubber</w:t>
            </w:r>
          </w:p>
        </w:tc>
      </w:tr>
      <w:tr w14:paraId="34812011">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33D09024">
            <w:pPr>
              <w:spacing w:before="0" w:after="0" w:line="276" w:lineRule="auto"/>
              <w:jc w:val="left"/>
            </w:pPr>
            <w:r>
              <w:rPr>
                <w:rFonts w:ascii="Calibri" w:hAnsi="Calibri"/>
                <w:color w:val="222222"/>
                <w:sz w:val="20"/>
              </w:rPr>
              <w:t>Recycled Content in Products</w:t>
            </w:r>
          </w:p>
        </w:tc>
        <w:tc>
          <w:tcPr>
            <w:tcW w:w="2160" w:type="dxa"/>
            <w:shd w:val="clear" w:color="auto" w:fill="FFFFFF"/>
            <w:tcMar>
              <w:top w:w="100" w:type="dxa"/>
              <w:left w:w="150" w:type="dxa"/>
              <w:bottom w:w="100" w:type="dxa"/>
              <w:right w:w="150" w:type="dxa"/>
            </w:tcMar>
          </w:tcPr>
          <w:p w14:paraId="2375C149">
            <w:pPr>
              <w:spacing w:before="0" w:after="0" w:line="276" w:lineRule="auto"/>
              <w:jc w:val="left"/>
            </w:pPr>
            <w:r>
              <w:rPr>
                <w:rFonts w:ascii="Calibri" w:hAnsi="Calibri"/>
                <w:color w:val="222222"/>
                <w:sz w:val="20"/>
              </w:rPr>
              <w:t>Pioneered closed-loop plastics across 125+ product lines</w:t>
            </w:r>
          </w:p>
        </w:tc>
        <w:tc>
          <w:tcPr>
            <w:tcW w:w="2448" w:type="dxa"/>
            <w:shd w:val="clear" w:color="auto" w:fill="FFFFFF"/>
            <w:tcMar>
              <w:top w:w="100" w:type="dxa"/>
              <w:left w:w="150" w:type="dxa"/>
              <w:bottom w:w="100" w:type="dxa"/>
              <w:right w:w="150" w:type="dxa"/>
            </w:tcMar>
          </w:tcPr>
          <w:p w14:paraId="0EAE0524">
            <w:pPr>
              <w:spacing w:before="0" w:after="0" w:line="276" w:lineRule="auto"/>
              <w:jc w:val="left"/>
            </w:pPr>
            <w:r>
              <w:rPr>
                <w:rFonts w:ascii="Calibri" w:hAnsi="Calibri"/>
                <w:color w:val="222222"/>
                <w:sz w:val="20"/>
              </w:rPr>
              <w:t>Over 50% of product content made from recycled/renewable material</w:t>
            </w:r>
          </w:p>
        </w:tc>
        <w:tc>
          <w:tcPr>
            <w:tcW w:w="2592" w:type="dxa"/>
            <w:shd w:val="clear" w:color="auto" w:fill="FFFFFF"/>
            <w:tcMar>
              <w:top w:w="100" w:type="dxa"/>
              <w:left w:w="150" w:type="dxa"/>
              <w:bottom w:w="100" w:type="dxa"/>
              <w:right w:w="150" w:type="dxa"/>
            </w:tcMar>
          </w:tcPr>
          <w:p w14:paraId="7158582F">
            <w:pPr>
              <w:spacing w:before="0" w:after="0" w:line="276" w:lineRule="auto"/>
              <w:jc w:val="left"/>
            </w:pPr>
            <w:r>
              <w:rPr>
                <w:rFonts w:ascii="Calibri" w:hAnsi="Calibri"/>
                <w:color w:val="222222"/>
                <w:sz w:val="20"/>
              </w:rPr>
              <w:t>Closed-loop aluminum, recycled rare earth magnets, recycled steel</w:t>
            </w:r>
          </w:p>
        </w:tc>
      </w:tr>
      <w:tr w14:paraId="339EA952">
        <w:tblPrEx>
          <w:tblBorders>
            <w:top w:val="single" w:color="D3D3D3" w:sz="4" w:space="0"/>
            <w:left w:val="single" w:color="D3D3D3" w:sz="4" w:space="0"/>
            <w:bottom w:val="single" w:color="D3D3D3" w:sz="4" w:space="0"/>
            <w:right w:val="single" w:color="D3D3D3" w:sz="4" w:space="0"/>
            <w:insideH w:val="single" w:color="D3D3D3" w:sz="4" w:space="0"/>
            <w:insideV w:val="single" w:color="D3D3D3" w:sz="4" w:space="0"/>
          </w:tblBorders>
          <w:tblCellMar>
            <w:top w:w="0" w:type="dxa"/>
            <w:left w:w="108" w:type="dxa"/>
            <w:bottom w:w="0" w:type="dxa"/>
            <w:right w:w="108" w:type="dxa"/>
          </w:tblCellMar>
        </w:tblPrEx>
        <w:trPr>
          <w:jc w:val="center"/>
        </w:trPr>
        <w:tc>
          <w:tcPr>
            <w:tcW w:w="2160" w:type="dxa"/>
            <w:shd w:val="clear" w:color="auto" w:fill="F8F9FA"/>
            <w:tcMar>
              <w:top w:w="100" w:type="dxa"/>
              <w:left w:w="150" w:type="dxa"/>
              <w:bottom w:w="100" w:type="dxa"/>
              <w:right w:w="150" w:type="dxa"/>
            </w:tcMar>
          </w:tcPr>
          <w:p w14:paraId="55C11900">
            <w:pPr>
              <w:spacing w:before="0" w:after="0" w:line="276" w:lineRule="auto"/>
              <w:jc w:val="left"/>
            </w:pPr>
            <w:r>
              <w:rPr>
                <w:rFonts w:ascii="Calibri" w:hAnsi="Calibri"/>
                <w:color w:val="222222"/>
                <w:sz w:val="20"/>
              </w:rPr>
              <w:t>Modular Product Disassembly</w:t>
            </w:r>
          </w:p>
        </w:tc>
        <w:tc>
          <w:tcPr>
            <w:tcW w:w="2160" w:type="dxa"/>
            <w:shd w:val="clear" w:color="auto" w:fill="F8F9FA"/>
            <w:tcMar>
              <w:top w:w="100" w:type="dxa"/>
              <w:left w:w="150" w:type="dxa"/>
              <w:bottom w:w="100" w:type="dxa"/>
              <w:right w:w="150" w:type="dxa"/>
            </w:tcMar>
          </w:tcPr>
          <w:p w14:paraId="693A3D2E">
            <w:pPr>
              <w:spacing w:before="0" w:after="0" w:line="276" w:lineRule="auto"/>
              <w:jc w:val="left"/>
            </w:pPr>
            <w:r>
              <w:rPr>
                <w:rFonts w:ascii="Calibri" w:hAnsi="Calibri"/>
                <w:color w:val="222222"/>
                <w:sz w:val="20"/>
              </w:rPr>
              <w:t>Concept Luna prototype baseline</w:t>
            </w:r>
          </w:p>
        </w:tc>
        <w:tc>
          <w:tcPr>
            <w:tcW w:w="2448" w:type="dxa"/>
            <w:shd w:val="clear" w:color="auto" w:fill="F8F9FA"/>
            <w:tcMar>
              <w:top w:w="100" w:type="dxa"/>
              <w:left w:w="150" w:type="dxa"/>
              <w:bottom w:w="100" w:type="dxa"/>
              <w:right w:w="150" w:type="dxa"/>
            </w:tcMar>
          </w:tcPr>
          <w:p w14:paraId="4B27F51B">
            <w:pPr>
              <w:spacing w:before="0" w:after="0" w:line="276" w:lineRule="auto"/>
              <w:jc w:val="left"/>
            </w:pPr>
            <w:r>
              <w:rPr>
                <w:rFonts w:ascii="Calibri" w:hAnsi="Calibri"/>
                <w:color w:val="222222"/>
                <w:sz w:val="20"/>
              </w:rPr>
              <w:t>100% repairable and modular commercial portfolio</w:t>
            </w:r>
          </w:p>
        </w:tc>
        <w:tc>
          <w:tcPr>
            <w:tcW w:w="2592" w:type="dxa"/>
            <w:shd w:val="clear" w:color="auto" w:fill="F8F9FA"/>
            <w:tcMar>
              <w:top w:w="100" w:type="dxa"/>
              <w:left w:w="150" w:type="dxa"/>
              <w:bottom w:w="100" w:type="dxa"/>
              <w:right w:w="150" w:type="dxa"/>
            </w:tcMar>
          </w:tcPr>
          <w:p w14:paraId="793C30FA">
            <w:pPr>
              <w:spacing w:before="0" w:after="0" w:line="276" w:lineRule="auto"/>
              <w:jc w:val="left"/>
            </w:pPr>
            <w:r>
              <w:rPr>
                <w:rFonts w:ascii="Calibri" w:hAnsi="Calibri"/>
                <w:color w:val="222222"/>
                <w:sz w:val="20"/>
              </w:rPr>
              <w:t>Solderless components, snap-fit assemblies, zero glues</w:t>
            </w:r>
          </w:p>
        </w:tc>
      </w:tr>
    </w:tbl>
    <w:p w14:paraId="1DC124C2">
      <w:pPr>
        <w:spacing w:before="0" w:after="160"/>
      </w:pPr>
    </w:p>
    <w:p w14:paraId="4E8603FC">
      <w:pPr>
        <w:pStyle w:val="3"/>
        <w:keepNext/>
        <w:spacing w:before="280" w:after="120"/>
      </w:pPr>
      <w:r>
        <w:rPr>
          <w:rFonts w:ascii="Calibri" w:hAnsi="Calibri"/>
          <w:b/>
          <w:color w:val="2E75B6"/>
          <w:sz w:val="28"/>
        </w:rPr>
        <w:t>5. SWOT Analysis</w:t>
      </w:r>
    </w:p>
    <w:tbl>
      <w:tblPr>
        <w:tblStyle w:val="12"/>
        <w:tblW w:w="0" w:type="auto"/>
        <w:jc w:val="center"/>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Layout w:type="fixed"/>
        <w:tblCellMar>
          <w:top w:w="0" w:type="dxa"/>
          <w:left w:w="108" w:type="dxa"/>
          <w:bottom w:w="0" w:type="dxa"/>
          <w:right w:w="108" w:type="dxa"/>
        </w:tblCellMar>
      </w:tblPr>
      <w:tblGrid>
        <w:gridCol w:w="4680"/>
        <w:gridCol w:w="4680"/>
      </w:tblGrid>
      <w:tr w14:paraId="76CCFEBA">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PrEx>
        <w:trPr>
          <w:jc w:val="center"/>
        </w:trPr>
        <w:tc>
          <w:tcPr>
            <w:tcW w:w="4680" w:type="dxa"/>
            <w:shd w:val="clear" w:color="auto" w:fill="E8F5E9"/>
            <w:tcMar>
              <w:top w:w="120" w:type="dxa"/>
              <w:left w:w="150" w:type="dxa"/>
              <w:bottom w:w="120" w:type="dxa"/>
              <w:right w:w="150" w:type="dxa"/>
            </w:tcMar>
          </w:tcPr>
          <w:p w14:paraId="5F1F0AE5">
            <w:pPr>
              <w:spacing w:before="0" w:after="80"/>
            </w:pPr>
            <w:r>
              <w:rPr>
                <w:rFonts w:ascii="Calibri" w:hAnsi="Calibri"/>
                <w:b/>
                <w:color w:val="2E7D32"/>
                <w:sz w:val="22"/>
              </w:rPr>
              <w:t>💪 STRENGTHS (Internal)</w:t>
            </w:r>
          </w:p>
          <w:p w14:paraId="1115AA0B">
            <w:pPr>
              <w:pStyle w:val="23"/>
              <w:spacing w:before="40" w:after="40" w:line="276" w:lineRule="auto"/>
            </w:pPr>
            <w:r>
              <w:rPr>
                <w:rFonts w:ascii="Calibri" w:hAnsi="Calibri"/>
                <w:color w:val="333333"/>
                <w:sz w:val="19"/>
              </w:rPr>
              <w:t>Pioneering closed-loop material supply chain reduces reliance on virgin resources</w:t>
            </w:r>
          </w:p>
          <w:p w14:paraId="7693729F">
            <w:pPr>
              <w:pStyle w:val="23"/>
              <w:spacing w:before="40" w:after="40" w:line="276" w:lineRule="auto"/>
            </w:pPr>
            <w:r>
              <w:rPr>
                <w:rFonts w:ascii="Calibri" w:hAnsi="Calibri"/>
                <w:color w:val="333333"/>
                <w:sz w:val="19"/>
              </w:rPr>
              <w:t>Strong global brand reputation driven by authentic DfE engineering</w:t>
            </w:r>
          </w:p>
          <w:p w14:paraId="6BB93A65">
            <w:pPr>
              <w:pStyle w:val="23"/>
              <w:spacing w:before="40" w:after="40" w:line="276" w:lineRule="auto"/>
            </w:pPr>
            <w:r>
              <w:rPr>
                <w:rFonts w:ascii="Calibri" w:hAnsi="Calibri"/>
                <w:color w:val="333333"/>
                <w:sz w:val="19"/>
              </w:rPr>
              <w:t>Landmark partnership with Goodwill (Dell Reconnect) providing dense drop-off points</w:t>
            </w:r>
          </w:p>
          <w:p w14:paraId="6B6C6FDD">
            <w:pPr>
              <w:pStyle w:val="23"/>
              <w:spacing w:before="40" w:after="40" w:line="276" w:lineRule="auto"/>
            </w:pPr>
            <w:r>
              <w:rPr>
                <w:rFonts w:ascii="Calibri" w:hAnsi="Calibri"/>
                <w:color w:val="333333"/>
                <w:sz w:val="19"/>
              </w:rPr>
              <w:t>Concept Luna leadership pushing repairability and modular electronics</w:t>
            </w:r>
          </w:p>
        </w:tc>
        <w:tc>
          <w:tcPr>
            <w:tcW w:w="4680" w:type="dxa"/>
            <w:shd w:val="clear" w:color="auto" w:fill="FFEBEE"/>
            <w:tcMar>
              <w:top w:w="120" w:type="dxa"/>
              <w:left w:w="150" w:type="dxa"/>
              <w:bottom w:w="120" w:type="dxa"/>
              <w:right w:w="150" w:type="dxa"/>
            </w:tcMar>
          </w:tcPr>
          <w:p w14:paraId="203A37F7">
            <w:pPr>
              <w:spacing w:before="0" w:after="80"/>
            </w:pPr>
            <w:r>
              <w:rPr>
                <w:rFonts w:ascii="Calibri" w:hAnsi="Calibri"/>
                <w:b/>
                <w:color w:val="C62828"/>
                <w:sz w:val="22"/>
              </w:rPr>
              <w:t>⚠️ WEAKNESSES (Internal)</w:t>
            </w:r>
          </w:p>
          <w:p w14:paraId="3BE90C8E">
            <w:pPr>
              <w:pStyle w:val="23"/>
              <w:spacing w:before="40" w:after="40" w:line="276" w:lineRule="auto"/>
            </w:pPr>
            <w:r>
              <w:rPr>
                <w:rFonts w:ascii="Calibri" w:hAnsi="Calibri"/>
                <w:color w:val="333333"/>
                <w:sz w:val="19"/>
              </w:rPr>
              <w:t>Higher short-term R&amp;D costs for specialized recycled material testing</w:t>
            </w:r>
          </w:p>
          <w:p w14:paraId="61CB4C4C">
            <w:pPr>
              <w:pStyle w:val="23"/>
              <w:spacing w:before="40" w:after="40" w:line="276" w:lineRule="auto"/>
            </w:pPr>
            <w:r>
              <w:rPr>
                <w:rFonts w:ascii="Calibri" w:hAnsi="Calibri"/>
                <w:color w:val="333333"/>
                <w:sz w:val="19"/>
              </w:rPr>
              <w:t>Dependence on third-party collection partners in emerging markets</w:t>
            </w:r>
          </w:p>
          <w:p w14:paraId="32CDCA74">
            <w:pPr>
              <w:pStyle w:val="23"/>
              <w:spacing w:before="40" w:after="40" w:line="276" w:lineRule="auto"/>
            </w:pPr>
            <w:r>
              <w:rPr>
                <w:rFonts w:ascii="Calibri" w:hAnsi="Calibri"/>
                <w:color w:val="333333"/>
                <w:sz w:val="19"/>
              </w:rPr>
              <w:t>Complex supply chain logistics for sorting and refining post-consumer plastics</w:t>
            </w:r>
          </w:p>
        </w:tc>
      </w:tr>
      <w:tr w14:paraId="616B9A7E">
        <w:tblPrEx>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top w:w="0" w:type="dxa"/>
            <w:left w:w="108" w:type="dxa"/>
            <w:bottom w:w="0" w:type="dxa"/>
            <w:right w:w="108" w:type="dxa"/>
          </w:tblCellMar>
        </w:tblPrEx>
        <w:trPr>
          <w:jc w:val="center"/>
        </w:trPr>
        <w:tc>
          <w:tcPr>
            <w:tcW w:w="4680" w:type="dxa"/>
            <w:shd w:val="clear" w:color="auto" w:fill="E3F2FD"/>
            <w:tcMar>
              <w:top w:w="120" w:type="dxa"/>
              <w:left w:w="150" w:type="dxa"/>
              <w:bottom w:w="120" w:type="dxa"/>
              <w:right w:w="150" w:type="dxa"/>
            </w:tcMar>
          </w:tcPr>
          <w:p w14:paraId="2A0C3596">
            <w:pPr>
              <w:spacing w:before="0" w:after="80"/>
            </w:pPr>
            <w:r>
              <w:rPr>
                <w:rFonts w:ascii="Calibri" w:hAnsi="Calibri"/>
                <w:b/>
                <w:color w:val="1565C0"/>
                <w:sz w:val="22"/>
              </w:rPr>
              <w:t>🚀 OPPORTUNITIES (External)</w:t>
            </w:r>
          </w:p>
          <w:p w14:paraId="382EBB5F">
            <w:pPr>
              <w:pStyle w:val="23"/>
              <w:spacing w:before="40" w:after="40" w:line="276" w:lineRule="auto"/>
            </w:pPr>
            <w:r>
              <w:rPr>
                <w:rFonts w:ascii="Calibri" w:hAnsi="Calibri"/>
                <w:color w:val="333333"/>
                <w:sz w:val="19"/>
              </w:rPr>
              <w:t>Scaling Dell Reconnect retail partnerships across India and Southeast Asia</w:t>
            </w:r>
          </w:p>
          <w:p w14:paraId="24F94C6A">
            <w:pPr>
              <w:pStyle w:val="23"/>
              <w:spacing w:before="40" w:after="40" w:line="276" w:lineRule="auto"/>
            </w:pPr>
            <w:r>
              <w:rPr>
                <w:rFonts w:ascii="Calibri" w:hAnsi="Calibri"/>
                <w:color w:val="333333"/>
                <w:sz w:val="19"/>
              </w:rPr>
              <w:t>Monetizing proprietary modular dismantling automation patents</w:t>
            </w:r>
          </w:p>
          <w:p w14:paraId="291AD4E5">
            <w:pPr>
              <w:pStyle w:val="23"/>
              <w:spacing w:before="40" w:after="40" w:line="276" w:lineRule="auto"/>
            </w:pPr>
            <w:r>
              <w:rPr>
                <w:rFonts w:ascii="Calibri" w:hAnsi="Calibri"/>
                <w:color w:val="333333"/>
                <w:sz w:val="19"/>
              </w:rPr>
              <w:t>Meeting rising corporate ESG procurement standards across global enterprise clients</w:t>
            </w:r>
          </w:p>
        </w:tc>
        <w:tc>
          <w:tcPr>
            <w:tcW w:w="4680" w:type="dxa"/>
            <w:shd w:val="clear" w:color="auto" w:fill="FFF3E0"/>
            <w:tcMar>
              <w:top w:w="120" w:type="dxa"/>
              <w:left w:w="150" w:type="dxa"/>
              <w:bottom w:w="120" w:type="dxa"/>
              <w:right w:w="150" w:type="dxa"/>
            </w:tcMar>
          </w:tcPr>
          <w:p w14:paraId="6179FAF9">
            <w:pPr>
              <w:spacing w:before="0" w:after="80"/>
            </w:pPr>
            <w:r>
              <w:rPr>
                <w:rFonts w:ascii="Calibri" w:hAnsi="Calibri"/>
                <w:b/>
                <w:color w:val="E65100"/>
                <w:sz w:val="22"/>
              </w:rPr>
              <w:t>⚡ THREATS (External)</w:t>
            </w:r>
          </w:p>
          <w:p w14:paraId="60B92820">
            <w:pPr>
              <w:pStyle w:val="23"/>
              <w:spacing w:before="40" w:after="40" w:line="276" w:lineRule="auto"/>
            </w:pPr>
            <w:r>
              <w:rPr>
                <w:rFonts w:ascii="Calibri" w:hAnsi="Calibri"/>
                <w:color w:val="333333"/>
                <w:sz w:val="19"/>
              </w:rPr>
              <w:t>Global supply chain disruptions affecting recycled material flows</w:t>
            </w:r>
          </w:p>
          <w:p w14:paraId="3D014296">
            <w:pPr>
              <w:pStyle w:val="23"/>
              <w:spacing w:before="40" w:after="40" w:line="276" w:lineRule="auto"/>
            </w:pPr>
            <w:r>
              <w:rPr>
                <w:rFonts w:ascii="Calibri" w:hAnsi="Calibri"/>
                <w:color w:val="333333"/>
                <w:sz w:val="19"/>
              </w:rPr>
              <w:t>Consumer preference for ultrathin glued laptops conflicting with repairability</w:t>
            </w:r>
          </w:p>
          <w:p w14:paraId="0862D610">
            <w:pPr>
              <w:pStyle w:val="23"/>
              <w:spacing w:before="40" w:after="40" w:line="276" w:lineRule="auto"/>
            </w:pPr>
            <w:r>
              <w:rPr>
                <w:rFonts w:ascii="Calibri" w:hAnsi="Calibri"/>
                <w:color w:val="333333"/>
                <w:sz w:val="19"/>
              </w:rPr>
              <w:t>Inconsistent e-waste recycling infrastructure in developing nations</w:t>
            </w:r>
          </w:p>
        </w:tc>
      </w:tr>
    </w:tbl>
    <w:p w14:paraId="592A0981">
      <w:pPr>
        <w:spacing w:before="0" w:after="160"/>
      </w:pPr>
    </w:p>
    <w:p w14:paraId="1C2F876F">
      <w:pPr>
        <w:pStyle w:val="3"/>
        <w:keepNext/>
        <w:spacing w:before="280" w:after="120"/>
      </w:pPr>
      <w:r>
        <w:rPr>
          <w:rFonts w:ascii="Calibri" w:hAnsi="Calibri"/>
          <w:b/>
          <w:color w:val="2E75B6"/>
          <w:sz w:val="28"/>
        </w:rPr>
        <w:t>6. Comparison with Indian OEM Practices</w:t>
      </w:r>
    </w:p>
    <w:p w14:paraId="3A7F987F">
      <w:pPr>
        <w:pStyle w:val="23"/>
        <w:spacing w:before="40" w:after="80" w:line="276" w:lineRule="auto"/>
      </w:pPr>
      <w:r>
        <w:rPr>
          <w:rFonts w:ascii="Calibri" w:hAnsi="Calibri"/>
          <w:b/>
          <w:color w:val="1B365D"/>
          <w:sz w:val="22"/>
        </w:rPr>
        <w:t xml:space="preserve">Proactive Circular Design vs Reactive Compliance: </w:t>
      </w:r>
      <w:r>
        <w:rPr>
          <w:rFonts w:ascii="Calibri" w:hAnsi="Calibri"/>
          <w:color w:val="222222"/>
          <w:sz w:val="22"/>
        </w:rPr>
        <w:t>Dell embeds closed-loop materials during initial R&amp;D design. Many electronics manufacturers in India treat compliance as a post-sale financial obligation, purchasing portal certificates without redesigning products.</w:t>
      </w:r>
    </w:p>
    <w:p w14:paraId="59A0C737">
      <w:pPr>
        <w:pStyle w:val="3"/>
        <w:keepNext/>
        <w:spacing w:before="280" w:after="120"/>
      </w:pPr>
      <w:r>
        <w:rPr>
          <w:rFonts w:ascii="Calibri" w:hAnsi="Calibri"/>
          <w:b/>
          <w:color w:val="2E75B6"/>
          <w:sz w:val="28"/>
        </w:rPr>
        <w:t>7. Recommendations for Industry &amp; Policy</w:t>
      </w:r>
    </w:p>
    <w:p w14:paraId="4415FB2A">
      <w:pPr>
        <w:pStyle w:val="23"/>
        <w:spacing w:before="40" w:after="80" w:line="276" w:lineRule="auto"/>
      </w:pPr>
      <w:r>
        <w:rPr>
          <w:rFonts w:ascii="Calibri" w:hAnsi="Calibri"/>
          <w:b/>
          <w:color w:val="1B365D"/>
          <w:sz w:val="22"/>
        </w:rPr>
        <w:t xml:space="preserve">Expand Dell Reconnect to India: </w:t>
      </w:r>
      <w:r>
        <w:rPr>
          <w:rFonts w:ascii="Calibri" w:hAnsi="Calibri"/>
          <w:color w:val="222222"/>
          <w:sz w:val="22"/>
        </w:rPr>
        <w:t>Partner with major Indian retail chains (Tata Croma, Reliance Digital) to establish consumer drop-off kiosks nationwide.</w:t>
      </w:r>
    </w:p>
    <w:p w14:paraId="7AC86A31">
      <w:pPr>
        <w:pStyle w:val="23"/>
        <w:spacing w:before="40" w:after="80" w:line="276" w:lineRule="auto"/>
      </w:pPr>
      <w:r>
        <w:rPr>
          <w:rFonts w:ascii="Calibri" w:hAnsi="Calibri"/>
          <w:b/>
          <w:color w:val="1B365D"/>
          <w:sz w:val="22"/>
        </w:rPr>
        <w:t xml:space="preserve">Incentivize DfE via Lower EPR Targets: </w:t>
      </w:r>
      <w:r>
        <w:rPr>
          <w:rFonts w:ascii="Calibri" w:hAnsi="Calibri"/>
          <w:color w:val="222222"/>
          <w:sz w:val="22"/>
        </w:rPr>
        <w:t>Provide regulatory discounts on EPR targets for manufacturers incorporating &gt;20% closed-loop recycled content into new products.</w:t>
      </w:r>
    </w:p>
    <w:p w14:paraId="3832FD79">
      <w:pPr>
        <w:pStyle w:val="23"/>
        <w:spacing w:before="40" w:after="80" w:line="276" w:lineRule="auto"/>
      </w:pPr>
      <w:r>
        <w:rPr>
          <w:rFonts w:ascii="Calibri" w:hAnsi="Calibri"/>
          <w:b/>
          <w:color w:val="1B365D"/>
          <w:sz w:val="22"/>
        </w:rPr>
        <w:t xml:space="preserve">Mandate Right to Repair Standards: </w:t>
      </w:r>
      <w:r>
        <w:rPr>
          <w:rFonts w:ascii="Calibri" w:hAnsi="Calibri"/>
          <w:color w:val="222222"/>
          <w:sz w:val="22"/>
        </w:rPr>
        <w:t>Enforce modular electronics design rules preventing glued-in batteries and proprietary screws.</w:t>
      </w:r>
    </w:p>
    <w:p w14:paraId="225BC10B">
      <w:pPr>
        <w:pStyle w:val="3"/>
        <w:keepNext/>
        <w:spacing w:before="280" w:after="120"/>
      </w:pPr>
      <w:r>
        <w:rPr>
          <w:rFonts w:ascii="Calibri" w:hAnsi="Calibri"/>
          <w:b/>
          <w:color w:val="2E75B6"/>
          <w:sz w:val="28"/>
        </w:rPr>
        <w:t>8. Conclusion</w:t>
      </w:r>
    </w:p>
    <w:p w14:paraId="32F64527">
      <w:pPr>
        <w:spacing w:before="0" w:after="120" w:line="276" w:lineRule="auto"/>
        <w:jc w:val="left"/>
      </w:pPr>
      <w:r>
        <w:rPr>
          <w:rFonts w:ascii="Calibri" w:hAnsi="Calibri"/>
          <w:i w:val="0"/>
          <w:color w:val="222222"/>
          <w:sz w:val="22"/>
        </w:rPr>
        <w:t>Dell Technologies demonstrates that circular economy strategies can be profitably scaled in global hardware manufacturing, providing a roadmap for sustainable IT design and closed-loop material recovery.</w:t>
      </w:r>
    </w:p>
    <w:p w14:paraId="5454E6FF">
      <w:pPr>
        <w:pStyle w:val="3"/>
        <w:keepNext/>
        <w:spacing w:before="280" w:after="120"/>
      </w:pPr>
      <w:r>
        <w:rPr>
          <w:rFonts w:ascii="Calibri" w:hAnsi="Calibri"/>
          <w:b/>
          <w:color w:val="2E75B6"/>
          <w:sz w:val="28"/>
        </w:rPr>
        <w:t>9. References</w:t>
      </w:r>
    </w:p>
    <w:p w14:paraId="6E0E63CF">
      <w:pPr>
        <w:pStyle w:val="23"/>
        <w:spacing w:before="40" w:after="80" w:line="276" w:lineRule="auto"/>
      </w:pPr>
      <w:r>
        <w:rPr>
          <w:rFonts w:ascii="Calibri" w:hAnsi="Calibri"/>
          <w:b/>
          <w:color w:val="1B365D"/>
          <w:sz w:val="22"/>
        </w:rPr>
        <w:t xml:space="preserve">Dell Technologies. </w:t>
      </w:r>
      <w:r>
        <w:rPr>
          <w:rFonts w:ascii="Calibri" w:hAnsi="Calibri"/>
          <w:color w:val="222222"/>
          <w:sz w:val="22"/>
        </w:rPr>
        <w:t>'Progress Made Real: Environmental, Social, and Governance (ESG) Report.' 2024.</w:t>
      </w:r>
    </w:p>
    <w:p w14:paraId="4A86B5E7">
      <w:pPr>
        <w:pStyle w:val="23"/>
        <w:spacing w:before="40" w:after="80" w:line="276" w:lineRule="auto"/>
      </w:pPr>
      <w:r>
        <w:rPr>
          <w:rFonts w:ascii="Calibri" w:hAnsi="Calibri"/>
          <w:b/>
          <w:color w:val="1B365D"/>
          <w:sz w:val="22"/>
        </w:rPr>
        <w:t xml:space="preserve">Ellen MacArthur Foundation. </w:t>
      </w:r>
      <w:r>
        <w:rPr>
          <w:rFonts w:ascii="Calibri" w:hAnsi="Calibri"/>
          <w:color w:val="222222"/>
          <w:sz w:val="22"/>
        </w:rPr>
        <w:t>'Circular Economy Case Study: Dell Closed-Loop Plastics.' 2023.</w:t>
      </w:r>
    </w:p>
    <w:p w14:paraId="6113616B">
      <w:r>
        <w:br w:type="page"/>
      </w:r>
    </w:p>
    <w:p w14:paraId="5CC3686A">
      <w:pPr>
        <w:pStyle w:val="3"/>
        <w:keepNext/>
        <w:spacing w:before="280" w:after="120"/>
      </w:pPr>
      <w:r>
        <w:rPr>
          <w:rFonts w:ascii="Calibri" w:hAnsi="Calibri"/>
          <w:b/>
          <w:color w:val="2E75B6"/>
          <w:sz w:val="28"/>
        </w:rPr>
        <w:t>11. One-Page Exam Revision Sheet — Topic 10</w:t>
      </w:r>
    </w:p>
    <w:tbl>
      <w:tblPr>
        <w:tblStyle w:val="12"/>
        <w:tblW w:w="0" w:type="auto"/>
        <w:jc w:val="center"/>
        <w:tblLayout w:type="fixed"/>
        <w:tblCellMar>
          <w:top w:w="0" w:type="dxa"/>
          <w:left w:w="108" w:type="dxa"/>
          <w:bottom w:w="0" w:type="dxa"/>
          <w:right w:w="108" w:type="dxa"/>
        </w:tblCellMar>
      </w:tblPr>
      <w:tblGrid>
        <w:gridCol w:w="9360"/>
      </w:tblGrid>
      <w:tr w14:paraId="465DA414">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3A58D1EB">
            <w:pPr>
              <w:spacing w:before="40" w:after="40" w:line="276" w:lineRule="auto"/>
            </w:pPr>
            <w:r>
              <w:rPr>
                <w:rFonts w:ascii="Calibri" w:hAnsi="Calibri"/>
                <w:b/>
                <w:color w:val="1B365D"/>
                <w:sz w:val="22"/>
              </w:rPr>
              <w:t>📌 EXAM SUMMARY &amp; RAPID RECALL GUIDE</w:t>
            </w:r>
            <w:r>
              <w:rPr>
                <w:rFonts w:ascii="Calibri" w:hAnsi="Calibri"/>
                <w:b/>
                <w:color w:val="1B365D"/>
                <w:sz w:val="22"/>
              </w:rPr>
              <w:br w:type="textWrapping"/>
            </w:r>
            <w:r>
              <w:rPr>
                <w:rFonts w:ascii="Calibri" w:hAnsi="Calibri"/>
                <w:i/>
                <w:color w:val="333333"/>
                <w:sz w:val="21"/>
              </w:rPr>
              <w:t>Quick reference guide for Environmental Engineering exams covering Dell's Circular Economy Strategy.</w:t>
            </w:r>
          </w:p>
        </w:tc>
      </w:tr>
    </w:tbl>
    <w:p w14:paraId="6ECB76F5">
      <w:pPr>
        <w:spacing w:before="0" w:after="120"/>
      </w:pPr>
    </w:p>
    <w:p w14:paraId="6EDFC278">
      <w:pPr>
        <w:spacing w:before="0" w:after="120" w:line="276" w:lineRule="auto"/>
        <w:jc w:val="left"/>
      </w:pPr>
      <w:r>
        <w:rPr>
          <w:rFonts w:ascii="Calibri" w:hAnsi="Calibri"/>
          <w:b/>
          <w:color w:val="1B365D"/>
          <w:sz w:val="22"/>
        </w:rPr>
        <w:t xml:space="preserve">Core Concept &amp; Takeaway: </w:t>
      </w:r>
      <w:r>
        <w:rPr>
          <w:rFonts w:ascii="Calibri" w:hAnsi="Calibri"/>
          <w:i w:val="0"/>
          <w:color w:val="222222"/>
          <w:sz w:val="22"/>
        </w:rPr>
        <w:t>Dell is a global corporate pioneer in closed-loop manufacturing, recovering &gt;2.5 billion lbs of WEEE, pioneering closed-loop plastics/aluminum, and targetting 1-for-1 product recycling by 2030.</w:t>
      </w:r>
    </w:p>
    <w:p w14:paraId="3A188893">
      <w:pPr>
        <w:pStyle w:val="4"/>
        <w:keepNext/>
        <w:spacing w:before="200" w:after="80"/>
      </w:pPr>
      <w:r>
        <w:rPr>
          <w:rFonts w:ascii="Calibri" w:hAnsi="Calibri"/>
          <w:b/>
          <w:color w:val="333333"/>
          <w:sz w:val="24"/>
        </w:rPr>
        <w:t>Key Statistics &amp; Data Points for High-Scoring Answers:</w:t>
      </w:r>
    </w:p>
    <w:p w14:paraId="239B88DE">
      <w:pPr>
        <w:pStyle w:val="23"/>
        <w:spacing w:before="40" w:after="80" w:line="276" w:lineRule="auto"/>
      </w:pPr>
      <w:r>
        <w:rPr>
          <w:rFonts w:ascii="Calibri" w:hAnsi="Calibri"/>
          <w:b/>
          <w:color w:val="1B365D"/>
          <w:sz w:val="22"/>
        </w:rPr>
        <w:t xml:space="preserve">Cumulative Waste Recovered: </w:t>
      </w:r>
      <w:r>
        <w:rPr>
          <w:rFonts w:ascii="Calibri" w:hAnsi="Calibri"/>
          <w:color w:val="222222"/>
          <w:sz w:val="22"/>
        </w:rPr>
        <w:t>&gt; 2.5 Billion lbs (1.13 Million metric tonnes) since 2007</w:t>
      </w:r>
    </w:p>
    <w:p w14:paraId="0A985597">
      <w:pPr>
        <w:pStyle w:val="23"/>
        <w:spacing w:before="40" w:after="80" w:line="276" w:lineRule="auto"/>
      </w:pPr>
      <w:r>
        <w:rPr>
          <w:rFonts w:ascii="Calibri" w:hAnsi="Calibri"/>
          <w:b/>
          <w:color w:val="1B365D"/>
          <w:sz w:val="22"/>
        </w:rPr>
        <w:t xml:space="preserve">2030 Moonshot Goals: </w:t>
      </w:r>
      <w:r>
        <w:rPr>
          <w:rFonts w:ascii="Calibri" w:hAnsi="Calibri"/>
          <w:color w:val="222222"/>
          <w:sz w:val="22"/>
        </w:rPr>
        <w:t>1-for-1 recycling for every product sold; 100% recycled/renewable packaging</w:t>
      </w:r>
    </w:p>
    <w:p w14:paraId="20DD9426">
      <w:pPr>
        <w:pStyle w:val="23"/>
        <w:spacing w:before="40" w:after="80" w:line="276" w:lineRule="auto"/>
      </w:pPr>
      <w:r>
        <w:rPr>
          <w:rFonts w:ascii="Calibri" w:hAnsi="Calibri"/>
          <w:b/>
          <w:color w:val="1B365D"/>
          <w:sz w:val="22"/>
        </w:rPr>
        <w:t xml:space="preserve">Dell Reconnect Partnership: </w:t>
      </w:r>
      <w:r>
        <w:rPr>
          <w:rFonts w:ascii="Calibri" w:hAnsi="Calibri"/>
          <w:color w:val="222222"/>
          <w:sz w:val="22"/>
        </w:rPr>
        <w:t>Free consumer take-back across 2,000+ Goodwill locations</w:t>
      </w:r>
    </w:p>
    <w:p w14:paraId="37C1DF78">
      <w:pPr>
        <w:pStyle w:val="23"/>
        <w:spacing w:before="40" w:after="80" w:line="276" w:lineRule="auto"/>
      </w:pPr>
      <w:r>
        <w:rPr>
          <w:rFonts w:ascii="Calibri" w:hAnsi="Calibri"/>
          <w:b/>
          <w:color w:val="1B365D"/>
          <w:sz w:val="22"/>
        </w:rPr>
        <w:t xml:space="preserve">Modular Innovation: </w:t>
      </w:r>
      <w:r>
        <w:rPr>
          <w:rFonts w:ascii="Calibri" w:hAnsi="Calibri"/>
          <w:color w:val="222222"/>
          <w:sz w:val="22"/>
        </w:rPr>
        <w:t>Concept Luna prototype reducing screws to 4 for &lt;3 minute disassembly</w:t>
      </w:r>
    </w:p>
    <w:p w14:paraId="52501A00">
      <w:pPr>
        <w:pStyle w:val="4"/>
        <w:keepNext/>
        <w:spacing w:before="200" w:after="80"/>
      </w:pPr>
      <w:r>
        <w:rPr>
          <w:rFonts w:ascii="Calibri" w:hAnsi="Calibri"/>
          <w:b/>
          <w:color w:val="333333"/>
          <w:sz w:val="24"/>
        </w:rPr>
        <w:t>Statutory Frameworks &amp; Key Terminology:</w:t>
      </w:r>
    </w:p>
    <w:p w14:paraId="2A5259E9">
      <w:pPr>
        <w:pStyle w:val="23"/>
        <w:spacing w:before="40" w:after="80" w:line="276" w:lineRule="auto"/>
      </w:pPr>
      <w:r>
        <w:rPr>
          <w:rFonts w:ascii="Calibri" w:hAnsi="Calibri"/>
          <w:b/>
          <w:color w:val="1B365D"/>
          <w:sz w:val="22"/>
        </w:rPr>
        <w:t xml:space="preserve">Design for Environment (DfE): </w:t>
      </w:r>
      <w:r>
        <w:rPr>
          <w:rFonts w:ascii="Calibri" w:hAnsi="Calibri"/>
          <w:color w:val="222222"/>
          <w:sz w:val="22"/>
        </w:rPr>
        <w:t>Engineering philosophy prioritizing easy dismantling, repair, and recycling.</w:t>
      </w:r>
    </w:p>
    <w:p w14:paraId="1DC526A8">
      <w:pPr>
        <w:pStyle w:val="23"/>
        <w:spacing w:before="40" w:after="80" w:line="276" w:lineRule="auto"/>
      </w:pPr>
      <w:r>
        <w:rPr>
          <w:rFonts w:ascii="Calibri" w:hAnsi="Calibri"/>
          <w:b/>
          <w:color w:val="1B365D"/>
          <w:sz w:val="22"/>
        </w:rPr>
        <w:t xml:space="preserve">Closed-Loop Plastics: </w:t>
      </w:r>
      <w:r>
        <w:rPr>
          <w:rFonts w:ascii="Calibri" w:hAnsi="Calibri"/>
          <w:color w:val="222222"/>
          <w:sz w:val="22"/>
        </w:rPr>
        <w:t>Recycling post-consumer electronic plastics directly into new computer parts.</w:t>
      </w:r>
    </w:p>
    <w:p w14:paraId="765C0089">
      <w:pPr>
        <w:pStyle w:val="23"/>
        <w:spacing w:before="40" w:after="80" w:line="276" w:lineRule="auto"/>
      </w:pPr>
      <w:r>
        <w:rPr>
          <w:rFonts w:ascii="Calibri" w:hAnsi="Calibri"/>
          <w:b/>
          <w:color w:val="1B365D"/>
          <w:sz w:val="22"/>
        </w:rPr>
        <w:t xml:space="preserve">Concept Luna: </w:t>
      </w:r>
      <w:r>
        <w:rPr>
          <w:rFonts w:ascii="Calibri" w:hAnsi="Calibri"/>
          <w:color w:val="222222"/>
          <w:sz w:val="22"/>
        </w:rPr>
        <w:t>Dell's modular laptop prototype designed for rapid automated repairability.</w:t>
      </w:r>
    </w:p>
    <w:p w14:paraId="090A2D2E">
      <w:pPr>
        <w:pStyle w:val="4"/>
        <w:keepNext/>
        <w:spacing w:before="200" w:after="80"/>
      </w:pPr>
      <w:r>
        <w:rPr>
          <w:rFonts w:ascii="Calibri" w:hAnsi="Calibri"/>
          <w:b/>
          <w:color w:val="333333"/>
          <w:sz w:val="24"/>
        </w:rPr>
        <w:t>Expected Exam Questions &amp; Analytical Points:</w:t>
      </w:r>
    </w:p>
    <w:p w14:paraId="76CBE4C6">
      <w:pPr>
        <w:spacing w:before="40" w:after="80" w:line="276" w:lineRule="auto"/>
        <w:jc w:val="left"/>
      </w:pPr>
      <w:r>
        <w:rPr>
          <w:rFonts w:ascii="Calibri" w:hAnsi="Calibri"/>
          <w:b/>
          <w:color w:val="1B365D"/>
          <w:sz w:val="22"/>
        </w:rPr>
        <w:t xml:space="preserve">Q1: </w:t>
      </w:r>
      <w:r>
        <w:rPr>
          <w:rFonts w:ascii="Calibri" w:hAnsi="Calibri"/>
          <w:i w:val="0"/>
          <w:color w:val="222222"/>
          <w:sz w:val="22"/>
        </w:rPr>
        <w:t>How does Dell's closed-loop plastics supply chain differ from traditional open-loop recycling?</w:t>
      </w:r>
    </w:p>
    <w:p w14:paraId="6BE0641B">
      <w:pPr>
        <w:spacing w:before="40" w:after="80" w:line="276" w:lineRule="auto"/>
        <w:jc w:val="left"/>
      </w:pPr>
      <w:r>
        <w:rPr>
          <w:rFonts w:ascii="Calibri" w:hAnsi="Calibri"/>
          <w:b/>
          <w:color w:val="1B365D"/>
          <w:sz w:val="22"/>
        </w:rPr>
        <w:t xml:space="preserve">Q2: </w:t>
      </w:r>
      <w:r>
        <w:rPr>
          <w:rFonts w:ascii="Calibri" w:hAnsi="Calibri"/>
          <w:i w:val="0"/>
          <w:color w:val="222222"/>
          <w:sz w:val="22"/>
        </w:rPr>
        <w:t>Explain the principles of Design for Environment (DfE) demonstrated in Dell's Concept Luna project.</w:t>
      </w:r>
    </w:p>
    <w:p w14:paraId="36AFC92B">
      <w:pPr>
        <w:spacing w:before="40" w:after="80" w:line="276" w:lineRule="auto"/>
        <w:jc w:val="left"/>
      </w:pPr>
      <w:r>
        <w:rPr>
          <w:rFonts w:ascii="Calibri" w:hAnsi="Calibri"/>
          <w:b/>
          <w:color w:val="1B365D"/>
          <w:sz w:val="22"/>
        </w:rPr>
        <w:t xml:space="preserve">Q3: </w:t>
      </w:r>
      <w:r>
        <w:rPr>
          <w:rFonts w:ascii="Calibri" w:hAnsi="Calibri"/>
          <w:i w:val="0"/>
          <w:color w:val="222222"/>
          <w:sz w:val="22"/>
        </w:rPr>
        <w:t>Analyze Dell's 2030 Moonshot Goals and their strategic importance for corporate ESG compliance.</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09F1A">
    <w:pPr>
      <w:pStyle w:val="18"/>
      <w:jc w:val="center"/>
    </w:pPr>
    <w:r>
      <w:rPr>
        <w:rFonts w:ascii="Calibri" w:hAnsi="Calibri"/>
        <w:color w:val="666666"/>
        <w:sz w:val="18"/>
      </w:rPr>
      <w:t xml:space="preserve">Page </w:t>
    </w:r>
    <w:r>
      <w:rPr>
        <w:rFonts w:ascii="Calibri" w:hAnsi="Calibri"/>
        <w:color w:val="666666"/>
        <w:sz w:val="18"/>
      </w:rPr>
      <w:fldChar w:fldCharType="begin"/>
    </w:r>
    <w:r>
      <w:rPr>
        <w:rFonts w:ascii="Calibri" w:hAnsi="Calibri"/>
        <w:color w:val="666666"/>
        <w:sz w:val="18"/>
      </w:rPr>
      <w:instrText xml:space="preserve">PAGE</w:instrText>
    </w:r>
    <w:r>
      <w:rPr>
        <w:rFonts w:ascii="Calibri" w:hAnsi="Calibri"/>
        <w:color w:val="666666"/>
        <w:sz w:val="18"/>
      </w:rPr>
      <w:fldChar w:fldCharType="separate"/>
    </w:r>
    <w:r>
      <w:rPr>
        <w:rFonts w:ascii="Calibri" w:hAnsi="Calibri"/>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7D50A">
    <w:pPr>
      <w:pStyle w:val="19"/>
      <w:jc w:val="right"/>
    </w:pPr>
    <w:r>
      <w:rPr>
        <w:rFonts w:ascii="Calibri" w:hAnsi="Calibri"/>
        <w:color w:val="888888"/>
        <w:sz w:val="17"/>
      </w:rPr>
      <w:t>Global Waste Management &amp; Recycling Case Studies | TE Environmental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F838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customXml" Target="../customXml/item4.xml"/><Relationship Id="rId3" Type="http://schemas.openxmlformats.org/officeDocument/2006/relationships/footnotes" Target="footnotes.xml"/><Relationship Id="rId7" Type="http://schemas.openxmlformats.org/officeDocument/2006/relationships/theme" Target="theme/theme1.xml"/><Relationship Id="rId12" Type="http://schemas.openxmlformats.org/officeDocument/2006/relationships/customXml" Target="../customXml/item3.xml"/><Relationship Id="rId2" Type="http://schemas.openxmlformats.org/officeDocument/2006/relationships/settings" Target="settings.xml"/><Relationship Id="rId6" Type="http://schemas.openxmlformats.org/officeDocument/2006/relationships/footer" Target="footer1.xml"/><Relationship Id="rId1" Type="http://schemas.openxmlformats.org/officeDocument/2006/relationships/styles" Target="styles.xml"/><Relationship Id="rId11" Type="http://schemas.openxmlformats.org/officeDocument/2006/relationships/customXml" Target="../customXml/item2.xml"/><Relationship Id="rId5" Type="http://schemas.openxmlformats.org/officeDocument/2006/relationships/header" Target="header1.xml"/><Relationship Id="rId10" Type="http://schemas.openxmlformats.org/officeDocument/2006/relationships/fontTable" Target="fontTable.xml"/><Relationship Id="rId9" Type="http://schemas.openxmlformats.org/officeDocument/2006/relationships/customXml" Target="../customXml/item1.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73F4DC01-4457-46B5-9C8F-528D90881629}"/>
</file>

<file path=customXml/itemProps3.xml><?xml version="1.0" encoding="utf-8"?>
<ds:datastoreItem xmlns:ds="http://schemas.openxmlformats.org/officeDocument/2006/customXml" ds:itemID="{8B31F820-13F0-40F0-9DBF-3FB328AF8729}"/>
</file>

<file path=customXml/itemProps4.xml><?xml version="1.0" encoding="utf-8"?>
<ds:datastoreItem xmlns:ds="http://schemas.openxmlformats.org/officeDocument/2006/customXml" ds:itemID="{21F8C65D-8C1A-4F71-BCBA-21E37ECE6E03}"/>
</file>

<file path=docProps/app.xml><?xml version="1.0" encoding="utf-8"?>
<Properties xmlns="http://schemas.openxmlformats.org/officeDocument/2006/extended-properties" xmlns:vt="http://schemas.openxmlformats.org/officeDocument/2006/docPropsVTypes">
  <Template>Normal.dotm</Template>
  <Pages>43</Pages>
  <Words>9427</Words>
  <Characters>62380</Characters>
  <Lines>0</Lines>
  <Paragraphs>0</Paragraphs>
  <TotalTime>2</TotalTime>
  <ScaleCrop>false</ScaleCrop>
  <LinksUpToDate>false</LinksUpToDate>
  <CharactersWithSpaces>70975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Tejas pawar</cp:lastModifiedBy>
  <cp:revision>1</cp:revision>
  <dcterms:created xsi:type="dcterms:W3CDTF">2013-12-23T23:15:00Z</dcterms:created>
  <dcterms:modified xsi:type="dcterms:W3CDTF">2026-10-04T17:44:43Z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eyJoZGlkIjoiNGE3MzE5N2U0ZWI1NmRjYzgwMWY2MmYxNTdmMWI1YWYiLCJ1c2VySWQiOiI1Njc2MDc2MDI3OTIifQ==</vt:lpwstr>
  </property>
  <property fmtid="{D5CDD505-2E9C-101B-9397-08002B2CF9AE}" pid="3" name="KSOProductBuildVer">
    <vt:lpwstr>1033-12.1.0.28485</vt:lpwstr>
  </property>
  <property fmtid="{D5CDD505-2E9C-101B-9397-08002B2CF9AE}" pid="4" name="ICV">
    <vt:lpwstr>6169B6E9613C432F8E3016E5DDC07FAA_13</vt:lpwstr>
  </property>
  <property fmtid="{D5CDD505-2E9C-101B-9397-08002B2CF9AE}" pid="5" name="ContentTypeId">
    <vt:lpwstr>0x01010029E45BCADE012848BADD84F0F5519C36</vt:lpwstr>
  </property>
</Properties>
</file>