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jc w:val="center"/>
        <w:rPr/>
      </w:pPr>
      <w:r w:rsidDel="00000000" w:rsidR="00000000" w:rsidRPr="00000000">
        <w:rPr>
          <w:rFonts w:ascii="Times New Roman" w:cs="Times New Roman" w:eastAsia="Times New Roman" w:hAnsi="Times New Roman"/>
          <w:b w:val="1"/>
          <w:bCs w:val="1"/>
          <w:sz w:val="40"/>
          <w:szCs w:val="40"/>
          <w:rtl w:val="0"/>
        </w:rPr>
        <w:t xml:space="preserve">Nodes and Nations:</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Times New Roman" w:cs="Times New Roman" w:eastAsia="Times New Roman" w:hAnsi="Times New Roman"/>
          <w:b w:val="1"/>
          <w:bCs w:val="1"/>
          <w:sz w:val="36"/>
          <w:szCs w:val="36"/>
          <w:rtl w:val="0"/>
        </w:rPr>
        <w:t xml:space="preserve">A Complex Network Study of Global Migration</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0"/>
                <w:szCs w:val="20"/>
                <w:rtl w:val="0"/>
              </w:rPr>
              <w:t xml:space="preserve">Aditya Yadav</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20"/>
                <w:szCs w:val="20"/>
                <w:rtl w:val="0"/>
              </w:rPr>
              <w:t xml:space="preserve">Jaswinder Singh</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20"/>
                <w:szCs w:val="20"/>
                <w:rtl w:val="0"/>
              </w:rPr>
              <w:t xml:space="preserve">Dipanjan Mondal</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sz w:val="20"/>
                <w:szCs w:val="20"/>
                <w:rtl w:val="0"/>
              </w:rPr>
              <w:t xml:space="preserve">Praveen Kumar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i w:val="1"/>
                <w:iCs w:val="1"/>
                <w:sz w:val="20"/>
                <w:szCs w:val="20"/>
                <w:rtl w:val="0"/>
              </w:rPr>
              <w:t xml:space="preserve">Network Science (CSL601)</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i w:val="1"/>
                <w:iCs w:val="1"/>
                <w:sz w:val="20"/>
                <w:szCs w:val="20"/>
                <w:rtl w:val="0"/>
              </w:rPr>
              <w:t xml:space="preserve">Winter 2025–26</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i w:val="1"/>
                <w:iCs w:val="1"/>
                <w:sz w:val="20"/>
                <w:szCs w:val="20"/>
                <w:rtl w:val="0"/>
              </w:rPr>
              <w:t xml:space="preserve">Instructor: Dr. Rishi Ranjan Singh</w:t>
            </w:r>
            <w:r w:rsidDel="00000000" w:rsidR="00000000" w:rsidRPr="00000000">
              <w:rPr>
                <w:rtl w:val="0"/>
              </w:rPr>
            </w:r>
          </w:p>
        </w:tc>
      </w:tr>
    </w:tbl>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pBdr>
          <w:bottom w:color="2e74b5" w:space="1" w:sz="4" w:val="single"/>
        </w:pBdr>
        <w:spacing w:after="60" w:before="60" w:lineRule="auto"/>
        <w:rPr/>
      </w:pPr>
      <w:r w:rsidDel="00000000" w:rsidR="00000000" w:rsidRPr="00000000">
        <w:rPr>
          <w:rtl w:val="0"/>
        </w:rPr>
      </w:r>
    </w:p>
    <w:p w:rsidR="00000000" w:rsidDel="00000000" w:rsidP="00000000" w:rsidRDefault="00000000" w:rsidRPr="00000000" w14:paraId="0000000C">
      <w:pPr>
        <w:spacing w:after="80" w:before="160" w:lineRule="auto"/>
        <w:jc w:val="center"/>
        <w:rPr/>
      </w:pPr>
      <w:r w:rsidDel="00000000" w:rsidR="00000000" w:rsidRPr="00000000">
        <w:rPr>
          <w:rFonts w:ascii="Times New Roman" w:cs="Times New Roman" w:eastAsia="Times New Roman" w:hAnsi="Times New Roman"/>
          <w:b w:val="1"/>
          <w:bCs w:val="1"/>
          <w:sz w:val="22"/>
          <w:szCs w:val="22"/>
          <w:rtl w:val="0"/>
        </w:rPr>
        <w:t xml:space="preserve">ABSTRACT</w:t>
      </w:r>
      <w:r w:rsidDel="00000000" w:rsidR="00000000" w:rsidRPr="00000000">
        <w:rPr>
          <w:rtl w:val="0"/>
        </w:rPr>
      </w:r>
    </w:p>
    <w:p w:rsidR="00000000" w:rsidDel="00000000" w:rsidP="00000000" w:rsidRDefault="00000000" w:rsidRPr="00000000" w14:paraId="0000000D">
      <w:pPr>
        <w:spacing w:after="80" w:before="60" w:line="276" w:lineRule="auto"/>
        <w:ind w:left="360" w:right="360" w:firstLine="0"/>
        <w:jc w:val="both"/>
        <w:rPr/>
      </w:pPr>
      <w:r w:rsidDel="00000000" w:rsidR="00000000" w:rsidRPr="00000000">
        <w:rPr>
          <w:rFonts w:ascii="Times New Roman" w:cs="Times New Roman" w:eastAsia="Times New Roman" w:hAnsi="Times New Roman"/>
          <w:sz w:val="20"/>
          <w:szCs w:val="20"/>
          <w:rtl w:val="0"/>
        </w:rPr>
        <w:t xml:space="preserve">This paper presents a comprehensive network science analysis of international migration from 1990 to 2025. We model 286 countries as nodes and bilateral migrant stocks as directed weighted edges, constructing eight temporal snapshots at five-year intervals using UN DESA data enriched with socioeconomic, institutional, and environmental variables. Four centrality metrics — in-degree, out-degree, betweenness, and PageRank — are computed per snapshot to identify migration hubs and transit connectors. Three community detection algorithms (Louvain, Girvan-Newman, and Leiden) are applied and compared using modularity score Q to reveal stable regional migration clusters. A multivariate regression framework quantifies the influence of seven factors — population size, GDP per capita, conflict intensity, unemployment rate, education index, visa openness, and climate vulnerability — on inflow and outflow patterns. Temporal drift analysis using Jaccard similarity tracks structural evolution across geopolitical shocks. Results show the United States as the dominant destination hub by PageRank, while small nations such as Liechtenstein hold surprising betweenness significance. Six major migration communities emerge, shaped by colonial legacy, regional policy, and labor market integration. Population size and GDP per capita are the strongest regression predictors. Interactive Power BI dashboards are designed to make findings accessible for policy and research audiences.</w:t>
      </w:r>
      <w:r w:rsidDel="00000000" w:rsidR="00000000" w:rsidRPr="00000000">
        <w:rPr>
          <w:rtl w:val="0"/>
        </w:rPr>
      </w:r>
    </w:p>
    <w:p w:rsidR="00000000" w:rsidDel="00000000" w:rsidP="00000000" w:rsidRDefault="00000000" w:rsidRPr="00000000" w14:paraId="0000000E">
      <w:pPr>
        <w:spacing w:after="80" w:before="60" w:lineRule="auto"/>
        <w:ind w:left="360" w:right="360" w:firstLine="0"/>
        <w:rPr/>
      </w:pPr>
      <w:r w:rsidDel="00000000" w:rsidR="00000000" w:rsidRPr="00000000">
        <w:rPr>
          <w:rFonts w:ascii="Times New Roman" w:cs="Times New Roman" w:eastAsia="Times New Roman" w:hAnsi="Times New Roman"/>
          <w:b w:val="1"/>
          <w:bCs w:val="1"/>
          <w:i w:val="1"/>
          <w:iCs w:val="1"/>
          <w:sz w:val="20"/>
          <w:szCs w:val="20"/>
          <w:rtl w:val="0"/>
        </w:rPr>
        <w:t xml:space="preserve">Index Terms — </w:t>
      </w:r>
      <w:r w:rsidDel="00000000" w:rsidR="00000000" w:rsidRPr="00000000">
        <w:rPr>
          <w:rFonts w:ascii="Times New Roman" w:cs="Times New Roman" w:eastAsia="Times New Roman" w:hAnsi="Times New Roman"/>
          <w:i w:val="1"/>
          <w:iCs w:val="1"/>
          <w:sz w:val="20"/>
          <w:szCs w:val="20"/>
          <w:rtl w:val="0"/>
        </w:rPr>
        <w:t xml:space="preserve">Complex Networks, International Migration, Community Detection, Centrality Analysis, Louvain Algorithm, Leiden Algorithm, Girvan-Newman, Temporal Network Analysis, Regression Analysis, Power BI.</w:t>
      </w:r>
      <w:r w:rsidDel="00000000" w:rsidR="00000000" w:rsidRPr="00000000">
        <w:rPr>
          <w:rtl w:val="0"/>
        </w:rPr>
      </w:r>
    </w:p>
    <w:p w:rsidR="00000000" w:rsidDel="00000000" w:rsidP="00000000" w:rsidRDefault="00000000" w:rsidRPr="00000000" w14:paraId="0000000F">
      <w:pPr>
        <w:pBdr>
          <w:bottom w:color="2e74b5" w:space="1" w:sz="4" w:val="single"/>
        </w:pBdr>
        <w:spacing w:after="60" w:before="60" w:lineRule="auto"/>
        <w:rPr/>
      </w:pP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pBdr>
          <w:bottom w:color="2e74b5" w:space="2" w:sz="4" w:val="single"/>
        </w:pBdr>
        <w:spacing w:after="120" w:before="240" w:lineRule="auto"/>
        <w:rPr/>
      </w:pPr>
      <w:r w:rsidDel="00000000" w:rsidR="00000000" w:rsidRPr="00000000">
        <w:rPr>
          <w:rFonts w:ascii="Times New Roman" w:cs="Times New Roman" w:eastAsia="Times New Roman" w:hAnsi="Times New Roman"/>
          <w:b w:val="1"/>
          <w:bCs w:val="1"/>
          <w:sz w:val="22"/>
          <w:szCs w:val="22"/>
          <w:rtl w:val="0"/>
        </w:rPr>
        <w:t xml:space="preserve">I. INTRODUCTION</w:t>
      </w:r>
      <w:r w:rsidDel="00000000" w:rsidR="00000000" w:rsidRPr="00000000">
        <w:rPr>
          <w:rtl w:val="0"/>
        </w:rPr>
      </w:r>
    </w:p>
    <w:p w:rsidR="00000000" w:rsidDel="00000000" w:rsidP="00000000" w:rsidRDefault="00000000" w:rsidRPr="00000000" w14:paraId="00000012">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International migration is one of the defining phenomena of the modern world, quietly reshaping the demographics, economies, and geopolitical relationships of nearly every country on Earth. Approximately 281 million people — 3.6% of the global population — currently reside outside their country of birth, and migration flows have more than doubled since 1990. Despite this scale and complexity, migration is rarely studied through the lens of network science, a framework uniquely suited to capturing the web of bilateral flows, indirect corridors, and regional clusters that characterize human movement globally.</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tl w:val="0"/>
        </w:rPr>
      </w:r>
    </w:p>
    <w:p w:rsidR="00000000" w:rsidDel="00000000" w:rsidP="00000000" w:rsidRDefault="00000000" w:rsidRPr="00000000" w14:paraId="00000014">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Traditional migration research relies on bilateral gravity models, aggregate statistics, or region-specific case studies. These approaches obscure the systemic properties that emerge at the global level: Which countries serve as structural connectors between otherwise-isolated migration corridors? Do regional migration communities reflect colonial-era boundaries or contemporary economic realities? How does the global network respond to geopolitical shocks — does it bend, or does it break?</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This project models international migration from 1990 to 2025 as a dynamic, directed, weighted network, where countries are nodes and migration flows are edges. Using bilateral migrant stock data from the United Nations Department of Economic and Social Affairs (UN DESA), enriched with socioeconomic, institutional, and environmental variables, we analyze structural and temporal properties of this network over 35 years. We apply three community detection algorithms to uncover regional migration clusters, conduct centrality and regression analyses to identify key hubs and driving factors, and build interactive Power BI dashboards to make the findings accessible to policy and research audiences.</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The remainder of this paper is organized as follows. Section II outlines the dataset and preprocessing methodology. Section III details network construction. Sections IV through VII present the analytical modules: centrality analysis, community detection, regression analysis, and temporal drift analysis. Section VIII describes the seven migration driver factors. Section IX details the Power BI visualization pipeline. Section X addresses key research questions and application domains. Section XI presents expected outcomes, and Section XII acknowledges limitations with proposed mitigations.</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pBdr>
          <w:bottom w:color="2e74b5" w:space="2" w:sz="4" w:val="single"/>
        </w:pBdr>
        <w:spacing w:after="120" w:before="240" w:lineRule="auto"/>
        <w:rPr/>
      </w:pPr>
      <w:r w:rsidDel="00000000" w:rsidR="00000000" w:rsidRPr="00000000">
        <w:rPr>
          <w:rFonts w:ascii="Times New Roman" w:cs="Times New Roman" w:eastAsia="Times New Roman" w:hAnsi="Times New Roman"/>
          <w:b w:val="1"/>
          <w:bCs w:val="1"/>
          <w:sz w:val="22"/>
          <w:szCs w:val="22"/>
          <w:rtl w:val="0"/>
        </w:rPr>
        <w:t xml:space="preserve">II. DATASET</w:t>
      </w:r>
      <w:r w:rsidDel="00000000" w:rsidR="00000000" w:rsidRPr="00000000">
        <w:rPr>
          <w:rtl w:val="0"/>
        </w:rPr>
      </w:r>
    </w:p>
    <w:p w:rsidR="00000000" w:rsidDel="00000000" w:rsidP="00000000" w:rsidRDefault="00000000" w:rsidRPr="00000000" w14:paraId="0000001B">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Primary Migration Data</w:t>
      </w:r>
      <w:r w:rsidDel="00000000" w:rsidR="00000000" w:rsidRPr="00000000">
        <w:rPr>
          <w:rtl w:val="0"/>
        </w:rPr>
      </w:r>
    </w:p>
    <w:p w:rsidR="00000000" w:rsidDel="00000000" w:rsidP="00000000" w:rsidRDefault="00000000" w:rsidRPr="00000000" w14:paraId="0000001C">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The core dataset is the UN DESA International Migrant Stock series, which records bilateral migrant stocks between approximately 286 countries at five-year intervals. It is structured as a matrix where each cell represents the number of migrants from a given origin country residing in a given destination country at a specific point in time.</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Attribute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Times New Roman" w:cs="Times New Roman" w:eastAsia="Times New Roman" w:hAnsi="Times New Roman"/>
                <w:sz w:val="18"/>
                <w:szCs w:val="18"/>
                <w:rtl w:val="0"/>
              </w:rPr>
              <w:t xml:space="preserve">United Nations DESA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Times New Roman" w:cs="Times New Roman" w:eastAsia="Times New Roman" w:hAnsi="Times New Roman"/>
                <w:b w:val="1"/>
                <w:bCs w:val="1"/>
                <w:sz w:val="18"/>
                <w:szCs w:val="18"/>
                <w:rtl w:val="0"/>
              </w:rPr>
              <w:t xml:space="preserve">Time Period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Times New Roman" w:cs="Times New Roman" w:eastAsia="Times New Roman" w:hAnsi="Times New Roman"/>
                <w:sz w:val="18"/>
                <w:szCs w:val="18"/>
                <w:rtl w:val="0"/>
              </w:rPr>
              <w:t xml:space="preserve">1990–2020 (5-year intervals), extended to 2025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Times New Roman" w:cs="Times New Roman" w:eastAsia="Times New Roman" w:hAnsi="Times New Roman"/>
                <w:b w:val="1"/>
                <w:bCs w:val="1"/>
                <w:sz w:val="18"/>
                <w:szCs w:val="18"/>
                <w:rtl w:val="0"/>
              </w:rPr>
              <w:t xml:space="preserve">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Times New Roman" w:cs="Times New Roman" w:eastAsia="Times New Roman" w:hAnsi="Times New Roman"/>
                <w:sz w:val="18"/>
                <w:szCs w:val="18"/>
                <w:rtl w:val="0"/>
              </w:rPr>
              <w:t xml:space="preserve">Matrix-style CSV (origin × destination × year)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Times New Roman" w:cs="Times New Roman" w:eastAsia="Times New Roman" w:hAnsi="Times New Roman"/>
                <w:b w:val="1"/>
                <w:bCs w:val="1"/>
                <w:sz w:val="18"/>
                <w:szCs w:val="18"/>
                <w:rtl w:val="0"/>
              </w:rPr>
              <w:t xml:space="preserve">Coverage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Times New Roman" w:cs="Times New Roman" w:eastAsia="Times New Roman" w:hAnsi="Times New Roman"/>
                <w:sz w:val="18"/>
                <w:szCs w:val="18"/>
                <w:rtl w:val="0"/>
              </w:rPr>
              <w:t xml:space="preserve">286 countries and territories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b w:val="1"/>
                <w:bCs w:val="1"/>
                <w:sz w:val="18"/>
                <w:szCs w:val="18"/>
                <w:rtl w:val="0"/>
              </w:rPr>
              <w:t xml:space="preserve">2021–25 Gap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Times New Roman" w:cs="Times New Roman" w:eastAsia="Times New Roman" w:hAnsi="Times New Roman"/>
                <w:sz w:val="18"/>
                <w:szCs w:val="18"/>
                <w:rtl w:val="0"/>
              </w:rPr>
              <w:t xml:space="preserve">IOM World Migration Report 2024 estimates + UNHCR displacement data; log-linear extrapolation where official figures unavailable; flagged as projections in all outputs</w:t>
            </w:r>
            <w:r w:rsidDel="00000000" w:rsidR="00000000" w:rsidRPr="00000000">
              <w:rPr>
                <w:rtl w:val="0"/>
              </w:rPr>
            </w:r>
          </w:p>
        </w:tc>
      </w:tr>
    </w:tbl>
    <w:p w:rsidR="00000000" w:rsidDel="00000000" w:rsidP="00000000" w:rsidRDefault="00000000" w:rsidRPr="00000000" w14:paraId="0000002A">
      <w:pPr>
        <w:spacing w:after="60" w:before="160" w:lineRule="auto"/>
        <w:jc w:val="center"/>
        <w:rPr/>
      </w:pPr>
      <w:r w:rsidDel="00000000" w:rsidR="00000000" w:rsidRPr="00000000">
        <w:rPr>
          <w:rFonts w:ascii="Times New Roman" w:cs="Times New Roman" w:eastAsia="Times New Roman" w:hAnsi="Times New Roman"/>
          <w:b w:val="1"/>
          <w:bCs w:val="1"/>
          <w:sz w:val="18"/>
          <w:szCs w:val="18"/>
          <w:rtl w:val="0"/>
        </w:rPr>
        <w:t xml:space="preserve">TABLE I: Primary Dataset Attributes</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Supplementary Factor Datasets</w:t>
      </w:r>
      <w:r w:rsidDel="00000000" w:rsidR="00000000" w:rsidRPr="00000000">
        <w:rPr>
          <w:rtl w:val="0"/>
        </w:rPr>
      </w:r>
    </w:p>
    <w:p w:rsidR="00000000" w:rsidDel="00000000" w:rsidP="00000000" w:rsidRDefault="00000000" w:rsidRPr="00000000" w14:paraId="0000002D">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Seven supplementary datasets are integrated to enable multivariate regression analysis of migration determinants. All datasets are standardized using ISO3 country codes and merged on (destination_ISO3, origin_ISO3, year). Missing values are handled per variable: conflict and disaster values are filled with zero where absent; GDP, population, and index values are left as NaN and excluded from relevant regression terms.</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Factor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Indicator / Dataset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Times New Roman" w:cs="Times New Roman" w:eastAsia="Times New Roman" w:hAnsi="Times New Roman"/>
                <w:b w:val="1"/>
                <w:bCs w:val="1"/>
                <w:sz w:val="18"/>
                <w:szCs w:val="18"/>
                <w:rtl w:val="0"/>
              </w:rPr>
              <w:t xml:space="preserve">GDP per Capita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Times New Roman" w:cs="Times New Roman" w:eastAsia="Times New Roman" w:hAnsi="Times New Roman"/>
                <w:sz w:val="18"/>
                <w:szCs w:val="18"/>
                <w:rtl w:val="0"/>
              </w:rPr>
              <w:t xml:space="preserve">World Bank WDI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Times New Roman" w:cs="Times New Roman" w:eastAsia="Times New Roman" w:hAnsi="Times New Roman"/>
                <w:sz w:val="18"/>
                <w:szCs w:val="18"/>
                <w:rtl w:val="0"/>
              </w:rPr>
              <w:t xml:space="preserve">NY.GDP.PCAP.CD, Annual per country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Times New Roman" w:cs="Times New Roman" w:eastAsia="Times New Roman" w:hAnsi="Times New Roman"/>
                <w:b w:val="1"/>
                <w:bCs w:val="1"/>
                <w:sz w:val="18"/>
                <w:szCs w:val="18"/>
                <w:rtl w:val="0"/>
              </w:rPr>
              <w:t xml:space="preserve">Conflict Intensity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Times New Roman" w:cs="Times New Roman" w:eastAsia="Times New Roman" w:hAnsi="Times New Roman"/>
                <w:sz w:val="18"/>
                <w:szCs w:val="18"/>
                <w:rtl w:val="0"/>
              </w:rPr>
              <w:t xml:space="preserve">UCDP / ACLED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sz w:val="18"/>
                <w:szCs w:val="18"/>
                <w:rtl w:val="0"/>
              </w:rPr>
              <w:t xml:space="preserve">Armed conflict events and intensity scores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Times New Roman" w:cs="Times New Roman" w:eastAsia="Times New Roman" w:hAnsi="Times New Roman"/>
                <w:b w:val="1"/>
                <w:bCs w:val="1"/>
                <w:sz w:val="18"/>
                <w:szCs w:val="18"/>
                <w:rtl w:val="0"/>
              </w:rPr>
              <w:t xml:space="preserve">Unemployment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Times New Roman" w:cs="Times New Roman" w:eastAsia="Times New Roman" w:hAnsi="Times New Roman"/>
                <w:sz w:val="18"/>
                <w:szCs w:val="18"/>
                <w:rtl w:val="0"/>
              </w:rPr>
              <w:t xml:space="preserve">World Bank WDI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Times New Roman" w:cs="Times New Roman" w:eastAsia="Times New Roman" w:hAnsi="Times New Roman"/>
                <w:sz w:val="18"/>
                <w:szCs w:val="18"/>
                <w:rtl w:val="0"/>
              </w:rPr>
              <w:t xml:space="preserve">SL.UEM.TOTL.ZS (% of labor force)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Times New Roman" w:cs="Times New Roman" w:eastAsia="Times New Roman" w:hAnsi="Times New Roman"/>
                <w:b w:val="1"/>
                <w:bCs w:val="1"/>
                <w:sz w:val="18"/>
                <w:szCs w:val="18"/>
                <w:rtl w:val="0"/>
              </w:rPr>
              <w:t xml:space="preserve">Education Index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Times New Roman" w:cs="Times New Roman" w:eastAsia="Times New Roman" w:hAnsi="Times New Roman"/>
                <w:sz w:val="18"/>
                <w:szCs w:val="18"/>
                <w:rtl w:val="0"/>
              </w:rPr>
              <w:t xml:space="preserve">UNDP HDR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Times New Roman" w:cs="Times New Roman" w:eastAsia="Times New Roman" w:hAnsi="Times New Roman"/>
                <w:sz w:val="18"/>
                <w:szCs w:val="18"/>
                <w:rtl w:val="0"/>
              </w:rPr>
              <w:t xml:space="preserve">Education Index component of HDI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Times New Roman" w:cs="Times New Roman" w:eastAsia="Times New Roman" w:hAnsi="Times New Roman"/>
                <w:b w:val="1"/>
                <w:bCs w:val="1"/>
                <w:sz w:val="18"/>
                <w:szCs w:val="18"/>
                <w:rtl w:val="0"/>
              </w:rPr>
              <w:t xml:space="preserve">Visa Openness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Times New Roman" w:cs="Times New Roman" w:eastAsia="Times New Roman" w:hAnsi="Times New Roman"/>
                <w:sz w:val="18"/>
                <w:szCs w:val="18"/>
                <w:rtl w:val="0"/>
              </w:rPr>
              <w:t xml:space="preserve">Henley / MIPEX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Times New Roman" w:cs="Times New Roman" w:eastAsia="Times New Roman" w:hAnsi="Times New Roman"/>
                <w:sz w:val="18"/>
                <w:szCs w:val="18"/>
                <w:rtl w:val="0"/>
              </w:rPr>
              <w:t xml:space="preserve">Henley Passport Index + MIPEX policy scores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Times New Roman" w:cs="Times New Roman" w:eastAsia="Times New Roman" w:hAnsi="Times New Roman"/>
                <w:b w:val="1"/>
                <w:bCs w:val="1"/>
                <w:sz w:val="18"/>
                <w:szCs w:val="18"/>
                <w:rtl w:val="0"/>
              </w:rPr>
              <w:t xml:space="preserve">Climate Vulnerability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Times New Roman" w:cs="Times New Roman" w:eastAsia="Times New Roman" w:hAnsi="Times New Roman"/>
                <w:sz w:val="18"/>
                <w:szCs w:val="18"/>
                <w:rtl w:val="0"/>
              </w:rPr>
              <w:t xml:space="preserve">ND-GAIN / EM-DAT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Times New Roman" w:cs="Times New Roman" w:eastAsia="Times New Roman" w:hAnsi="Times New Roman"/>
                <w:sz w:val="18"/>
                <w:szCs w:val="18"/>
                <w:rtl w:val="0"/>
              </w:rPr>
              <w:t xml:space="preserve">Notre Dame Global Adaptation Index + Disaster Events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Times New Roman" w:cs="Times New Roman" w:eastAsia="Times New Roman" w:hAnsi="Times New Roman"/>
                <w:b w:val="1"/>
                <w:bCs w:val="1"/>
                <w:sz w:val="18"/>
                <w:szCs w:val="18"/>
                <w:rtl w:val="0"/>
              </w:rPr>
              <w:t xml:space="preserve">Population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Times New Roman" w:cs="Times New Roman" w:eastAsia="Times New Roman" w:hAnsi="Times New Roman"/>
                <w:sz w:val="18"/>
                <w:szCs w:val="18"/>
                <w:rtl w:val="0"/>
              </w:rPr>
              <w:t xml:space="preserve">World Bank WDI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sz w:val="18"/>
                <w:szCs w:val="18"/>
                <w:rtl w:val="0"/>
              </w:rPr>
              <w:t xml:space="preserve">SP.POP.TOTL, Annual per country</w:t>
            </w:r>
            <w:r w:rsidDel="00000000" w:rsidR="00000000" w:rsidRPr="00000000">
              <w:rPr>
                <w:rtl w:val="0"/>
              </w:rPr>
            </w:r>
          </w:p>
        </w:tc>
      </w:tr>
    </w:tbl>
    <w:p w:rsidR="00000000" w:rsidDel="00000000" w:rsidP="00000000" w:rsidRDefault="00000000" w:rsidRPr="00000000" w14:paraId="00000047">
      <w:pPr>
        <w:spacing w:after="60" w:before="160" w:lineRule="auto"/>
        <w:jc w:val="center"/>
        <w:rPr/>
      </w:pPr>
      <w:r w:rsidDel="00000000" w:rsidR="00000000" w:rsidRPr="00000000">
        <w:rPr>
          <w:rFonts w:ascii="Times New Roman" w:cs="Times New Roman" w:eastAsia="Times New Roman" w:hAnsi="Times New Roman"/>
          <w:b w:val="1"/>
          <w:bCs w:val="1"/>
          <w:sz w:val="18"/>
          <w:szCs w:val="18"/>
          <w:rtl w:val="0"/>
        </w:rPr>
        <w:t xml:space="preserve">TABLE II: Supplementary Factor Datasets</w:t>
      </w:r>
      <w:r w:rsidDel="00000000" w:rsidR="00000000" w:rsidRPr="00000000">
        <w:rPr>
          <w:rtl w:val="0"/>
        </w:rPr>
      </w:r>
    </w:p>
    <w:p w:rsidR="00000000" w:rsidDel="00000000" w:rsidP="00000000" w:rsidRDefault="00000000" w:rsidRPr="00000000" w14:paraId="00000048">
      <w:pPr>
        <w:spacing w:after="60" w:before="60" w:lineRule="auto"/>
        <w:rPr/>
      </w:pPr>
      <w:r w:rsidDel="00000000" w:rsidR="00000000" w:rsidRPr="00000000">
        <w:rPr>
          <w:rtl w:val="0"/>
        </w:rPr>
      </w:r>
    </w:p>
    <w:p w:rsidR="00000000" w:rsidDel="00000000" w:rsidP="00000000" w:rsidRDefault="00000000" w:rsidRPr="00000000" w14:paraId="00000049">
      <w:pPr>
        <w:pBdr>
          <w:bottom w:color="2e74b5" w:space="2" w:sz="4" w:val="single"/>
        </w:pBdr>
        <w:spacing w:after="120" w:before="240" w:lineRule="auto"/>
        <w:rPr/>
      </w:pPr>
      <w:r w:rsidDel="00000000" w:rsidR="00000000" w:rsidRPr="00000000">
        <w:rPr>
          <w:rFonts w:ascii="Times New Roman" w:cs="Times New Roman" w:eastAsia="Times New Roman" w:hAnsi="Times New Roman"/>
          <w:b w:val="1"/>
          <w:bCs w:val="1"/>
          <w:sz w:val="22"/>
          <w:szCs w:val="22"/>
          <w:rtl w:val="0"/>
        </w:rPr>
        <w:t xml:space="preserve">III. NETWORK CONSTRUCTION</w:t>
      </w:r>
      <w:r w:rsidDel="00000000" w:rsidR="00000000" w:rsidRPr="00000000">
        <w:rPr>
          <w:rtl w:val="0"/>
        </w:rPr>
      </w:r>
    </w:p>
    <w:p w:rsidR="00000000" w:rsidDel="00000000" w:rsidP="00000000" w:rsidRDefault="00000000" w:rsidRPr="00000000" w14:paraId="0000004A">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The migration network is modeled as a directed, weighted graph (DiGraph) using the NetworkX Python library. Each of the eight time snapshots (1990, 1995, 2000, 2005, 2010, 2015, 2020, 2025) yields an independent graph object, enabling temporal comparison. Figure 1 illustrates the conceptual structure of the network.</w:t>
      </w:r>
      <w:r w:rsidDel="00000000" w:rsidR="00000000" w:rsidRPr="00000000">
        <w:rPr>
          <w:rtl w:val="0"/>
        </w:rPr>
      </w:r>
    </w:p>
    <w:p w:rsidR="00000000" w:rsidDel="00000000" w:rsidP="00000000" w:rsidRDefault="00000000" w:rsidRPr="00000000" w14:paraId="0000004B">
      <w:pPr>
        <w:spacing w:after="160" w:before="60" w:lineRule="auto"/>
        <w:jc w:val="left"/>
        <w:rPr/>
      </w:pP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1"/>
                <w:bCs w:val="1"/>
                <w:sz w:val="18"/>
                <w:szCs w:val="18"/>
                <w:rtl w:val="0"/>
              </w:rPr>
              <w:t xml:space="preserve">Graph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sz w:val="18"/>
                <w:szCs w:val="18"/>
                <w:rtl w:val="0"/>
              </w:rPr>
              <w:t xml:space="preserve">Directed Weighted Graph (DiGraph)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1"/>
                <w:bCs w:val="1"/>
                <w:sz w:val="18"/>
                <w:szCs w:val="18"/>
                <w:rtl w:val="0"/>
              </w:rPr>
              <w:t xml:space="preserve">Nodes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sz w:val="18"/>
                <w:szCs w:val="18"/>
                <w:rtl w:val="0"/>
              </w:rPr>
              <w:t xml:space="preserve">Countries and territories (up to 286 unique entities)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b w:val="1"/>
                <w:bCs w:val="1"/>
                <w:sz w:val="18"/>
                <w:szCs w:val="18"/>
                <w:rtl w:val="0"/>
              </w:rPr>
              <w:t xml:space="preserve">Edges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sz w:val="18"/>
                <w:szCs w:val="18"/>
                <w:rtl w:val="0"/>
              </w:rPr>
              <w:t xml:space="preserve">Directed from origin to destination; weight = number of migrants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1"/>
                <w:bCs w:val="1"/>
                <w:sz w:val="18"/>
                <w:szCs w:val="18"/>
                <w:rtl w:val="0"/>
              </w:rPr>
              <w:t xml:space="preserve">Time Snapshots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sz w:val="18"/>
                <w:szCs w:val="18"/>
                <w:rtl w:val="0"/>
              </w:rPr>
              <w:t xml:space="preserve">1990, 1995, 2000, 2005, 2010, 2015, 2020, 2025 (8 snapshots)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1"/>
                <w:bCs w:val="1"/>
                <w:sz w:val="18"/>
                <w:szCs w:val="18"/>
                <w:rtl w:val="0"/>
              </w:rPr>
              <w:t xml:space="preserve">Sparsity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sz w:val="18"/>
                <w:szCs w:val="18"/>
                <w:rtl w:val="0"/>
              </w:rPr>
              <w:t xml:space="preserve">Zero or missing-weight edges excluded; naturally sparse structure preserved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b w:val="1"/>
                <w:bCs w:val="1"/>
                <w:sz w:val="18"/>
                <w:szCs w:val="18"/>
                <w:rtl w:val="0"/>
              </w:rPr>
              <w:t xml:space="preserve">Self-Loops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sz w:val="18"/>
                <w:szCs w:val="18"/>
                <w:rtl w:val="0"/>
              </w:rPr>
              <w:t xml:space="preserve">Excluded (no country-to-itself migration)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b w:val="1"/>
                <w:bCs w:val="1"/>
                <w:sz w:val="18"/>
                <w:szCs w:val="18"/>
                <w:rtl w:val="0"/>
              </w:rPr>
              <w:t xml:space="preserve">Library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sz w:val="18"/>
                <w:szCs w:val="18"/>
                <w:rtl w:val="0"/>
              </w:rPr>
              <w:t xml:space="preserve">NetworkX (Python)</w:t>
            </w:r>
            <w:r w:rsidDel="00000000" w:rsidR="00000000" w:rsidRPr="00000000">
              <w:rPr>
                <w:rtl w:val="0"/>
              </w:rPr>
            </w:r>
          </w:p>
        </w:tc>
      </w:tr>
    </w:tbl>
    <w:p w:rsidR="00000000" w:rsidDel="00000000" w:rsidP="00000000" w:rsidRDefault="00000000" w:rsidRPr="00000000" w14:paraId="0000005D">
      <w:pPr>
        <w:spacing w:after="60" w:before="160" w:lineRule="auto"/>
        <w:jc w:val="center"/>
        <w:rPr/>
      </w:pPr>
      <w:r w:rsidDel="00000000" w:rsidR="00000000" w:rsidRPr="00000000">
        <w:rPr>
          <w:rFonts w:ascii="Times New Roman" w:cs="Times New Roman" w:eastAsia="Times New Roman" w:hAnsi="Times New Roman"/>
          <w:b w:val="1"/>
          <w:bCs w:val="1"/>
          <w:sz w:val="18"/>
          <w:szCs w:val="18"/>
          <w:rtl w:val="0"/>
        </w:rPr>
        <w:t xml:space="preserve">TABLE III: Network Construction Parameters</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tl w:val="0"/>
        </w:rPr>
      </w:r>
    </w:p>
    <w:p w:rsidR="00000000" w:rsidDel="00000000" w:rsidP="00000000" w:rsidRDefault="00000000" w:rsidRPr="00000000" w14:paraId="0000005F">
      <w:pPr>
        <w:pBdr>
          <w:bottom w:color="2e74b5" w:space="2" w:sz="4" w:val="single"/>
        </w:pBdr>
        <w:spacing w:after="120" w:before="240" w:lineRule="auto"/>
        <w:rPr/>
      </w:pPr>
      <w:r w:rsidDel="00000000" w:rsidR="00000000" w:rsidRPr="00000000">
        <w:rPr>
          <w:rFonts w:ascii="Times New Roman" w:cs="Times New Roman" w:eastAsia="Times New Roman" w:hAnsi="Times New Roman"/>
          <w:b w:val="1"/>
          <w:bCs w:val="1"/>
          <w:sz w:val="22"/>
          <w:szCs w:val="22"/>
          <w:rtl w:val="0"/>
        </w:rPr>
        <w:t xml:space="preserve">IV. CENTRALITY ANALYSIS</w:t>
      </w:r>
      <w:r w:rsidDel="00000000" w:rsidR="00000000" w:rsidRPr="00000000">
        <w:rPr>
          <w:rtl w:val="0"/>
        </w:rPr>
      </w:r>
    </w:p>
    <w:p w:rsidR="00000000" w:rsidDel="00000000" w:rsidP="00000000" w:rsidRDefault="00000000" w:rsidRPr="00000000" w14:paraId="00000060">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Four centrality measures are computed for each time snapshot to characterize the role of individual countries in the migration network. Trends are tracked across all eight snapshots to identify countries whose influence has grown, declined, or shifted over the study period.</w:t>
      </w:r>
      <w:r w:rsidDel="00000000" w:rsidR="00000000" w:rsidRPr="00000000">
        <w:rPr>
          <w:rtl w:val="0"/>
        </w:rPr>
      </w:r>
    </w:p>
    <w:p w:rsidR="00000000" w:rsidDel="00000000" w:rsidP="00000000" w:rsidRDefault="00000000" w:rsidRPr="00000000" w14:paraId="00000061">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In-Degree Centrality</w:t>
      </w:r>
      <w:r w:rsidDel="00000000" w:rsidR="00000000" w:rsidRPr="00000000">
        <w:rPr>
          <w:rtl w:val="0"/>
        </w:rPr>
      </w:r>
    </w:p>
    <w:p w:rsidR="00000000" w:rsidDel="00000000" w:rsidP="00000000" w:rsidRDefault="00000000" w:rsidRPr="00000000" w14:paraId="00000062">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In-degree centrality counts the number of distinct source countries sending migrants to a given destination. It identifies the most broadly attractive destinations — those that draw migrants from the widest variety of origins, regardless of volume.</w:t>
      </w:r>
      <w:r w:rsidDel="00000000" w:rsidR="00000000" w:rsidRPr="00000000">
        <w:rPr>
          <w:rtl w:val="0"/>
        </w:rPr>
      </w:r>
    </w:p>
    <w:p w:rsidR="00000000" w:rsidDel="00000000" w:rsidP="00000000" w:rsidRDefault="00000000" w:rsidRPr="00000000" w14:paraId="00000063">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Out-Degree Centrality</w:t>
      </w:r>
      <w:r w:rsidDel="00000000" w:rsidR="00000000" w:rsidRPr="00000000">
        <w:rPr>
          <w:rtl w:val="0"/>
        </w:rPr>
      </w:r>
    </w:p>
    <w:p w:rsidR="00000000" w:rsidDel="00000000" w:rsidP="00000000" w:rsidRDefault="00000000" w:rsidRPr="00000000" w14:paraId="00000064">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Out-degree centrality counts the number of distinct destination countries receiving migrants from a given origin. It identifies the most globally dispersed emigrant sources — countries whose populations spread across many different destinations simultaneously.</w:t>
      </w:r>
      <w:r w:rsidDel="00000000" w:rsidR="00000000" w:rsidRPr="00000000">
        <w:rPr>
          <w:rtl w:val="0"/>
        </w:rPr>
      </w:r>
    </w:p>
    <w:p w:rsidR="00000000" w:rsidDel="00000000" w:rsidP="00000000" w:rsidRDefault="00000000" w:rsidRPr="00000000" w14:paraId="00000065">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Betweenness Centrality</w:t>
      </w:r>
      <w:r w:rsidDel="00000000" w:rsidR="00000000" w:rsidRPr="00000000">
        <w:rPr>
          <w:rtl w:val="0"/>
        </w:rPr>
      </w:r>
    </w:p>
    <w:p w:rsidR="00000000" w:rsidDel="00000000" w:rsidP="00000000" w:rsidRDefault="00000000" w:rsidRPr="00000000" w14:paraId="00000066">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Betweenness centrality quantifies how frequently a country lies on shortest paths between other country pairs in the network. High betweenness identifies transit hubs and migration corridor connectors — countries that may be structurally critical yet invisible in aggregate flow statistics. The analysis revealed that Liechtenstein holds an exceptionally high betweenness score (2.727), underscoring its role as a bridging node in the European migration network despite its small size.</w:t>
      </w:r>
      <w:r w:rsidDel="00000000" w:rsidR="00000000" w:rsidRPr="00000000">
        <w:rPr>
          <w:rtl w:val="0"/>
        </w:rPr>
      </w:r>
    </w:p>
    <w:p w:rsidR="00000000" w:rsidDel="00000000" w:rsidP="00000000" w:rsidRDefault="00000000" w:rsidRPr="00000000" w14:paraId="00000067">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PageRank Centrality</w:t>
      </w:r>
      <w:r w:rsidDel="00000000" w:rsidR="00000000" w:rsidRPr="00000000">
        <w:rPr>
          <w:rtl w:val="0"/>
        </w:rPr>
      </w:r>
    </w:p>
    <w:p w:rsidR="00000000" w:rsidDel="00000000" w:rsidP="00000000" w:rsidRDefault="00000000" w:rsidRPr="00000000" w14:paraId="00000068">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PageRank centrality is a weighted influence measure that accounts for both the quantity and significance of incoming migration flows. A country accrues high PageRank not merely by receiving many migrants, but by receiving migrants from other high-PageRank countries. This identifies globally prestigious destinations whose centrality is reinforced by the prominence of their source nations.</w:t>
      </w:r>
      <w:r w:rsidDel="00000000" w:rsidR="00000000" w:rsidRPr="00000000">
        <w:rPr>
          <w:rtl w:val="0"/>
        </w:rPr>
      </w:r>
    </w:p>
    <w:p w:rsidR="00000000" w:rsidDel="00000000" w:rsidP="00000000" w:rsidRDefault="00000000" w:rsidRPr="00000000" w14:paraId="00000069">
      <w:pPr>
        <w:spacing w:after="160" w:before="60" w:lineRule="auto"/>
        <w:jc w:val="left"/>
        <w:rPr/>
      </w:pP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tl w:val="0"/>
        </w:rPr>
      </w:r>
    </w:p>
    <w:tbl>
      <w:tblPr>
        <w:tblStyle w:val="Table5"/>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2840"/>
        <w:gridCol w:w="2160"/>
        <w:gridCol w:w="2840"/>
        <w:gridCol w:w="1760"/>
        <w:tblGridChange w:id="0">
          <w:tblGrid>
            <w:gridCol w:w="760"/>
            <w:gridCol w:w="2840"/>
            <w:gridCol w:w="2160"/>
            <w:gridCol w:w="2840"/>
            <w:gridCol w:w="1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Rank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In-Degree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Out-Degree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Betweenness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PageRank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sz w:val="18"/>
                <w:szCs w:val="18"/>
                <w:rtl w:val="0"/>
              </w:rPr>
              <w:t xml:space="preserve">Norway (0.980)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sz w:val="18"/>
                <w:szCs w:val="18"/>
                <w:rtl w:val="0"/>
              </w:rPr>
              <w:t xml:space="preserve">USA (0.707)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sz w:val="18"/>
                <w:szCs w:val="18"/>
                <w:rtl w:val="0"/>
              </w:rPr>
              <w:t xml:space="preserve">Liechtenstein (2.727)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sz w:val="18"/>
                <w:szCs w:val="18"/>
                <w:rtl w:val="0"/>
              </w:rPr>
              <w:t xml:space="preserve">USA (0.121)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sz w:val="18"/>
                <w:szCs w:val="18"/>
                <w:rtl w:val="0"/>
              </w:rPr>
              <w:t xml:space="preserve">Denmark (0.970)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sz w:val="18"/>
                <w:szCs w:val="18"/>
                <w:rtl w:val="0"/>
              </w:rPr>
              <w:t xml:space="preserve">China (0.631)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sz w:val="18"/>
                <w:szCs w:val="18"/>
                <w:rtl w:val="0"/>
              </w:rPr>
              <w:t xml:space="preserve">Bolivia (0.987)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sz w:val="18"/>
                <w:szCs w:val="18"/>
                <w:rtl w:val="0"/>
              </w:rPr>
              <w:t xml:space="preserve">Australia (0.061)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sz w:val="18"/>
                <w:szCs w:val="18"/>
                <w:rtl w:val="0"/>
              </w:rPr>
              <w:t xml:space="preserve">Greece (0.949)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sz w:val="18"/>
                <w:szCs w:val="18"/>
                <w:rtl w:val="0"/>
              </w:rPr>
              <w:t xml:space="preserve">UK (0.616)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sz w:val="18"/>
                <w:szCs w:val="18"/>
                <w:rtl w:val="0"/>
              </w:rPr>
              <w:t xml:space="preserve">Costa Rica (0.398)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sz w:val="18"/>
                <w:szCs w:val="18"/>
                <w:rtl w:val="0"/>
              </w:rPr>
              <w:t xml:space="preserve">UK (0.053)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sz w:val="18"/>
                <w:szCs w:val="18"/>
                <w:rtl w:val="0"/>
              </w:rPr>
              <w:t xml:space="preserve">Hungary (0.939)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sz w:val="18"/>
                <w:szCs w:val="18"/>
                <w:rtl w:val="0"/>
              </w:rPr>
              <w:t xml:space="preserve">France (0.591)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sz w:val="18"/>
                <w:szCs w:val="18"/>
                <w:rtl w:val="0"/>
              </w:rPr>
              <w:t xml:space="preserve">Latvia (0.364)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sz w:val="18"/>
                <w:szCs w:val="18"/>
                <w:rtl w:val="0"/>
              </w:rPr>
              <w:t xml:space="preserve">Canada (0.040)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sz w:val="18"/>
                <w:szCs w:val="18"/>
                <w:rtl w:val="0"/>
              </w:rPr>
              <w:t xml:space="preserve">Finland (0.934)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sz w:val="18"/>
                <w:szCs w:val="18"/>
                <w:rtl w:val="0"/>
              </w:rPr>
              <w:t xml:space="preserve">India (0.581)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sz w:val="18"/>
                <w:szCs w:val="18"/>
                <w:rtl w:val="0"/>
              </w:rPr>
              <w:t xml:space="preserve">Estonia (0.292)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sz w:val="18"/>
                <w:szCs w:val="18"/>
                <w:rtl w:val="0"/>
              </w:rPr>
              <w:t xml:space="preserve">Germany (0.039)</w:t>
            </w:r>
            <w:r w:rsidDel="00000000" w:rsidR="00000000" w:rsidRPr="00000000">
              <w:rPr>
                <w:rtl w:val="0"/>
              </w:rPr>
            </w:r>
          </w:p>
        </w:tc>
      </w:tr>
    </w:tbl>
    <w:p w:rsidR="00000000" w:rsidDel="00000000" w:rsidP="00000000" w:rsidRDefault="00000000" w:rsidRPr="00000000" w14:paraId="00000089">
      <w:pPr>
        <w:spacing w:after="60" w:before="160" w:lineRule="auto"/>
        <w:jc w:val="center"/>
        <w:rPr/>
      </w:pPr>
      <w:r w:rsidDel="00000000" w:rsidR="00000000" w:rsidRPr="00000000">
        <w:rPr>
          <w:rFonts w:ascii="Times New Roman" w:cs="Times New Roman" w:eastAsia="Times New Roman" w:hAnsi="Times New Roman"/>
          <w:b w:val="1"/>
          <w:bCs w:val="1"/>
          <w:sz w:val="18"/>
          <w:szCs w:val="18"/>
          <w:rtl w:val="0"/>
        </w:rPr>
        <w:t xml:space="preserve">TABLE IV: Top 5 Countries by Each Centrality Metric (Aggregated, 2024)</w:t>
      </w:r>
      <w:r w:rsidDel="00000000" w:rsidR="00000000" w:rsidRPr="00000000">
        <w:rPr>
          <w:rtl w:val="0"/>
        </w:rPr>
      </w:r>
    </w:p>
    <w:p w:rsidR="00000000" w:rsidDel="00000000" w:rsidP="00000000" w:rsidRDefault="00000000" w:rsidRPr="00000000" w14:paraId="0000008A">
      <w:pPr>
        <w:spacing w:after="160" w:before="60" w:lineRule="auto"/>
        <w:jc w:val="left"/>
        <w:rPr/>
      </w:pP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tl w:val="0"/>
        </w:rPr>
      </w:r>
    </w:p>
    <w:p w:rsidR="00000000" w:rsidDel="00000000" w:rsidP="00000000" w:rsidRDefault="00000000" w:rsidRPr="00000000" w14:paraId="0000008C">
      <w:pPr>
        <w:pBdr>
          <w:bottom w:color="2e74b5" w:space="2" w:sz="4" w:val="single"/>
        </w:pBdr>
        <w:spacing w:after="120" w:before="240" w:lineRule="auto"/>
        <w:rPr/>
      </w:pPr>
      <w:r w:rsidDel="00000000" w:rsidR="00000000" w:rsidRPr="00000000">
        <w:rPr>
          <w:rFonts w:ascii="Times New Roman" w:cs="Times New Roman" w:eastAsia="Times New Roman" w:hAnsi="Times New Roman"/>
          <w:b w:val="1"/>
          <w:bCs w:val="1"/>
          <w:sz w:val="22"/>
          <w:szCs w:val="22"/>
          <w:rtl w:val="0"/>
        </w:rPr>
        <w:t xml:space="preserve">V. COMMUNITY DETECTION</w:t>
      </w:r>
      <w:r w:rsidDel="00000000" w:rsidR="00000000" w:rsidRPr="00000000">
        <w:rPr>
          <w:rtl w:val="0"/>
        </w:rPr>
      </w:r>
    </w:p>
    <w:p w:rsidR="00000000" w:rsidDel="00000000" w:rsidP="00000000" w:rsidRDefault="00000000" w:rsidRPr="00000000" w14:paraId="0000008D">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Identifying clusters of countries with dense internal migration connections is a core goal of this study. Three community detection algorithms are applied and compared using modularity score Q as the primary evaluation criterion. Modularity measures how much denser the connections within communities are compared to what would be expected in a random network of the same degree sequence; values closer to 1.0 indicate stronger community structure.</w:t>
      </w:r>
      <w:r w:rsidDel="00000000" w:rsidR="00000000" w:rsidRPr="00000000">
        <w:rPr>
          <w:rtl w:val="0"/>
        </w:rPr>
      </w:r>
    </w:p>
    <w:p w:rsidR="00000000" w:rsidDel="00000000" w:rsidP="00000000" w:rsidRDefault="00000000" w:rsidRPr="00000000" w14:paraId="0000008E">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Louvain Algorithm</w:t>
      </w:r>
      <w:r w:rsidDel="00000000" w:rsidR="00000000" w:rsidRPr="00000000">
        <w:rPr>
          <w:rtl w:val="0"/>
        </w:rPr>
      </w:r>
    </w:p>
    <w:p w:rsidR="00000000" w:rsidDel="00000000" w:rsidP="00000000" w:rsidRDefault="00000000" w:rsidRPr="00000000" w14:paraId="0000008F">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The Louvain method is a greedy modularity-optimization algorithm. It iteratively assigns nodes to communities to maximize Q, then aggregates those communities into super-nodes and repeats the process. Its efficiency on large sparse networks (O(n log n) time complexity) makes it the natural primary algorithm for this dataset.</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Library: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python-louvain (community) via NetworkX</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Expected communities: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5–8 major regional clusters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Evaluation: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Modularity Q, community size distribution, Jaccard similarity between consecutive time snapshots to track community evolution</w:t>
      </w:r>
    </w:p>
    <w:p w:rsidR="00000000" w:rsidDel="00000000" w:rsidP="00000000" w:rsidRDefault="00000000" w:rsidRPr="00000000" w14:paraId="00000094">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Girvan-Newman Algorithm</w:t>
      </w:r>
      <w:r w:rsidDel="00000000" w:rsidR="00000000" w:rsidRPr="00000000">
        <w:rPr>
          <w:rtl w:val="0"/>
        </w:rPr>
      </w:r>
    </w:p>
    <w:p w:rsidR="00000000" w:rsidDel="00000000" w:rsidP="00000000" w:rsidRDefault="00000000" w:rsidRPr="00000000" w14:paraId="00000095">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Girvan-Newman is a divisive hierarchical method that progressively removes edges with the highest betweenness centrality, fragmenting the network step-by-step. It reveals hierarchical community structure that flat-partition methods may miss, but carries O(m²n) computational cost.</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Library: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NetworkX built-in nx.girvan_newman()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 scope: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Applied to a weighted subgraph retaining the top corridors accounting for ~80% of total global migration volume, to manage computational cost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Hierarchical dendrogram; partition at level of maximum Q selected as final result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Evaluation: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Modularity Q, Normalized Mutual Information (NMI) compared against Louvain partition</w:t>
      </w:r>
    </w:p>
    <w:p w:rsidR="00000000" w:rsidDel="00000000" w:rsidP="00000000" w:rsidRDefault="00000000" w:rsidRPr="00000000" w14:paraId="0000009B">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Leiden Algorithm</w:t>
      </w:r>
      <w:r w:rsidDel="00000000" w:rsidR="00000000" w:rsidRPr="00000000">
        <w:rPr>
          <w:rtl w:val="0"/>
        </w:rPr>
      </w:r>
    </w:p>
    <w:p w:rsidR="00000000" w:rsidDel="00000000" w:rsidP="00000000" w:rsidRDefault="00000000" w:rsidRPr="00000000" w14:paraId="0000009C">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The Leiden algorithm addresses a known weakness of Louvain: it can produce communities that are internally disconnected. Leiden introduces a partition refinement step that guarantees well-connected communities while maintaining Louvain-level efficiency.</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Library: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leidenalg</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Expected output: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Communities comparable to Louvain but with stronger internal connectivity and potentially higher Q</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Evaluation: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Modularity Q, Adjusted Rand Index (ARI) and NMI compared against Louvain</w:t>
      </w:r>
    </w:p>
    <w:p w:rsidR="00000000" w:rsidDel="00000000" w:rsidP="00000000" w:rsidRDefault="00000000" w:rsidRPr="00000000" w14:paraId="000000A1">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Algorithm Comparison Framework</w:t>
      </w: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320"/>
        <w:gridCol w:w="2320"/>
        <w:gridCol w:w="2720"/>
        <w:tblGridChange w:id="0">
          <w:tblGrid>
            <w:gridCol w:w="2000"/>
            <w:gridCol w:w="2320"/>
            <w:gridCol w:w="2320"/>
            <w:gridCol w:w="27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Criterion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Louvain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Girvan-Newman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Leiden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b w:val="1"/>
                <w:bCs w:val="1"/>
                <w:sz w:val="18"/>
                <w:szCs w:val="18"/>
                <w:rtl w:val="0"/>
              </w:rPr>
              <w:t xml:space="preserve">Approach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sz w:val="18"/>
                <w:szCs w:val="18"/>
                <w:rtl w:val="0"/>
              </w:rPr>
              <w:t xml:space="preserve">Greedy modularity optimization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sz w:val="18"/>
                <w:szCs w:val="18"/>
                <w:rtl w:val="0"/>
              </w:rPr>
              <w:t xml:space="preserve">Edge betweenness removal (divisive)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sz w:val="18"/>
                <w:szCs w:val="18"/>
                <w:rtl w:val="0"/>
              </w:rPr>
              <w:t xml:space="preserve">Refined local moving + partition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b w:val="1"/>
                <w:bCs w:val="1"/>
                <w:sz w:val="18"/>
                <w:szCs w:val="18"/>
                <w:rtl w:val="0"/>
              </w:rPr>
              <w:t xml:space="preserve">Time Complexity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sz w:val="18"/>
                <w:szCs w:val="18"/>
                <w:rtl w:val="0"/>
              </w:rPr>
              <w:t xml:space="preserve">O(n log 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sz w:val="18"/>
                <w:szCs w:val="18"/>
                <w:rtl w:val="0"/>
              </w:rPr>
              <w:t xml:space="preserve">O(m²n)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sz w:val="18"/>
                <w:szCs w:val="18"/>
                <w:rtl w:val="0"/>
              </w:rPr>
              <w:t xml:space="preserve">O(n log n) with refinement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b w:val="1"/>
                <w:bCs w:val="1"/>
                <w:sz w:val="18"/>
                <w:szCs w:val="18"/>
                <w:rtl w:val="0"/>
              </w:rPr>
              <w:t xml:space="preserve">Output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sz w:val="18"/>
                <w:szCs w:val="18"/>
                <w:rtl w:val="0"/>
              </w:rPr>
              <w:t xml:space="preserve">Flat partition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sz w:val="18"/>
                <w:szCs w:val="18"/>
                <w:rtl w:val="0"/>
              </w:rPr>
              <w:t xml:space="preserve">Hierarchical dendrogram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Fonts w:ascii="Times New Roman" w:cs="Times New Roman" w:eastAsia="Times New Roman" w:hAnsi="Times New Roman"/>
                <w:sz w:val="18"/>
                <w:szCs w:val="18"/>
                <w:rtl w:val="0"/>
              </w:rPr>
              <w:t xml:space="preserve">Flat partition (well-connected)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b w:val="1"/>
                <w:bCs w:val="1"/>
                <w:sz w:val="18"/>
                <w:szCs w:val="18"/>
                <w:rtl w:val="0"/>
              </w:rPr>
              <w:t xml:space="preserve">Key Strength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Times New Roman" w:cs="Times New Roman" w:eastAsia="Times New Roman" w:hAnsi="Times New Roman"/>
                <w:sz w:val="18"/>
                <w:szCs w:val="18"/>
                <w:rtl w:val="0"/>
              </w:rPr>
              <w:t xml:space="preserve">Speed on large sparse graphs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sz w:val="18"/>
                <w:szCs w:val="18"/>
                <w:rtl w:val="0"/>
              </w:rPr>
              <w:t xml:space="preserve">Hierarchical 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Times New Roman" w:cs="Times New Roman" w:eastAsia="Times New Roman" w:hAnsi="Times New Roman"/>
                <w:sz w:val="18"/>
                <w:szCs w:val="18"/>
                <w:rtl w:val="0"/>
              </w:rPr>
              <w:t xml:space="preserve">Avoids disconnected communities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b w:val="1"/>
                <w:bCs w:val="1"/>
                <w:sz w:val="18"/>
                <w:szCs w:val="18"/>
                <w:rtl w:val="0"/>
              </w:rPr>
              <w:t xml:space="preserve">Library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sz w:val="18"/>
                <w:szCs w:val="18"/>
                <w:rtl w:val="0"/>
              </w:rPr>
              <w:t xml:space="preserve">python-louvain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Times New Roman" w:cs="Times New Roman" w:eastAsia="Times New Roman" w:hAnsi="Times New Roman"/>
                <w:sz w:val="18"/>
                <w:szCs w:val="18"/>
                <w:rtl w:val="0"/>
              </w:rPr>
              <w:t xml:space="preserve">nx.girvan_newman()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sz w:val="18"/>
                <w:szCs w:val="18"/>
                <w:rtl w:val="0"/>
              </w:rPr>
              <w:t xml:space="preserve">leidenalg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b w:val="1"/>
                <w:bCs w:val="1"/>
                <w:sz w:val="18"/>
                <w:szCs w:val="18"/>
                <w:rtl w:val="0"/>
              </w:rPr>
              <w:t xml:space="preserve">Eval. 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sz w:val="18"/>
                <w:szCs w:val="18"/>
                <w:rtl w:val="0"/>
              </w:rPr>
              <w:t xml:space="preserve">Modularity 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sz w:val="18"/>
                <w:szCs w:val="18"/>
                <w:rtl w:val="0"/>
              </w:rPr>
              <w:t xml:space="preserve">Modularity Q at best cut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Times New Roman" w:cs="Times New Roman" w:eastAsia="Times New Roman" w:hAnsi="Times New Roman"/>
                <w:sz w:val="18"/>
                <w:szCs w:val="18"/>
                <w:rtl w:val="0"/>
              </w:rPr>
              <w:t xml:space="preserve">Modularity Q + ARI + NMI</w:t>
            </w:r>
            <w:r w:rsidDel="00000000" w:rsidR="00000000" w:rsidRPr="00000000">
              <w:rPr>
                <w:rtl w:val="0"/>
              </w:rPr>
            </w:r>
          </w:p>
        </w:tc>
      </w:tr>
    </w:tbl>
    <w:p w:rsidR="00000000" w:rsidDel="00000000" w:rsidP="00000000" w:rsidRDefault="00000000" w:rsidRPr="00000000" w14:paraId="000000BF">
      <w:pPr>
        <w:spacing w:after="60" w:before="160" w:lineRule="auto"/>
        <w:jc w:val="center"/>
        <w:rPr/>
      </w:pPr>
      <w:r w:rsidDel="00000000" w:rsidR="00000000" w:rsidRPr="00000000">
        <w:rPr>
          <w:rFonts w:ascii="Times New Roman" w:cs="Times New Roman" w:eastAsia="Times New Roman" w:hAnsi="Times New Roman"/>
          <w:b w:val="1"/>
          <w:bCs w:val="1"/>
          <w:sz w:val="18"/>
          <w:szCs w:val="18"/>
          <w:rtl w:val="0"/>
        </w:rPr>
        <w:t xml:space="preserve">TABLE V: Algorithm Comparison Framework</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tl w:val="0"/>
        </w:rPr>
      </w:r>
    </w:p>
    <w:p w:rsidR="00000000" w:rsidDel="00000000" w:rsidP="00000000" w:rsidRDefault="00000000" w:rsidRPr="00000000" w14:paraId="000000C1">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Modularity Q is computed for each algorithm at each of the eight time snapshots, enabling a longitudinal view of whether the migration network has become more or less community-structured over 35 years.</w:t>
      </w:r>
      <w:r w:rsidDel="00000000" w:rsidR="00000000" w:rsidRPr="00000000">
        <w:rPr>
          <w:rtl w:val="0"/>
        </w:rPr>
      </w:r>
    </w:p>
    <w:p w:rsidR="00000000" w:rsidDel="00000000" w:rsidP="00000000" w:rsidRDefault="00000000" w:rsidRPr="00000000" w14:paraId="000000C2">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200.0" w:type="dxa"/>
              <w:left w:w="200.0" w:type="dxa"/>
              <w:bottom w:w="200.0" w:type="dxa"/>
              <w:right w:w="20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888888"/>
                <w:sz w:val="20"/>
                <w:szCs w:val="20"/>
                <w:rtl w:val="0"/>
              </w:rPr>
              <w:t xml:space="preserve">[ SCREENSHOT PLACEHOLDER ]</w:t>
            </w:r>
            <w:r w:rsidDel="00000000" w:rsidR="00000000" w:rsidRPr="00000000">
              <w:rPr>
                <w:rtl w:val="0"/>
              </w:rPr>
            </w:r>
          </w:p>
          <w:p w:rsidR="00000000" w:rsidDel="00000000" w:rsidP="00000000" w:rsidRDefault="00000000" w:rsidRPr="00000000" w14:paraId="000000C4">
            <w:pPr>
              <w:jc w:val="center"/>
              <w:rPr/>
            </w:pPr>
            <w:r w:rsidDel="00000000" w:rsidR="00000000" w:rsidRPr="00000000">
              <w:rPr>
                <w:rFonts w:ascii="Arial" w:cs="Arial" w:eastAsia="Arial" w:hAnsi="Arial"/>
                <w:i w:val="1"/>
                <w:iCs w:val="1"/>
                <w:color w:val="555555"/>
                <w:sz w:val="18"/>
                <w:szCs w:val="18"/>
                <w:rtl w:val="0"/>
              </w:rPr>
              <w:t xml:space="preserve">Fig. 7 — Detected migration communities using the Louvain algorithm (force-directed network graph, color-coded by community)</w:t>
            </w:r>
            <w:r w:rsidDel="00000000" w:rsidR="00000000" w:rsidRPr="00000000">
              <w:rPr>
                <w:rtl w:val="0"/>
              </w:rPr>
            </w:r>
          </w:p>
        </w:tc>
      </w:tr>
    </w:tbl>
    <w:p w:rsidR="00000000" w:rsidDel="00000000" w:rsidP="00000000" w:rsidRDefault="00000000" w:rsidRPr="00000000" w14:paraId="000000C5">
      <w:pPr>
        <w:spacing w:after="160" w:before="60" w:lineRule="auto"/>
        <w:jc w:val="center"/>
        <w:rPr/>
      </w:pPr>
      <w:r w:rsidDel="00000000" w:rsidR="00000000" w:rsidRPr="00000000">
        <w:rPr>
          <w:rFonts w:ascii="Times New Roman" w:cs="Times New Roman" w:eastAsia="Times New Roman" w:hAnsi="Times New Roman"/>
          <w:i w:val="1"/>
          <w:iCs w:val="1"/>
          <w:sz w:val="18"/>
          <w:szCs w:val="18"/>
          <w:rtl w:val="0"/>
        </w:rPr>
        <w:t xml:space="preserve">Fig. 7. Migration communities detected by the Louvain algorithm. Six major communities emerge, each reflecting distinctive geographic, political, and economic dynamics.</w:t>
      </w:r>
      <w:r w:rsidDel="00000000" w:rsidR="00000000" w:rsidRPr="00000000">
        <w:rPr>
          <w:rtl w:val="0"/>
        </w:rPr>
      </w:r>
    </w:p>
    <w:p w:rsidR="00000000" w:rsidDel="00000000" w:rsidP="00000000" w:rsidRDefault="00000000" w:rsidRPr="00000000" w14:paraId="000000C6">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E. Detected Migration Communities (Louvain Results)</w:t>
      </w:r>
      <w:r w:rsidDel="00000000" w:rsidR="00000000" w:rsidRPr="00000000">
        <w:rPr>
          <w:rtl w:val="0"/>
        </w:rPr>
      </w:r>
    </w:p>
    <w:p w:rsidR="00000000" w:rsidDel="00000000" w:rsidP="00000000" w:rsidRDefault="00000000" w:rsidRPr="00000000" w14:paraId="000000C7">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Six major migration communities emerged from the Louvain community detection, each reflecting distinctive geographic, political, and economic dynamics.</w:t>
      </w:r>
      <w:r w:rsidDel="00000000" w:rsidR="00000000" w:rsidRPr="00000000">
        <w:rPr>
          <w:rtl w:val="0"/>
        </w:rPr>
      </w:r>
    </w:p>
    <w:p w:rsidR="00000000" w:rsidDel="00000000" w:rsidP="00000000" w:rsidRDefault="00000000" w:rsidRPr="00000000" w14:paraId="000000C8">
      <w:pPr>
        <w:spacing w:after="60" w:before="60" w:lineRule="auto"/>
        <w:rPr/>
      </w:pPr>
      <w:r w:rsidDel="00000000" w:rsidR="00000000" w:rsidRPr="00000000">
        <w:rPr>
          <w:rtl w:val="0"/>
        </w:rPr>
      </w:r>
    </w:p>
    <w:p w:rsidR="00000000" w:rsidDel="00000000" w:rsidP="00000000" w:rsidRDefault="00000000" w:rsidRPr="00000000" w14:paraId="000000C9">
      <w:pPr>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Community 1: East and Central Africa</w:t>
      </w:r>
      <w:r w:rsidDel="00000000" w:rsidR="00000000" w:rsidRPr="00000000">
        <w:rPr>
          <w:rtl w:val="0"/>
        </w:rPr>
      </w:r>
    </w:p>
    <w:p w:rsidR="00000000" w:rsidDel="00000000" w:rsidP="00000000" w:rsidRDefault="00000000" w:rsidRPr="00000000" w14:paraId="000000CA">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Countries (25): Kenya, Uganda, Tanzania, Ethiopia, Rwanda, Burundi, Democratic Republic of the Congo, Somalia, South Sudan, and others. This community is defined by regional migration influenced by geographic proximity, porous borders, and strong ethnic and cultural ties. Key drivers include economic migration between Kenya, Uganda, and Tanzania; conflict-induced displacement from the DRC, Somalia, and South Sudan; and shared colonial history. Migration policy in this region focuses on refugee support, cross-border cooperation, and regional integration efforts.</w:t>
      </w:r>
      <w:r w:rsidDel="00000000" w:rsidR="00000000" w:rsidRPr="00000000">
        <w:rPr>
          <w:rtl w:val="0"/>
        </w:rPr>
      </w:r>
    </w:p>
    <w:p w:rsidR="00000000" w:rsidDel="00000000" w:rsidP="00000000" w:rsidRDefault="00000000" w:rsidRPr="00000000" w14:paraId="000000CB">
      <w:pPr>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Community 2: Europe and Central Asia</w:t>
      </w:r>
      <w:r w:rsidDel="00000000" w:rsidR="00000000" w:rsidRPr="00000000">
        <w:rPr>
          <w:rtl w:val="0"/>
        </w:rPr>
      </w:r>
    </w:p>
    <w:p w:rsidR="00000000" w:rsidDel="00000000" w:rsidP="00000000" w:rsidRDefault="00000000" w:rsidRPr="00000000" w14:paraId="000000CC">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Countries (43): United Kingdom, Germany, Poland, Russia, Czech Republic, Kazakhstan, Balkan states, and other Central Asian nations. A mix of intra-EU mobility and post-Soviet migration networks, anchored by major economic hubs. Key drivers include EU freedom of movement agreements, historic Soviet migration ties (e.g., Russia–Kazakhstan corridors), and economic migration from Eastern Europe toward Western Europe.</w:t>
      </w:r>
      <w:r w:rsidDel="00000000" w:rsidR="00000000" w:rsidRPr="00000000">
        <w:rPr>
          <w:rtl w:val="0"/>
        </w:rPr>
      </w:r>
    </w:p>
    <w:p w:rsidR="00000000" w:rsidDel="00000000" w:rsidP="00000000" w:rsidRDefault="00000000" w:rsidRPr="00000000" w14:paraId="000000CD">
      <w:pPr>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Community 3: Francophone and Lusophone Africa with South America</w:t>
      </w:r>
      <w:r w:rsidDel="00000000" w:rsidR="00000000" w:rsidRPr="00000000">
        <w:rPr>
          <w:rtl w:val="0"/>
        </w:rPr>
      </w:r>
    </w:p>
    <w:p w:rsidR="00000000" w:rsidDel="00000000" w:rsidP="00000000" w:rsidRDefault="00000000" w:rsidRPr="00000000" w14:paraId="000000CE">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Countries (31): France, Portugal, Senegal, Morocco, Tunisia, Brazil, Colombia, Angola, and others. A transcontinental cluster united by colonial ties and shared languages (French and Portuguese). Migration flows remain shaped by colonial history, and policies often reflect cultural affinity and diasporic links.</w:t>
      </w:r>
      <w:r w:rsidDel="00000000" w:rsidR="00000000" w:rsidRPr="00000000">
        <w:rPr>
          <w:rtl w:val="0"/>
        </w:rPr>
      </w:r>
    </w:p>
    <w:p w:rsidR="00000000" w:rsidDel="00000000" w:rsidP="00000000" w:rsidRDefault="00000000" w:rsidRPr="00000000" w14:paraId="000000CF">
      <w:pPr>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Community 4: South Asia to Gulf and Southeast Asia</w:t>
      </w:r>
      <w:r w:rsidDel="00000000" w:rsidR="00000000" w:rsidRPr="00000000">
        <w:rPr>
          <w:rtl w:val="0"/>
        </w:rPr>
      </w:r>
    </w:p>
    <w:p w:rsidR="00000000" w:rsidDel="00000000" w:rsidP="00000000" w:rsidRDefault="00000000" w:rsidRPr="00000000" w14:paraId="000000D0">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Countries (21): India, Pakistan, Bangladesh, Nepal, United Arab Emirates, Saudi Arabia, Qatar, Malaysia, and others. A prominent labor migration corridor from South Asia to GCC nations and Southeast Asia. The corridor is policy-driven and economically motivated, with high migration volumes and remittance flows. GCC countries exhibit structural reliance on foreign labor for construction and domestic services.</w:t>
      </w:r>
      <w:r w:rsidDel="00000000" w:rsidR="00000000" w:rsidRPr="00000000">
        <w:rPr>
          <w:rtl w:val="0"/>
        </w:rPr>
      </w:r>
    </w:p>
    <w:p w:rsidR="00000000" w:rsidDel="00000000" w:rsidP="00000000" w:rsidRDefault="00000000" w:rsidRPr="00000000" w14:paraId="000000D1">
      <w:pPr>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Community 5: West Africa</w:t>
      </w:r>
      <w:r w:rsidDel="00000000" w:rsidR="00000000" w:rsidRPr="00000000">
        <w:rPr>
          <w:rtl w:val="0"/>
        </w:rPr>
      </w:r>
    </w:p>
    <w:p w:rsidR="00000000" w:rsidDel="00000000" w:rsidP="00000000" w:rsidRDefault="00000000" w:rsidRPr="00000000" w14:paraId="000000D2">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Countries (10): Nigeria, Ghana, Côte d'Ivoire, Mali, Burkina Faso, Togo, Benin, and others. A cohesive ECOWAS-based migration system facilitating regional movement. Key drivers include informal labor migration in agriculture and trade, shared linguistic traditions, and open borders under ECOWAS agreements.</w:t>
      </w:r>
      <w:r w:rsidDel="00000000" w:rsidR="00000000" w:rsidRPr="00000000">
        <w:rPr>
          <w:rtl w:val="0"/>
        </w:rPr>
      </w:r>
    </w:p>
    <w:p w:rsidR="00000000" w:rsidDel="00000000" w:rsidP="00000000" w:rsidRDefault="00000000" w:rsidRPr="00000000" w14:paraId="000000D3">
      <w:pPr>
        <w:spacing w:after="60" w:before="120" w:lineRule="auto"/>
        <w:rPr/>
      </w:pPr>
      <w:r w:rsidDel="00000000" w:rsidR="00000000" w:rsidRPr="00000000">
        <w:rPr>
          <w:rFonts w:ascii="Times New Roman" w:cs="Times New Roman" w:eastAsia="Times New Roman" w:hAnsi="Times New Roman"/>
          <w:b w:val="1"/>
          <w:bCs w:val="1"/>
          <w:sz w:val="20"/>
          <w:szCs w:val="20"/>
          <w:rtl w:val="0"/>
        </w:rPr>
        <w:t xml:space="preserve">Community 6: Oceania and the Iran–Afghanistan Region</w:t>
      </w:r>
      <w:r w:rsidDel="00000000" w:rsidR="00000000" w:rsidRPr="00000000">
        <w:rPr>
          <w:rtl w:val="0"/>
        </w:rPr>
      </w:r>
    </w:p>
    <w:p w:rsidR="00000000" w:rsidDel="00000000" w:rsidP="00000000" w:rsidRDefault="00000000" w:rsidRPr="00000000" w14:paraId="000000D4">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Countries (14): Australia, New Zealand, Fiji, Papua New Guinea, Iran, Afghanistan, and nearby nations. A geographically dispersed yet functionally connected group via asylum flows and Pacific migration systems. Migration is shaped by geopolitical instability (Afghanistan, Iran) and economic opportunity, spanning humanitarian pathways and diaspora movements.</w:t>
      </w: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tl w:val="0"/>
        </w:rPr>
      </w:r>
    </w:p>
    <w:p w:rsidR="00000000" w:rsidDel="00000000" w:rsidP="00000000" w:rsidRDefault="00000000" w:rsidRPr="00000000" w14:paraId="000000D6">
      <w:pPr>
        <w:pBdr>
          <w:bottom w:color="2e74b5" w:space="2" w:sz="4" w:val="single"/>
        </w:pBdr>
        <w:spacing w:after="120" w:before="240" w:lineRule="auto"/>
        <w:rPr/>
      </w:pPr>
      <w:r w:rsidDel="00000000" w:rsidR="00000000" w:rsidRPr="00000000">
        <w:rPr>
          <w:rFonts w:ascii="Times New Roman" w:cs="Times New Roman" w:eastAsia="Times New Roman" w:hAnsi="Times New Roman"/>
          <w:b w:val="1"/>
          <w:bCs w:val="1"/>
          <w:sz w:val="22"/>
          <w:szCs w:val="22"/>
          <w:rtl w:val="0"/>
        </w:rPr>
        <w:t xml:space="preserve">VI. REGRESSION ANALYSIS: MIGRATION DETERMINANTS</w:t>
      </w:r>
      <w:r w:rsidDel="00000000" w:rsidR="00000000" w:rsidRPr="00000000">
        <w:rPr>
          <w:rtl w:val="0"/>
        </w:rPr>
      </w:r>
    </w:p>
    <w:p w:rsidR="00000000" w:rsidDel="00000000" w:rsidP="00000000" w:rsidRDefault="00000000" w:rsidRPr="00000000" w14:paraId="000000D7">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To quantify the relative contribution of each factor to migration inflows and outflows, multivariate regression models are fitted with the following structure. A baseline three-factor model (population, GDP, conflict) is compared against the full seven-factor extended model using R², adjusted R², and AIC/BIC. Variance Inflation Factor (VIF) analysis is conducted to check for multicollinearity.</w:t>
      </w: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Specification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Times New Roman" w:cs="Times New Roman" w:eastAsia="Times New Roman" w:hAnsi="Times New Roman"/>
                <w:b w:val="1"/>
                <w:bCs w:val="1"/>
                <w:sz w:val="18"/>
                <w:szCs w:val="18"/>
                <w:rtl w:val="0"/>
              </w:rPr>
              <w:t xml:space="preserve">Dependent Variables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Times New Roman" w:cs="Times New Roman" w:eastAsia="Times New Roman" w:hAnsi="Times New Roman"/>
                <w:sz w:val="18"/>
                <w:szCs w:val="18"/>
                <w:rtl w:val="0"/>
              </w:rPr>
              <w:t xml:space="preserve">In-degree (migration inflows) and Out-degree (migration outflows) per country per year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Times New Roman" w:cs="Times New Roman" w:eastAsia="Times New Roman" w:hAnsi="Times New Roman"/>
                <w:b w:val="1"/>
                <w:bCs w:val="1"/>
                <w:sz w:val="18"/>
                <w:szCs w:val="18"/>
                <w:rtl w:val="0"/>
              </w:rPr>
              <w:t xml:space="preserve">Independent Variables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Fonts w:ascii="Times New Roman" w:cs="Times New Roman" w:eastAsia="Times New Roman" w:hAnsi="Times New Roman"/>
                <w:sz w:val="18"/>
                <w:szCs w:val="18"/>
                <w:rtl w:val="0"/>
              </w:rPr>
              <w:t xml:space="preserve">Log(Population), Log(GDP per capita), Conflict Intensity, Unemployment Rate, Education Index, Visa Openness Index, Climate Vulnerability Score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Times New Roman" w:cs="Times New Roman" w:eastAsia="Times New Roman" w:hAnsi="Times New Roman"/>
                <w:b w:val="1"/>
                <w:bCs w:val="1"/>
                <w:sz w:val="18"/>
                <w:szCs w:val="18"/>
                <w:rtl w:val="0"/>
              </w:rPr>
              <w:t xml:space="preserve">Model Comparison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Times New Roman" w:cs="Times New Roman" w:eastAsia="Times New Roman" w:hAnsi="Times New Roman"/>
                <w:sz w:val="18"/>
                <w:szCs w:val="18"/>
                <w:rtl w:val="0"/>
              </w:rPr>
              <w:t xml:space="preserve">Baseline 3-factor vs. full 7-factor; evaluated on R², adjusted R², AIC/BIC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Times New Roman" w:cs="Times New Roman" w:eastAsia="Times New Roman" w:hAnsi="Times New Roman"/>
                <w:b w:val="1"/>
                <w:bCs w:val="1"/>
                <w:sz w:val="18"/>
                <w:szCs w:val="18"/>
                <w:rtl w:val="0"/>
              </w:rPr>
              <w:t xml:space="preserve">Target R²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Times New Roman" w:cs="Times New Roman" w:eastAsia="Times New Roman" w:hAnsi="Times New Roman"/>
                <w:sz w:val="18"/>
                <w:szCs w:val="18"/>
                <w:rtl w:val="0"/>
              </w:rPr>
              <w:t xml:space="preserve">&gt; 0.80 for inflows in the 7-factor model</w:t>
            </w:r>
            <w:r w:rsidDel="00000000" w:rsidR="00000000" w:rsidRPr="00000000">
              <w:rPr>
                <w:rtl w:val="0"/>
              </w:rPr>
            </w:r>
          </w:p>
        </w:tc>
      </w:tr>
    </w:tbl>
    <w:p w:rsidR="00000000" w:rsidDel="00000000" w:rsidP="00000000" w:rsidRDefault="00000000" w:rsidRPr="00000000" w14:paraId="000000E3">
      <w:pPr>
        <w:spacing w:after="60" w:before="160" w:lineRule="auto"/>
        <w:jc w:val="center"/>
        <w:rPr/>
      </w:pPr>
      <w:r w:rsidDel="00000000" w:rsidR="00000000" w:rsidRPr="00000000">
        <w:rPr>
          <w:rFonts w:ascii="Times New Roman" w:cs="Times New Roman" w:eastAsia="Times New Roman" w:hAnsi="Times New Roman"/>
          <w:b w:val="1"/>
          <w:bCs w:val="1"/>
          <w:sz w:val="18"/>
          <w:szCs w:val="18"/>
          <w:rtl w:val="0"/>
        </w:rPr>
        <w:t xml:space="preserve">TABLE VI: Regression Model Specification</w:t>
      </w:r>
      <w:r w:rsidDel="00000000" w:rsidR="00000000" w:rsidRPr="00000000">
        <w:rPr>
          <w:rtl w:val="0"/>
        </w:rPr>
      </w:r>
    </w:p>
    <w:p w:rsidR="00000000" w:rsidDel="00000000" w:rsidP="00000000" w:rsidRDefault="00000000" w:rsidRPr="00000000" w14:paraId="000000E4">
      <w:pPr>
        <w:spacing w:after="60" w:before="60" w:lineRule="auto"/>
        <w:rPr/>
      </w:pPr>
      <w:r w:rsidDel="00000000" w:rsidR="00000000" w:rsidRPr="00000000">
        <w:rPr>
          <w:rtl w:val="0"/>
        </w:rPr>
      </w:r>
    </w:p>
    <w:p w:rsidR="00000000" w:rsidDel="00000000" w:rsidP="00000000" w:rsidRDefault="00000000" w:rsidRPr="00000000" w14:paraId="000000E5">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Preliminary regression results from the three-factor baseline (population, GDP per capita, conflict intensity) demonstrate strong predictive power and statistically significant findings:</w:t>
      </w:r>
      <w:r w:rsidDel="00000000" w:rsidR="00000000" w:rsidRPr="00000000">
        <w:rPr>
          <w:rtl w:val="0"/>
        </w:rPr>
      </w:r>
    </w:p>
    <w:p w:rsidR="00000000" w:rsidDel="00000000" w:rsidP="00000000" w:rsidRDefault="00000000" w:rsidRPr="00000000" w14:paraId="000000E6">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680"/>
        <w:gridCol w:w="1800"/>
        <w:gridCol w:w="1680"/>
        <w:tblGridChange w:id="0">
          <w:tblGrid>
            <w:gridCol w:w="2400"/>
            <w:gridCol w:w="1800"/>
            <w:gridCol w:w="1680"/>
            <w:gridCol w:w="1800"/>
            <w:gridCol w:w="16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Factor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Inflow 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Inflow 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Outflow 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Outflow 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b w:val="1"/>
                <w:bCs w:val="1"/>
                <w:sz w:val="18"/>
                <w:szCs w:val="18"/>
                <w:rtl w:val="0"/>
              </w:rPr>
              <w:t xml:space="preserve">Population (Log)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sz w:val="18"/>
                <w:szCs w:val="18"/>
                <w:rtl w:val="0"/>
              </w:rPr>
              <w:t xml:space="preserve">0.76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E">
            <w:pPr>
              <w:jc w:val="center"/>
              <w:rPr/>
            </w:pPr>
            <w:r w:rsidDel="00000000" w:rsidR="00000000" w:rsidRPr="00000000">
              <w:rPr>
                <w:rFonts w:ascii="Times New Roman" w:cs="Times New Roman" w:eastAsia="Times New Roman" w:hAnsi="Times New Roman"/>
                <w:sz w:val="18"/>
                <w:szCs w:val="18"/>
                <w:rtl w:val="0"/>
              </w:rPr>
              <w:t xml:space="preserve">&lt; 0.001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sz w:val="18"/>
                <w:szCs w:val="18"/>
                <w:rtl w:val="0"/>
              </w:rPr>
              <w:t xml:space="preserve">0.92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sz w:val="18"/>
                <w:szCs w:val="18"/>
                <w:rtl w:val="0"/>
              </w:rPr>
              <w:t xml:space="preserve">&lt; 0.001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b w:val="1"/>
                <w:bCs w:val="1"/>
                <w:sz w:val="18"/>
                <w:szCs w:val="18"/>
                <w:rtl w:val="0"/>
              </w:rPr>
              <w:t xml:space="preserve">GDP per Capita (Log)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sz w:val="18"/>
                <w:szCs w:val="18"/>
                <w:rtl w:val="0"/>
              </w:rPr>
              <w:t xml:space="preserve">0.55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rFonts w:ascii="Times New Roman" w:cs="Times New Roman" w:eastAsia="Times New Roman" w:hAnsi="Times New Roman"/>
                <w:sz w:val="18"/>
                <w:szCs w:val="18"/>
                <w:rtl w:val="0"/>
              </w:rPr>
              <w:t xml:space="preserve">&lt; 0.001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sz w:val="18"/>
                <w:szCs w:val="18"/>
                <w:rtl w:val="0"/>
              </w:rPr>
              <w:t xml:space="preserve">0.27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rFonts w:ascii="Times New Roman" w:cs="Times New Roman" w:eastAsia="Times New Roman" w:hAnsi="Times New Roman"/>
                <w:sz w:val="18"/>
                <w:szCs w:val="18"/>
                <w:rtl w:val="0"/>
              </w:rPr>
              <w:t xml:space="preserve">&lt; 0.001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b w:val="1"/>
                <w:bCs w:val="1"/>
                <w:sz w:val="18"/>
                <w:szCs w:val="18"/>
                <w:rtl w:val="0"/>
              </w:rPr>
              <w:t xml:space="preserve">Conflict Intensity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sz w:val="18"/>
                <w:szCs w:val="18"/>
                <w:rtl w:val="0"/>
              </w:rPr>
              <w:t xml:space="preserve">0.18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sz w:val="18"/>
                <w:szCs w:val="18"/>
                <w:rtl w:val="0"/>
              </w:rPr>
              <w:t xml:space="preserve">0.070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sz w:val="18"/>
                <w:szCs w:val="18"/>
                <w:rtl w:val="0"/>
              </w:rPr>
              <w:t xml:space="preserve">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sz w:val="18"/>
                <w:szCs w:val="18"/>
                <w:rtl w:val="0"/>
              </w:rPr>
              <w:t xml:space="preserve">0.009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b w:val="1"/>
                <w:bCs w:val="1"/>
                <w:sz w:val="18"/>
                <w:szCs w:val="18"/>
                <w:rtl w:val="0"/>
              </w:rPr>
              <w:t xml:space="preserve">Model R²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C">
            <w:pPr>
              <w:jc w:val="center"/>
              <w:rPr/>
            </w:pPr>
            <w:r w:rsidDel="00000000" w:rsidR="00000000" w:rsidRPr="00000000">
              <w:rPr>
                <w:rFonts w:ascii="Times New Roman" w:cs="Times New Roman" w:eastAsia="Times New Roman" w:hAnsi="Times New Roman"/>
                <w:sz w:val="18"/>
                <w:szCs w:val="18"/>
                <w:rtl w:val="0"/>
              </w:rPr>
              <w:t xml:space="preserve">~0.68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rFonts w:ascii="Times New Roman" w:cs="Times New Roman" w:eastAsia="Times New Roman" w:hAnsi="Times New Roman"/>
                <w:sz w:val="18"/>
                <w:szCs w:val="18"/>
                <w:rtl w:val="0"/>
              </w:rPr>
              <w:t xml:space="preserve">~0.73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bl>
    <w:p w:rsidR="00000000" w:rsidDel="00000000" w:rsidP="00000000" w:rsidRDefault="00000000" w:rsidRPr="00000000" w14:paraId="00000100">
      <w:pPr>
        <w:spacing w:after="60" w:before="160" w:lineRule="auto"/>
        <w:jc w:val="center"/>
        <w:rPr/>
      </w:pPr>
      <w:r w:rsidDel="00000000" w:rsidR="00000000" w:rsidRPr="00000000">
        <w:rPr>
          <w:rFonts w:ascii="Times New Roman" w:cs="Times New Roman" w:eastAsia="Times New Roman" w:hAnsi="Times New Roman"/>
          <w:b w:val="1"/>
          <w:bCs w:val="1"/>
          <w:sz w:val="18"/>
          <w:szCs w:val="18"/>
          <w:rtl w:val="0"/>
        </w:rPr>
        <w:t xml:space="preserve">TABLE VII: Baseline 3-Factor Regression Results (Population, GDP, Conflict)</w:t>
      </w:r>
      <w:r w:rsidDel="00000000" w:rsidR="00000000" w:rsidRPr="00000000">
        <w:rPr>
          <w:rtl w:val="0"/>
        </w:rPr>
      </w:r>
    </w:p>
    <w:p w:rsidR="00000000" w:rsidDel="00000000" w:rsidP="00000000" w:rsidRDefault="00000000" w:rsidRPr="00000000" w14:paraId="00000101">
      <w:pPr>
        <w:spacing w:after="60" w:before="60" w:lineRule="auto"/>
        <w:rPr/>
      </w:pPr>
      <w:r w:rsidDel="00000000" w:rsidR="00000000" w:rsidRPr="00000000">
        <w:rPr>
          <w:rtl w:val="0"/>
        </w:rPr>
      </w:r>
    </w:p>
    <w:p w:rsidR="00000000" w:rsidDel="00000000" w:rsidP="00000000" w:rsidRDefault="00000000" w:rsidRPr="00000000" w14:paraId="00000102">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Key inferences: Population size is the dominant predictor for both inflows and outflows, with a notably stronger effect on emigration (β=0.92) than immigration (β=0.76). GDP per capita exerts approximately twice the influence on determining migration destinations (β=0.55) compared to its effect on origins (β=0.27). Conflict intensity shows a statistically significant relationship with outflows (p=0.009), confirming its primary role as a push factor rather than a pull factor. The extended seven-factor model is expected to improve explanatory power toward R²&gt;0.80 by incorporating unemployment, education, visa openness, and climate vulnerability.</w:t>
      </w:r>
      <w:r w:rsidDel="00000000" w:rsidR="00000000" w:rsidRPr="00000000">
        <w:rPr>
          <w:rtl w:val="0"/>
        </w:rPr>
      </w:r>
    </w:p>
    <w:p w:rsidR="00000000" w:rsidDel="00000000" w:rsidP="00000000" w:rsidRDefault="00000000" w:rsidRPr="00000000" w14:paraId="00000103">
      <w:pPr>
        <w:spacing w:after="160" w:before="60" w:lineRule="auto"/>
        <w:jc w:val="center"/>
        <w:rPr/>
      </w:pPr>
      <w:r w:rsidDel="00000000" w:rsidR="00000000" w:rsidRPr="00000000">
        <w:rPr>
          <w:rtl w:val="0"/>
        </w:rPr>
      </w:r>
    </w:p>
    <w:p w:rsidR="00000000" w:rsidDel="00000000" w:rsidP="00000000" w:rsidRDefault="00000000" w:rsidRPr="00000000" w14:paraId="00000104">
      <w:pPr>
        <w:spacing w:after="60" w:before="60" w:lineRule="auto"/>
        <w:rPr/>
      </w:pPr>
      <w:r w:rsidDel="00000000" w:rsidR="00000000" w:rsidRPr="00000000">
        <w:rPr>
          <w:rtl w:val="0"/>
        </w:rPr>
      </w:r>
    </w:p>
    <w:p w:rsidR="00000000" w:rsidDel="00000000" w:rsidP="00000000" w:rsidRDefault="00000000" w:rsidRPr="00000000" w14:paraId="00000105">
      <w:pPr>
        <w:pBdr>
          <w:bottom w:color="2e74b5" w:space="2" w:sz="4" w:val="single"/>
        </w:pBdr>
        <w:spacing w:after="120" w:before="240" w:lineRule="auto"/>
        <w:rPr/>
      </w:pPr>
      <w:r w:rsidDel="00000000" w:rsidR="00000000" w:rsidRPr="00000000">
        <w:rPr>
          <w:rFonts w:ascii="Times New Roman" w:cs="Times New Roman" w:eastAsia="Times New Roman" w:hAnsi="Times New Roman"/>
          <w:b w:val="1"/>
          <w:bCs w:val="1"/>
          <w:sz w:val="22"/>
          <w:szCs w:val="22"/>
          <w:rtl w:val="0"/>
        </w:rPr>
        <w:t xml:space="preserve">VII. TEMPORAL DRIFT ANALYSIS</w:t>
      </w:r>
      <w:r w:rsidDel="00000000" w:rsidR="00000000" w:rsidRPr="00000000">
        <w:rPr>
          <w:rtl w:val="0"/>
        </w:rPr>
      </w:r>
    </w:p>
    <w:p w:rsidR="00000000" w:rsidDel="00000000" w:rsidP="00000000" w:rsidRDefault="00000000" w:rsidRPr="00000000" w14:paraId="00000106">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Community membership is tracked across all eight snapshots using the Jaccard similarity index between consecutive community partitions. Countries that frequently change community membership across time periods are identified as 'boundary nodes' — countries whose migration allegiances shift in response to geopolitical, economic, or environmental changes.</w:t>
      </w:r>
      <w:r w:rsidDel="00000000" w:rsidR="00000000" w:rsidRPr="00000000">
        <w:rPr>
          <w:rtl w:val="0"/>
        </w:rPr>
      </w:r>
    </w:p>
    <w:p w:rsidR="00000000" w:rsidDel="00000000" w:rsidP="00000000" w:rsidRDefault="00000000" w:rsidRPr="00000000" w14:paraId="00000107">
      <w:pPr>
        <w:spacing w:after="60" w:before="60" w:lineRule="auto"/>
        <w:rPr/>
      </w:pPr>
      <w:r w:rsidDel="00000000" w:rsidR="00000000" w:rsidRPr="00000000">
        <w:rPr>
          <w:rtl w:val="0"/>
        </w:rPr>
      </w:r>
    </w:p>
    <w:p w:rsidR="00000000" w:rsidDel="00000000" w:rsidP="00000000" w:rsidRDefault="00000000" w:rsidRPr="00000000" w14:paraId="00000108">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This analysis is designed to capture structural transitions in the network such as the post-Soviet realignment of Central Asian states, the growth of Gulf labor corridors, the effects of EU enlargement, the 2008 financial crisis, and the structural impacts of the COVID-19 pandemic. Directional predictions are formulated for each historical shock and tested explicitly against the Jaccard similarity results.</w:t>
      </w:r>
      <w:r w:rsidDel="00000000" w:rsidR="00000000" w:rsidRPr="00000000">
        <w:rPr>
          <w:rtl w:val="0"/>
        </w:rPr>
      </w:r>
    </w:p>
    <w:p w:rsidR="00000000" w:rsidDel="00000000" w:rsidP="00000000" w:rsidRDefault="00000000" w:rsidRPr="00000000" w14:paraId="00000109">
      <w:pPr>
        <w:spacing w:after="60" w:before="60" w:lineRule="auto"/>
        <w:rPr/>
      </w:pPr>
      <w:r w:rsidDel="00000000" w:rsidR="00000000" w:rsidRPr="00000000">
        <w:rPr>
          <w:rtl w:val="0"/>
        </w:rPr>
      </w:r>
    </w:p>
    <w:p w:rsidR="00000000" w:rsidDel="00000000" w:rsidP="00000000" w:rsidRDefault="00000000" w:rsidRPr="00000000" w14:paraId="0000010A">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The Jaccard similarity J between consecutive community partitions P_t and P_{t+1} for a given country is defined as:</w:t>
      </w:r>
      <w:r w:rsidDel="00000000" w:rsidR="00000000" w:rsidRPr="00000000">
        <w:rPr>
          <w:rtl w:val="0"/>
        </w:rPr>
      </w:r>
    </w:p>
    <w:p w:rsidR="00000000" w:rsidDel="00000000" w:rsidP="00000000" w:rsidRDefault="00000000" w:rsidRPr="00000000" w14:paraId="0000010B">
      <w:pPr>
        <w:spacing w:after="80" w:before="80" w:lineRule="auto"/>
        <w:jc w:val="center"/>
        <w:rPr/>
      </w:pPr>
      <w:r w:rsidDel="00000000" w:rsidR="00000000" w:rsidRPr="00000000">
        <w:rPr>
          <w:rFonts w:ascii="Gungsuh" w:cs="Gungsuh" w:eastAsia="Gungsuh" w:hAnsi="Gungsuh"/>
          <w:i w:val="1"/>
          <w:iCs w:val="1"/>
          <w:sz w:val="20"/>
          <w:szCs w:val="20"/>
          <w:rtl w:val="0"/>
        </w:rPr>
        <w:t xml:space="preserve">J(P_t, P_{t+1}) = |P_t ∩ P_{t+1}| / |P_t ∪ P_{t+1}|</w:t>
      </w:r>
      <w:r w:rsidDel="00000000" w:rsidR="00000000" w:rsidRPr="00000000">
        <w:rPr>
          <w:rtl w:val="0"/>
        </w:rPr>
      </w:r>
    </w:p>
    <w:p w:rsidR="00000000" w:rsidDel="00000000" w:rsidP="00000000" w:rsidRDefault="00000000" w:rsidRPr="00000000" w14:paraId="0000010C">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Values near 1.0 indicate stable community membership; values near 0 indicate substantial realignment. Countries with consistently low Jaccard scores are flagged as boundary nodes requiring special policy attention.</w:t>
      </w:r>
      <w:r w:rsidDel="00000000" w:rsidR="00000000" w:rsidRPr="00000000">
        <w:rPr>
          <w:rtl w:val="0"/>
        </w:rPr>
      </w:r>
    </w:p>
    <w:p w:rsidR="00000000" w:rsidDel="00000000" w:rsidP="00000000" w:rsidRDefault="00000000" w:rsidRPr="00000000" w14:paraId="0000010D">
      <w:pPr>
        <w:spacing w:after="60" w:before="60" w:lineRule="auto"/>
        <w:rPr/>
      </w:pPr>
      <w:r w:rsidDel="00000000" w:rsidR="00000000" w:rsidRPr="00000000">
        <w:rPr>
          <w:rtl w:val="0"/>
        </w:rPr>
      </w:r>
    </w:p>
    <w:p w:rsidR="00000000" w:rsidDel="00000000" w:rsidP="00000000" w:rsidRDefault="00000000" w:rsidRPr="00000000" w14:paraId="0000010E">
      <w:pPr>
        <w:pBdr>
          <w:bottom w:color="2e74b5" w:space="2" w:sz="4" w:val="single"/>
        </w:pBdr>
        <w:spacing w:after="120" w:before="240" w:lineRule="auto"/>
        <w:rPr/>
      </w:pPr>
      <w:r w:rsidDel="00000000" w:rsidR="00000000" w:rsidRPr="00000000">
        <w:rPr>
          <w:rFonts w:ascii="Times New Roman" w:cs="Times New Roman" w:eastAsia="Times New Roman" w:hAnsi="Times New Roman"/>
          <w:b w:val="1"/>
          <w:bCs w:val="1"/>
          <w:sz w:val="22"/>
          <w:szCs w:val="22"/>
          <w:rtl w:val="0"/>
        </w:rPr>
        <w:t xml:space="preserve">VIII. MIGRATION DRIVER FACTORS</w:t>
      </w:r>
      <w:r w:rsidDel="00000000" w:rsidR="00000000" w:rsidRPr="00000000">
        <w:rPr>
          <w:rtl w:val="0"/>
        </w:rPr>
      </w:r>
    </w:p>
    <w:p w:rsidR="00000000" w:rsidDel="00000000" w:rsidP="00000000" w:rsidRDefault="00000000" w:rsidRPr="00000000" w14:paraId="0000010F">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The model incorporates seven variables chosen to represent the major theoretical categories of migration drivers: demographic pressure, economic opportunity, institutional access, and environmental stress.</w:t>
      </w:r>
      <w:r w:rsidDel="00000000" w:rsidR="00000000" w:rsidRPr="00000000">
        <w:rPr>
          <w:rtl w:val="0"/>
        </w:rPr>
      </w:r>
    </w:p>
    <w:p w:rsidR="00000000" w:rsidDel="00000000" w:rsidP="00000000" w:rsidRDefault="00000000" w:rsidRPr="00000000" w14:paraId="00000110">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Population Size</w:t>
      </w:r>
      <w:r w:rsidDel="00000000" w:rsidR="00000000" w:rsidRPr="00000000">
        <w:rPr>
          <w:rtl w:val="0"/>
        </w:rPr>
      </w:r>
    </w:p>
    <w:p w:rsidR="00000000" w:rsidDel="00000000" w:rsidP="00000000" w:rsidRDefault="00000000" w:rsidRPr="00000000" w14:paraId="00000111">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Population size is a fundamental demographic baseline. Larger origin populations produce more potential migrants simply by scale; larger destination countries can absorb more. It is included as a control variable in all regression models. Regression results confirm it as the strongest single predictor for both inflows (β=0.76) and outflows (β=0.92).</w:t>
      </w:r>
      <w:r w:rsidDel="00000000" w:rsidR="00000000" w:rsidRPr="00000000">
        <w:rPr>
          <w:rtl w:val="0"/>
        </w:rPr>
      </w:r>
    </w:p>
    <w:p w:rsidR="00000000" w:rsidDel="00000000" w:rsidP="00000000" w:rsidRDefault="00000000" w:rsidRPr="00000000" w14:paraId="00000112">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GDP per Capita</w:t>
      </w:r>
      <w:r w:rsidDel="00000000" w:rsidR="00000000" w:rsidRPr="00000000">
        <w:rPr>
          <w:rtl w:val="0"/>
        </w:rPr>
      </w:r>
    </w:p>
    <w:p w:rsidR="00000000" w:rsidDel="00000000" w:rsidP="00000000" w:rsidRDefault="00000000" w:rsidRPr="00000000" w14:paraId="00000113">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Economic prosperity at the destination is the most consistently documented pull factor in migration literature. Higher destination GDP signals employment opportunities, social services, and quality of life. At the origin, GDP has a more complex effect: very low GDP correlates with high emigration pressure, while moderate GDP growth can actually increase emigration by funding the cost of moving abroad. The regression confirms approximately twice the influence on inflows versus outflows.</w:t>
      </w:r>
      <w:r w:rsidDel="00000000" w:rsidR="00000000" w:rsidRPr="00000000">
        <w:rPr>
          <w:rtl w:val="0"/>
        </w:rPr>
      </w:r>
    </w:p>
    <w:p w:rsidR="00000000" w:rsidDel="00000000" w:rsidP="00000000" w:rsidRDefault="00000000" w:rsidRPr="00000000" w14:paraId="00000114">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Conflict Intensity</w:t>
      </w:r>
      <w:r w:rsidDel="00000000" w:rsidR="00000000" w:rsidRPr="00000000">
        <w:rPr>
          <w:rtl w:val="0"/>
        </w:rPr>
      </w:r>
    </w:p>
    <w:p w:rsidR="00000000" w:rsidDel="00000000" w:rsidP="00000000" w:rsidRDefault="00000000" w:rsidRPr="00000000" w14:paraId="00000115">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Armed conflict and political instability are the most direct push factors for forced displacement. Conflict intensity scores from UCDP or ACLED capture both the presence and severity of conflict events annually. The regression confirms a statistically significant positive association between origin conflict intensity and out-migration (β=0.20, p=0.009).</w:t>
      </w:r>
      <w:r w:rsidDel="00000000" w:rsidR="00000000" w:rsidRPr="00000000">
        <w:rPr>
          <w:rtl w:val="0"/>
        </w:rPr>
      </w:r>
    </w:p>
    <w:p w:rsidR="00000000" w:rsidDel="00000000" w:rsidP="00000000" w:rsidRDefault="00000000" w:rsidRPr="00000000" w14:paraId="00000116">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Unemployment Rate</w:t>
      </w:r>
      <w:r w:rsidDel="00000000" w:rsidR="00000000" w:rsidRPr="00000000">
        <w:rPr>
          <w:rtl w:val="0"/>
        </w:rPr>
      </w:r>
    </w:p>
    <w:p w:rsidR="00000000" w:rsidDel="00000000" w:rsidP="00000000" w:rsidRDefault="00000000" w:rsidRPr="00000000" w14:paraId="00000117">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Unemployment at the destination depresses its attractiveness to economic migrants by signaling limited labor market access. At the origin, high unemployment acts as a push factor. Separate origin and destination unemployment rates as predictors allow the model to distinguish these two effects. This bidirectional specification is a methodological contribution of the extended seven-factor model.</w:t>
      </w:r>
      <w:r w:rsidDel="00000000" w:rsidR="00000000" w:rsidRPr="00000000">
        <w:rPr>
          <w:rtl w:val="0"/>
        </w:rPr>
      </w:r>
    </w:p>
    <w:p w:rsidR="00000000" w:rsidDel="00000000" w:rsidP="00000000" w:rsidRDefault="00000000" w:rsidRPr="00000000" w14:paraId="00000118">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E. Education Index</w:t>
      </w:r>
      <w:r w:rsidDel="00000000" w:rsidR="00000000" w:rsidRPr="00000000">
        <w:rPr>
          <w:rtl w:val="0"/>
        </w:rPr>
      </w:r>
    </w:p>
    <w:p w:rsidR="00000000" w:rsidDel="00000000" w:rsidP="00000000" w:rsidRDefault="00000000" w:rsidRPr="00000000" w14:paraId="00000119">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The UNDP Education Index captures both literacy rates and expected years of schooling. At the origin, higher education is associated with greater international mobility — the brain drain dynamic. Educated populations are more aware of opportunities abroad and have the credentials to access skilled worker visa pathways. At the destination, high education levels signal an advanced economy and quality institutions, attracting skilled migrants.</w:t>
      </w:r>
      <w:r w:rsidDel="00000000" w:rsidR="00000000" w:rsidRPr="00000000">
        <w:rPr>
          <w:rtl w:val="0"/>
        </w:rPr>
      </w:r>
    </w:p>
    <w:p w:rsidR="00000000" w:rsidDel="00000000" w:rsidP="00000000" w:rsidRDefault="00000000" w:rsidRPr="00000000" w14:paraId="0000011A">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F. Visa Openness Index</w:t>
      </w:r>
      <w:r w:rsidDel="00000000" w:rsidR="00000000" w:rsidRPr="00000000">
        <w:rPr>
          <w:rtl w:val="0"/>
        </w:rPr>
      </w:r>
    </w:p>
    <w:p w:rsidR="00000000" w:rsidDel="00000000" w:rsidP="00000000" w:rsidRDefault="00000000" w:rsidRPr="00000000" w14:paraId="0000011B">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Unlike other factors, visa policy is a direct institutional constraint on migration rather than an indirect economic or demographic driver. The Henley Passport Index scores each country's passport by the number of destinations accessible without a visa; MIPEX adds an integration policy dimension at the destination. A high visa openness score at the destination directly reduces the legal and logistical barrier to migration and is expected to correlate positively with in-migration volume.</w:t>
      </w:r>
      <w:r w:rsidDel="00000000" w:rsidR="00000000" w:rsidRPr="00000000">
        <w:rPr>
          <w:rtl w:val="0"/>
        </w:rPr>
      </w:r>
    </w:p>
    <w:p w:rsidR="00000000" w:rsidDel="00000000" w:rsidP="00000000" w:rsidRDefault="00000000" w:rsidRPr="00000000" w14:paraId="0000011C">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G. Climate Vulnerability</w:t>
      </w:r>
      <w:r w:rsidDel="00000000" w:rsidR="00000000" w:rsidRPr="00000000">
        <w:rPr>
          <w:rtl w:val="0"/>
        </w:rPr>
      </w:r>
    </w:p>
    <w:p w:rsidR="00000000" w:rsidDel="00000000" w:rsidP="00000000" w:rsidRDefault="00000000" w:rsidRPr="00000000" w14:paraId="0000011D">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The Notre Dame Global Adaptation Index (ND-GAIN) scores countries on their vulnerability to climate-related disruptions — food insecurity, sea level rise, extreme weather — and their adaptive capacity. Countries with high climate vulnerability and low adaptive capacity, especially in South Asia, the Sahel, and Pacific island nations, are expected to exhibit elevated out-migration as climate stress compounds existing push factors. This variable is forward-looking: its weight in the regression is expected to grow in post-2010 data as climate impacts intensify. The threshold question — at what point does climate stress become the primary driver rather than a background multiplier — is a key research question this factor addresses.</w:t>
      </w: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rtl w:val="0"/>
        </w:rPr>
      </w:r>
    </w:p>
    <w:p w:rsidR="00000000" w:rsidDel="00000000" w:rsidP="00000000" w:rsidRDefault="00000000" w:rsidRPr="00000000" w14:paraId="0000011F">
      <w:pPr>
        <w:pBdr>
          <w:bottom w:color="2e74b5" w:space="2" w:sz="4" w:val="single"/>
        </w:pBdr>
        <w:spacing w:after="120" w:before="240" w:lineRule="auto"/>
        <w:rPr/>
      </w:pPr>
      <w:r w:rsidDel="00000000" w:rsidR="00000000" w:rsidRPr="00000000">
        <w:rPr>
          <w:rFonts w:ascii="Times New Roman" w:cs="Times New Roman" w:eastAsia="Times New Roman" w:hAnsi="Times New Roman"/>
          <w:b w:val="1"/>
          <w:bCs w:val="1"/>
          <w:sz w:val="22"/>
          <w:szCs w:val="22"/>
          <w:rtl w:val="0"/>
        </w:rPr>
        <w:t xml:space="preserve">IX. POWER BI VISUALIZATION PLAN</w:t>
      </w:r>
      <w:r w:rsidDel="00000000" w:rsidR="00000000" w:rsidRPr="00000000">
        <w:rPr>
          <w:rtl w:val="0"/>
        </w:rPr>
      </w:r>
    </w:p>
    <w:p w:rsidR="00000000" w:rsidDel="00000000" w:rsidP="00000000" w:rsidRDefault="00000000" w:rsidRPr="00000000" w14:paraId="00000120">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Interactive dashboards in Power BI serve as the primary presentation layer for this project. The Python analysis pipeline outputs cleaned CSV files per analytical module, which Power BI Desktop ingests and models.</w:t>
      </w:r>
      <w:r w:rsidDel="00000000" w:rsidR="00000000" w:rsidRPr="00000000">
        <w:rPr>
          <w:rtl w:val="0"/>
        </w:rPr>
      </w:r>
    </w:p>
    <w:p w:rsidR="00000000" w:rsidDel="00000000" w:rsidP="00000000" w:rsidRDefault="00000000" w:rsidRPr="00000000" w14:paraId="00000121">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Data Pipeline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Step 1 — Python outputs: One CSV per module (centrality metrics, community memberships, regression results, temporal trends, factor correlations)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Step 2 — Ingestion: Power BI Desktop via Get Data → Text/CSV</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Step 3 — Data model: Relationships defined on ISO3 country code and year as shared keys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Step 4 — DAX measures: Derived metrics including migration growth rate, modularity change over time, and factor-controlled in-degree</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Step 5 — Publishing: Power BI Service for sharing and presentation</w:t>
      </w:r>
    </w:p>
    <w:p w:rsidR="00000000" w:rsidDel="00000000" w:rsidP="00000000" w:rsidRDefault="00000000" w:rsidRPr="00000000" w14:paraId="00000127">
      <w:pPr>
        <w:spacing w:after="60" w:before="60" w:lineRule="auto"/>
        <w:rPr/>
      </w:pPr>
      <w:r w:rsidDel="00000000" w:rsidR="00000000" w:rsidRPr="00000000">
        <w:rPr>
          <w:rtl w:val="0"/>
        </w:rPr>
      </w:r>
    </w:p>
    <w:p w:rsidR="00000000" w:rsidDel="00000000" w:rsidP="00000000" w:rsidRDefault="00000000" w:rsidRPr="00000000" w14:paraId="00000128">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Dashboard Plan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960"/>
        <w:gridCol w:w="2040"/>
        <w:gridCol w:w="960"/>
        <w:tblGridChange w:id="0">
          <w:tblGrid>
            <w:gridCol w:w="2400"/>
            <w:gridCol w:w="3960"/>
            <w:gridCol w:w="2040"/>
            <w:gridCol w:w="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129">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12A">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Key Visuals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Filters &amp; Interactivity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12C">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Fig.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D">
            <w:pPr>
              <w:jc w:val="left"/>
              <w:rPr/>
            </w:pPr>
            <w:r w:rsidDel="00000000" w:rsidR="00000000" w:rsidRPr="00000000">
              <w:rPr>
                <w:rFonts w:ascii="Times New Roman" w:cs="Times New Roman" w:eastAsia="Times New Roman" w:hAnsi="Times New Roman"/>
                <w:b w:val="1"/>
                <w:bCs w:val="1"/>
                <w:sz w:val="18"/>
                <w:szCs w:val="18"/>
                <w:rtl w:val="0"/>
              </w:rPr>
              <w:t xml:space="preserve">1. Global Migration Overview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rFonts w:ascii="Times New Roman" w:cs="Times New Roman" w:eastAsia="Times New Roman" w:hAnsi="Times New Roman"/>
                <w:sz w:val="18"/>
                <w:szCs w:val="18"/>
                <w:rtl w:val="0"/>
              </w:rPr>
              <w:t xml:space="preserve">Choropleth map of migration inflows/outflows; line chart of total network volume 1990–2025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F">
            <w:pPr>
              <w:jc w:val="left"/>
              <w:rPr/>
            </w:pPr>
            <w:r w:rsidDel="00000000" w:rsidR="00000000" w:rsidRPr="00000000">
              <w:rPr>
                <w:rFonts w:ascii="Times New Roman" w:cs="Times New Roman" w:eastAsia="Times New Roman" w:hAnsi="Times New Roman"/>
                <w:sz w:val="18"/>
                <w:szCs w:val="18"/>
                <w:rtl w:val="0"/>
              </w:rPr>
              <w:t xml:space="preserve">Year slicer, country dropdown, flow direction toggle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0">
            <w:pPr>
              <w:jc w:val="left"/>
              <w:rPr/>
            </w:pPr>
            <w:r w:rsidDel="00000000" w:rsidR="00000000" w:rsidRPr="00000000">
              <w:rPr>
                <w:rFonts w:ascii="Times New Roman" w:cs="Times New Roman" w:eastAsia="Times New Roman" w:hAnsi="Times New Roman"/>
                <w:sz w:val="18"/>
                <w:szCs w:val="18"/>
                <w:rtl w:val="0"/>
              </w:rPr>
              <w:t xml:space="preserve">Fig. 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rFonts w:ascii="Times New Roman" w:cs="Times New Roman" w:eastAsia="Times New Roman" w:hAnsi="Times New Roman"/>
                <w:b w:val="1"/>
                <w:bCs w:val="1"/>
                <w:sz w:val="18"/>
                <w:szCs w:val="18"/>
                <w:rtl w:val="0"/>
              </w:rPr>
              <w:t xml:space="preserve">2. Centrality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Times New Roman" w:cs="Times New Roman" w:eastAsia="Times New Roman" w:hAnsi="Times New Roman"/>
                <w:sz w:val="18"/>
                <w:szCs w:val="18"/>
                <w:rtl w:val="0"/>
              </w:rPr>
              <w:t xml:space="preserve">Ranked bar charts (top 10 per centrality type); multi-line time-series per country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rFonts w:ascii="Times New Roman" w:cs="Times New Roman" w:eastAsia="Times New Roman" w:hAnsi="Times New Roman"/>
                <w:sz w:val="18"/>
                <w:szCs w:val="18"/>
                <w:rtl w:val="0"/>
              </w:rPr>
              <w:t xml:space="preserve">Centrality type selector, year slider, country multi-select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Times New Roman" w:cs="Times New Roman" w:eastAsia="Times New Roman" w:hAnsi="Times New Roman"/>
                <w:sz w:val="18"/>
                <w:szCs w:val="18"/>
                <w:rtl w:val="0"/>
              </w:rPr>
              <w:t xml:space="preserve">Fig. 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Times New Roman" w:cs="Times New Roman" w:eastAsia="Times New Roman" w:hAnsi="Times New Roman"/>
                <w:b w:val="1"/>
                <w:bCs w:val="1"/>
                <w:sz w:val="18"/>
                <w:szCs w:val="18"/>
                <w:rtl w:val="0"/>
              </w:rPr>
              <w:t xml:space="preserve">3. Community Detection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Times New Roman" w:cs="Times New Roman" w:eastAsia="Times New Roman" w:hAnsi="Times New Roman"/>
                <w:sz w:val="18"/>
                <w:szCs w:val="18"/>
                <w:rtl w:val="0"/>
              </w:rPr>
              <w:t xml:space="preserve">Force-directed network graph; Sankey diagram of inter-community flows; modularity Q comparison bar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Times New Roman" w:cs="Times New Roman" w:eastAsia="Times New Roman" w:hAnsi="Times New Roman"/>
                <w:sz w:val="18"/>
                <w:szCs w:val="18"/>
                <w:rtl w:val="0"/>
              </w:rPr>
              <w:t xml:space="preserve">Algorithm toggle (Louvain / Girvan-Newman / Leiden), year slicer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Times New Roman" w:cs="Times New Roman" w:eastAsia="Times New Roman" w:hAnsi="Times New Roman"/>
                <w:sz w:val="18"/>
                <w:szCs w:val="18"/>
                <w:rtl w:val="0"/>
              </w:rPr>
              <w:t xml:space="preserve">Fig. 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rFonts w:ascii="Times New Roman" w:cs="Times New Roman" w:eastAsia="Times New Roman" w:hAnsi="Times New Roman"/>
                <w:b w:val="1"/>
                <w:bCs w:val="1"/>
                <w:sz w:val="18"/>
                <w:szCs w:val="18"/>
                <w:rtl w:val="0"/>
              </w:rPr>
              <w:t xml:space="preserve">4. Factor Correlation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Times New Roman" w:cs="Times New Roman" w:eastAsia="Times New Roman" w:hAnsi="Times New Roman"/>
                <w:sz w:val="18"/>
                <w:szCs w:val="18"/>
                <w:rtl w:val="0"/>
              </w:rPr>
              <w:t xml:space="preserve">Scatter plots: in-degree vs. each of the 7 factors; regression fit overlay; correlation heatmap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B">
            <w:pPr>
              <w:jc w:val="left"/>
              <w:rPr/>
            </w:pPr>
            <w:r w:rsidDel="00000000" w:rsidR="00000000" w:rsidRPr="00000000">
              <w:rPr>
                <w:rFonts w:ascii="Times New Roman" w:cs="Times New Roman" w:eastAsia="Times New Roman" w:hAnsi="Times New Roman"/>
                <w:sz w:val="18"/>
                <w:szCs w:val="18"/>
                <w:rtl w:val="0"/>
              </w:rPr>
              <w:t xml:space="preserve">Factor selector, country filter, year 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rFonts w:ascii="Times New Roman" w:cs="Times New Roman" w:eastAsia="Times New Roman" w:hAnsi="Times New Roman"/>
                <w:sz w:val="18"/>
                <w:szCs w:val="18"/>
                <w:rtl w:val="0"/>
              </w:rPr>
              <w:t xml:space="preserve">Fig. 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rFonts w:ascii="Times New Roman" w:cs="Times New Roman" w:eastAsia="Times New Roman" w:hAnsi="Times New Roman"/>
                <w:b w:val="1"/>
                <w:bCs w:val="1"/>
                <w:sz w:val="18"/>
                <w:szCs w:val="18"/>
                <w:rtl w:val="0"/>
              </w:rPr>
              <w:t xml:space="preserve">5. Regression Summary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Times New Roman" w:cs="Times New Roman" w:eastAsia="Times New Roman" w:hAnsi="Times New Roman"/>
                <w:sz w:val="18"/>
                <w:szCs w:val="18"/>
                <w:rtl w:val="0"/>
              </w:rPr>
              <w:t xml:space="preserve">Coefficient chart with confidence intervals; R² comparison (3-factor vs. 7-factor); factor importance ranking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rFonts w:ascii="Times New Roman" w:cs="Times New Roman" w:eastAsia="Times New Roman" w:hAnsi="Times New Roman"/>
                <w:sz w:val="18"/>
                <w:szCs w:val="18"/>
                <w:rtl w:val="0"/>
              </w:rPr>
              <w:t xml:space="preserve">Model selector, inflow/outflow toggle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rFonts w:ascii="Times New Roman" w:cs="Times New Roman" w:eastAsia="Times New Roman" w:hAnsi="Times New Roman"/>
                <w:sz w:val="18"/>
                <w:szCs w:val="18"/>
                <w:rtl w:val="0"/>
              </w:rPr>
              <w:t xml:space="preserve">Fig. 13</w:t>
            </w:r>
            <w:r w:rsidDel="00000000" w:rsidR="00000000" w:rsidRPr="00000000">
              <w:rPr>
                <w:rtl w:val="0"/>
              </w:rPr>
            </w:r>
          </w:p>
        </w:tc>
      </w:tr>
    </w:tbl>
    <w:p w:rsidR="00000000" w:rsidDel="00000000" w:rsidP="00000000" w:rsidRDefault="00000000" w:rsidRPr="00000000" w14:paraId="00000141">
      <w:pPr>
        <w:spacing w:after="60" w:before="160" w:lineRule="auto"/>
        <w:jc w:val="center"/>
        <w:rPr/>
      </w:pPr>
      <w:r w:rsidDel="00000000" w:rsidR="00000000" w:rsidRPr="00000000">
        <w:rPr>
          <w:rFonts w:ascii="Times New Roman" w:cs="Times New Roman" w:eastAsia="Times New Roman" w:hAnsi="Times New Roman"/>
          <w:b w:val="1"/>
          <w:bCs w:val="1"/>
          <w:sz w:val="18"/>
          <w:szCs w:val="18"/>
          <w:rtl w:val="0"/>
        </w:rPr>
        <w:t xml:space="preserve">TABLE VIII: Power BI Dashboard Plan</w:t>
      </w:r>
      <w:r w:rsidDel="00000000" w:rsidR="00000000" w:rsidRPr="00000000">
        <w:rPr>
          <w:rtl w:val="0"/>
        </w:rPr>
      </w:r>
    </w:p>
    <w:p w:rsidR="00000000" w:rsidDel="00000000" w:rsidP="00000000" w:rsidRDefault="00000000" w:rsidRPr="00000000" w14:paraId="00000142">
      <w:pPr>
        <w:spacing w:after="160" w:before="60" w:lineRule="auto"/>
        <w:jc w:val="center"/>
        <w:rPr/>
      </w:pPr>
      <w:r w:rsidDel="00000000" w:rsidR="00000000" w:rsidRPr="00000000">
        <w:rPr>
          <w:rtl w:val="0"/>
        </w:rPr>
      </w:r>
    </w:p>
    <w:p w:rsidR="00000000" w:rsidDel="00000000" w:rsidP="00000000" w:rsidRDefault="00000000" w:rsidRPr="00000000" w14:paraId="00000143">
      <w:pPr>
        <w:spacing w:after="60" w:before="60" w:lineRule="auto"/>
        <w:rPr/>
      </w:pPr>
      <w:r w:rsidDel="00000000" w:rsidR="00000000" w:rsidRPr="00000000">
        <w:rPr>
          <w:rtl w:val="0"/>
        </w:rPr>
      </w:r>
    </w:p>
    <w:p w:rsidR="00000000" w:rsidDel="00000000" w:rsidP="00000000" w:rsidRDefault="00000000" w:rsidRPr="00000000" w14:paraId="00000144">
      <w:pPr>
        <w:pBdr>
          <w:bottom w:color="2e74b5" w:space="2" w:sz="4" w:val="single"/>
        </w:pBdr>
        <w:spacing w:after="120" w:before="240" w:lineRule="auto"/>
        <w:rPr/>
      </w:pPr>
      <w:r w:rsidDel="00000000" w:rsidR="00000000" w:rsidRPr="00000000">
        <w:rPr>
          <w:rFonts w:ascii="Times New Roman" w:cs="Times New Roman" w:eastAsia="Times New Roman" w:hAnsi="Times New Roman"/>
          <w:b w:val="1"/>
          <w:bCs w:val="1"/>
          <w:sz w:val="22"/>
          <w:szCs w:val="22"/>
          <w:rtl w:val="0"/>
        </w:rPr>
        <w:t xml:space="preserve">X. KEY RESEARCH QUESTIONS AND APPLICATIONS</w:t>
      </w:r>
      <w:r w:rsidDel="00000000" w:rsidR="00000000" w:rsidRPr="00000000">
        <w:rPr>
          <w:rtl w:val="0"/>
        </w:rPr>
      </w:r>
    </w:p>
    <w:p w:rsidR="00000000" w:rsidDel="00000000" w:rsidP="00000000" w:rsidRDefault="00000000" w:rsidRPr="00000000" w14:paraId="00000145">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Research Questions</w:t>
      </w:r>
      <w:r w:rsidDel="00000000" w:rsidR="00000000" w:rsidRPr="00000000">
        <w:rPr>
          <w:rtl w:val="0"/>
        </w:rPr>
      </w:r>
    </w:p>
    <w:p w:rsidR="00000000" w:rsidDel="00000000" w:rsidP="00000000" w:rsidRDefault="00000000" w:rsidRPr="00000000" w14:paraId="00000146">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This project is designed to answer seven specific research questions that go beyond descriptive statistics to produce analytically meaningful findings:</w:t>
      </w:r>
      <w:r w:rsidDel="00000000" w:rsidR="00000000" w:rsidRPr="00000000">
        <w:rPr>
          <w:rtl w:val="0"/>
        </w:rPr>
      </w:r>
    </w:p>
    <w:p w:rsidR="00000000" w:rsidDel="00000000" w:rsidP="00000000" w:rsidRDefault="00000000" w:rsidRPr="00000000" w14:paraId="00000147">
      <w:pPr>
        <w:spacing w:after="60" w:before="60" w:lineRule="auto"/>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Q1 — Silent Load-Bearers: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Which countries are structurally indispensable migration connectors yet rarely appear in migration headlines? Betweenness centrality is framed as a governance tool identifying critical transit nations requiring targeted policy investment.</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Q2 — Colonial Corridors vs. Economic Gravity: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the 2025 community structure still resemble a 1960s decolonization map, or have economic forces reshaped migration communities? Algorithm disagreements are treated as evidence about countries sitting ambiguously between two worlds.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Q3 — Bend or Break?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 do global shocks — Soviet dissolution, EU enlargement, the 2008 crash, COVID-19, Ukraine — affect network modularity? Each shock has a directional prediction tested explicitly via Jaccard analysis.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Q4 — Liberate or Anchor?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the education-migration relationship non-linear across income levels? Does higher education liberate migrants (brain drain) or anchor them (skill retention)? Origin-side vs. destination-side predictors separate these effects.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Q5 — Rerouting vs. Suppression: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Does restrictive visa policy stop migration or merely redirect it to neighboring countries? The network framing is uniquely capable of detecting redirection that aggregate statistics miss.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Q6 — The Threshold Problem: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what point does climate stress become the primary migration driver rather than a background multiplier? Testing whether the climate coefficient grows across snapshots provides a clear empirical standard.</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Q7 — Random vs. Targeted Fragility: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the migration network more vulnerable to the removal of random nodes or targeted hub attacks? COVID-19 border closures are reframed as a natural experiment the data can analyze.</w:t>
      </w:r>
    </w:p>
    <w:p w:rsidR="00000000" w:rsidDel="00000000" w:rsidP="00000000" w:rsidRDefault="00000000" w:rsidRPr="00000000" w14:paraId="0000014F">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Application Domains</w:t>
      </w:r>
      <w:r w:rsidDel="00000000" w:rsidR="00000000" w:rsidRPr="00000000">
        <w:rPr>
          <w:rtl w:val="0"/>
        </w:rPr>
      </w:r>
    </w:p>
    <w:p w:rsidR="00000000" w:rsidDel="00000000" w:rsidP="00000000" w:rsidRDefault="00000000" w:rsidRPr="00000000" w14:paraId="00000150">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The analytical outputs have direct relevance across five domains:</w:t>
      </w:r>
      <w:r w:rsidDel="00000000" w:rsidR="00000000" w:rsidRPr="00000000">
        <w:rPr>
          <w:rtl w:val="0"/>
        </w:rPr>
      </w:r>
    </w:p>
    <w:p w:rsidR="00000000" w:rsidDel="00000000" w:rsidP="00000000" w:rsidRDefault="00000000" w:rsidRPr="00000000" w14:paraId="00000151">
      <w:pPr>
        <w:spacing w:after="60" w:before="60" w:lineRule="auto"/>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Regional Migration Policy Coordination: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Community detection results reveal which countries share dense migration dynamics and therefore have aligned policy interests. Betweenness centrality analysis identifies transit hub countries that may require targeted investment in processing infrastructure.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Humanitarian Early Warning: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By integrating conflict intensity and climate vulnerability, the model enables early flagging of countries showing signs of imminent migration surge. UNHCR and IOM can use this framework to allocate resources proactively.</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Skilled Labor and Development Planning: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education index and GDP correlations allow destination countries to model how their economic trajectory will affect future skilled worker inflows, and provide direct evidence for development agencies designing skills retention policies.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Evidence-Based Visa Policy Reform: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visa openness index enables an empirical test of whether more liberal visa regimes actually translate into increased migration volumes, isolated from economic and demographic confounds.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Climate Migration Scenario Forecasting: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Projecting ND-GAIN climate vulnerability scores forward under IPCC climate scenarios (SSP2 and SSP5) allows the network model to simulate how migration communities and hub structures may shift by 2040–2060, particularly for Pacific island nations, Sahelian Africa, and South Asian coastal zones.</w:t>
      </w:r>
    </w:p>
    <w:p w:rsidR="00000000" w:rsidDel="00000000" w:rsidP="00000000" w:rsidRDefault="00000000" w:rsidRPr="00000000" w14:paraId="00000157">
      <w:pPr>
        <w:spacing w:after="60" w:before="60" w:lineRule="auto"/>
        <w:rPr/>
      </w:pPr>
      <w:r w:rsidDel="00000000" w:rsidR="00000000" w:rsidRPr="00000000">
        <w:rPr>
          <w:rtl w:val="0"/>
        </w:rPr>
      </w:r>
    </w:p>
    <w:p w:rsidR="00000000" w:rsidDel="00000000" w:rsidP="00000000" w:rsidRDefault="00000000" w:rsidRPr="00000000" w14:paraId="00000158">
      <w:pPr>
        <w:pBdr>
          <w:bottom w:color="2e74b5" w:space="2" w:sz="4" w:val="single"/>
        </w:pBdr>
        <w:spacing w:after="120" w:before="240" w:lineRule="auto"/>
        <w:rPr/>
      </w:pPr>
      <w:r w:rsidDel="00000000" w:rsidR="00000000" w:rsidRPr="00000000">
        <w:rPr>
          <w:rFonts w:ascii="Times New Roman" w:cs="Times New Roman" w:eastAsia="Times New Roman" w:hAnsi="Times New Roman"/>
          <w:b w:val="1"/>
          <w:bCs w:val="1"/>
          <w:sz w:val="22"/>
          <w:szCs w:val="22"/>
          <w:rtl w:val="0"/>
        </w:rPr>
        <w:t xml:space="preserve">XI. WORK PLAN AND EXPECTED OUTCOMES</w:t>
      </w:r>
      <w:r w:rsidDel="00000000" w:rsidR="00000000" w:rsidRPr="00000000">
        <w:rPr>
          <w:rtl w:val="0"/>
        </w:rPr>
      </w:r>
    </w:p>
    <w:p w:rsidR="00000000" w:rsidDel="00000000" w:rsidP="00000000" w:rsidRDefault="00000000" w:rsidRPr="00000000" w14:paraId="00000159">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Project Phases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Tasks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C">
            <w:pPr>
              <w:jc w:val="left"/>
              <w:rPr/>
            </w:pPr>
            <w:r w:rsidDel="00000000" w:rsidR="00000000" w:rsidRPr="00000000">
              <w:rPr>
                <w:rFonts w:ascii="Times New Roman" w:cs="Times New Roman" w:eastAsia="Times New Roman" w:hAnsi="Times New Roman"/>
                <w:b w:val="1"/>
                <w:bCs w:val="1"/>
                <w:sz w:val="18"/>
                <w:szCs w:val="18"/>
                <w:rtl w:val="0"/>
              </w:rPr>
              <w:t xml:space="preserve">Phase 1: Data Collection &amp; Cleaning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rFonts w:ascii="Times New Roman" w:cs="Times New Roman" w:eastAsia="Times New Roman" w:hAnsi="Times New Roman"/>
                <w:sz w:val="18"/>
                <w:szCs w:val="18"/>
                <w:rtl w:val="0"/>
              </w:rPr>
              <w:t xml:space="preserve">Download all datasets; standardize ISO3 codes; handle missing values; merge into unified long-format dataframe; extend to 2025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rFonts w:ascii="Times New Roman" w:cs="Times New Roman" w:eastAsia="Times New Roman" w:hAnsi="Times New Roman"/>
                <w:b w:val="1"/>
                <w:bCs w:val="1"/>
                <w:sz w:val="18"/>
                <w:szCs w:val="18"/>
                <w:rtl w:val="0"/>
              </w:rPr>
              <w:t xml:space="preserve">Phase 2: Network Construction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F">
            <w:pPr>
              <w:jc w:val="left"/>
              <w:rPr/>
            </w:pPr>
            <w:r w:rsidDel="00000000" w:rsidR="00000000" w:rsidRPr="00000000">
              <w:rPr>
                <w:rFonts w:ascii="Times New Roman" w:cs="Times New Roman" w:eastAsia="Times New Roman" w:hAnsi="Times New Roman"/>
                <w:sz w:val="18"/>
                <w:szCs w:val="18"/>
                <w:rtl w:val="0"/>
              </w:rPr>
              <w:t xml:space="preserve">Build 8 directed weighted graph snapshots in NetworkX; compute all four centrality metrics per snapshot; export centrality CSVs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rFonts w:ascii="Times New Roman" w:cs="Times New Roman" w:eastAsia="Times New Roman" w:hAnsi="Times New Roman"/>
                <w:b w:val="1"/>
                <w:bCs w:val="1"/>
                <w:sz w:val="18"/>
                <w:szCs w:val="18"/>
                <w:rtl w:val="0"/>
              </w:rPr>
              <w:t xml:space="preserve">Phase 3: Community Detection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rFonts w:ascii="Times New Roman" w:cs="Times New Roman" w:eastAsia="Times New Roman" w:hAnsi="Times New Roman"/>
                <w:sz w:val="18"/>
                <w:szCs w:val="18"/>
                <w:rtl w:val="0"/>
              </w:rPr>
              <w:t xml:space="preserve">Implement Louvain, Girvan-Newman (subgraph), and Leiden; compute modularity Q for all years; run NMI and ARI comparisons; temporal Jaccard drift analysis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2">
            <w:pPr>
              <w:jc w:val="left"/>
              <w:rPr/>
            </w:pPr>
            <w:r w:rsidDel="00000000" w:rsidR="00000000" w:rsidRPr="00000000">
              <w:rPr>
                <w:rFonts w:ascii="Times New Roman" w:cs="Times New Roman" w:eastAsia="Times New Roman" w:hAnsi="Times New Roman"/>
                <w:b w:val="1"/>
                <w:bCs w:val="1"/>
                <w:sz w:val="18"/>
                <w:szCs w:val="18"/>
                <w:rtl w:val="0"/>
              </w:rPr>
              <w:t xml:space="preserve">Phase 4: Regression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3">
            <w:pPr>
              <w:jc w:val="left"/>
              <w:rPr/>
            </w:pPr>
            <w:r w:rsidDel="00000000" w:rsidR="00000000" w:rsidRPr="00000000">
              <w:rPr>
                <w:rFonts w:ascii="Times New Roman" w:cs="Times New Roman" w:eastAsia="Times New Roman" w:hAnsi="Times New Roman"/>
                <w:sz w:val="18"/>
                <w:szCs w:val="18"/>
                <w:rtl w:val="0"/>
              </w:rPr>
              <w:t xml:space="preserve">Fit 3-factor baseline and 7-factor extended regression models for inflows and outflows; VIF analysis; compare R² and AIC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4">
            <w:pPr>
              <w:jc w:val="left"/>
              <w:rPr/>
            </w:pPr>
            <w:r w:rsidDel="00000000" w:rsidR="00000000" w:rsidRPr="00000000">
              <w:rPr>
                <w:rFonts w:ascii="Times New Roman" w:cs="Times New Roman" w:eastAsia="Times New Roman" w:hAnsi="Times New Roman"/>
                <w:b w:val="1"/>
                <w:bCs w:val="1"/>
                <w:sz w:val="18"/>
                <w:szCs w:val="18"/>
                <w:rtl w:val="0"/>
              </w:rPr>
              <w:t xml:space="preserve">Phase 5: Power BI Dashboards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5">
            <w:pPr>
              <w:jc w:val="left"/>
              <w:rPr/>
            </w:pPr>
            <w:r w:rsidDel="00000000" w:rsidR="00000000" w:rsidRPr="00000000">
              <w:rPr>
                <w:rFonts w:ascii="Times New Roman" w:cs="Times New Roman" w:eastAsia="Times New Roman" w:hAnsi="Times New Roman"/>
                <w:sz w:val="18"/>
                <w:szCs w:val="18"/>
                <w:rtl w:val="0"/>
              </w:rPr>
              <w:t xml:space="preserve">Build all 5 dashboards; configure relationships, slicers, and DAX measures; test Python script visuals; export report screenshots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6">
            <w:pPr>
              <w:jc w:val="left"/>
              <w:rPr/>
            </w:pPr>
            <w:r w:rsidDel="00000000" w:rsidR="00000000" w:rsidRPr="00000000">
              <w:rPr>
                <w:rFonts w:ascii="Times New Roman" w:cs="Times New Roman" w:eastAsia="Times New Roman" w:hAnsi="Times New Roman"/>
                <w:b w:val="1"/>
                <w:bCs w:val="1"/>
                <w:sz w:val="18"/>
                <w:szCs w:val="18"/>
                <w:rtl w:val="0"/>
              </w:rPr>
              <w:t xml:space="preserve">Phase 6: Report Writing &amp; Review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7">
            <w:pPr>
              <w:jc w:val="left"/>
              <w:rPr/>
            </w:pPr>
            <w:r w:rsidDel="00000000" w:rsidR="00000000" w:rsidRPr="00000000">
              <w:rPr>
                <w:rFonts w:ascii="Times New Roman" w:cs="Times New Roman" w:eastAsia="Times New Roman" w:hAnsi="Times New Roman"/>
                <w:sz w:val="18"/>
                <w:szCs w:val="18"/>
                <w:rtl w:val="0"/>
              </w:rPr>
              <w:t xml:space="preserve">Draft all report sections; integrate figures and tables; write applications section; internal review and proofreading</w:t>
            </w:r>
            <w:r w:rsidDel="00000000" w:rsidR="00000000" w:rsidRPr="00000000">
              <w:rPr>
                <w:rtl w:val="0"/>
              </w:rPr>
            </w:r>
          </w:p>
        </w:tc>
      </w:tr>
    </w:tbl>
    <w:p w:rsidR="00000000" w:rsidDel="00000000" w:rsidP="00000000" w:rsidRDefault="00000000" w:rsidRPr="00000000" w14:paraId="00000168">
      <w:pPr>
        <w:spacing w:after="60" w:before="160" w:lineRule="auto"/>
        <w:jc w:val="center"/>
        <w:rPr/>
      </w:pPr>
      <w:r w:rsidDel="00000000" w:rsidR="00000000" w:rsidRPr="00000000">
        <w:rPr>
          <w:rFonts w:ascii="Times New Roman" w:cs="Times New Roman" w:eastAsia="Times New Roman" w:hAnsi="Times New Roman"/>
          <w:b w:val="1"/>
          <w:bCs w:val="1"/>
          <w:sz w:val="18"/>
          <w:szCs w:val="18"/>
          <w:rtl w:val="0"/>
        </w:rPr>
        <w:t xml:space="preserve">TABLE IX: Project Work Plan</w:t>
      </w:r>
      <w:r w:rsidDel="00000000" w:rsidR="00000000" w:rsidRPr="00000000">
        <w:rPr>
          <w:rtl w:val="0"/>
        </w:rPr>
      </w:r>
    </w:p>
    <w:p w:rsidR="00000000" w:rsidDel="00000000" w:rsidP="00000000" w:rsidRDefault="00000000" w:rsidRPr="00000000" w14:paraId="00000169">
      <w:pPr>
        <w:spacing w:after="60" w:before="60" w:lineRule="auto"/>
        <w:rPr/>
      </w:pPr>
      <w:r w:rsidDel="00000000" w:rsidR="00000000" w:rsidRPr="00000000">
        <w:rPr>
          <w:rtl w:val="0"/>
        </w:rPr>
      </w:r>
    </w:p>
    <w:p w:rsidR="00000000" w:rsidDel="00000000" w:rsidP="00000000" w:rsidRDefault="00000000" w:rsidRPr="00000000" w14:paraId="0000016A">
      <w:pPr>
        <w:spacing w:after="80" w:before="16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Expected Outcomes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fully constructed 8-snapshot dynamic migration network covering 1990–2025, suitable for temporal and structural analysis.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centrality profile of the global migration network, identifying the most influential hubs, transit nodes, and emigration sources as of 2025.</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comparative community detection analysis with modularity scores across all three algorithms and all 8 time snapshots, with interpretation of which regional clusters have strengthened or dissolved over the study period.</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7-factor regression model with significantly higher explanatory power than the 3-factor baseline (target R² &gt; 0.80 for inflows), demonstrating the added value of unemployment, education, visa, and climate variables.</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Five interactive Power BI dashboards ready for presentation to academic and policy audiences.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documented applications section grounding the technical findings in real-world policy and planning relevance.</w:t>
      </w:r>
    </w:p>
    <w:p w:rsidR="00000000" w:rsidDel="00000000" w:rsidP="00000000" w:rsidRDefault="00000000" w:rsidRPr="00000000" w14:paraId="00000171">
      <w:pPr>
        <w:spacing w:after="60" w:before="60" w:lineRule="auto"/>
        <w:rPr/>
      </w:pPr>
      <w:r w:rsidDel="00000000" w:rsidR="00000000" w:rsidRPr="00000000">
        <w:rPr>
          <w:rtl w:val="0"/>
        </w:rPr>
      </w:r>
    </w:p>
    <w:p w:rsidR="00000000" w:rsidDel="00000000" w:rsidP="00000000" w:rsidRDefault="00000000" w:rsidRPr="00000000" w14:paraId="00000172">
      <w:pPr>
        <w:pBdr>
          <w:bottom w:color="2e74b5" w:space="2" w:sz="4" w:val="single"/>
        </w:pBdr>
        <w:spacing w:after="120" w:before="240" w:lineRule="auto"/>
        <w:rPr/>
      </w:pPr>
      <w:r w:rsidDel="00000000" w:rsidR="00000000" w:rsidRPr="00000000">
        <w:rPr>
          <w:rFonts w:ascii="Times New Roman" w:cs="Times New Roman" w:eastAsia="Times New Roman" w:hAnsi="Times New Roman"/>
          <w:b w:val="1"/>
          <w:bCs w:val="1"/>
          <w:sz w:val="22"/>
          <w:szCs w:val="22"/>
          <w:rtl w:val="0"/>
        </w:rPr>
        <w:t xml:space="preserve">XII. KNOWN LIMITATIONS AND MITIGATIONS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760"/>
        <w:gridCol w:w="3600"/>
        <w:tblGridChange w:id="0">
          <w:tblGrid>
            <w:gridCol w:w="3000"/>
            <w:gridCol w:w="2760"/>
            <w:gridCol w:w="3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Limitation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Challenge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b w:val="1"/>
                <w:bCs w:val="1"/>
                <w:color w:val="ffffff"/>
                <w:sz w:val="18"/>
                <w:szCs w:val="18"/>
                <w:rtl w:val="0"/>
              </w:rPr>
              <w:t xml:space="preserve">Mitigation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6">
            <w:pPr>
              <w:jc w:val="left"/>
              <w:rPr/>
            </w:pPr>
            <w:r w:rsidDel="00000000" w:rsidR="00000000" w:rsidRPr="00000000">
              <w:rPr>
                <w:rFonts w:ascii="Times New Roman" w:cs="Times New Roman" w:eastAsia="Times New Roman" w:hAnsi="Times New Roman"/>
                <w:b w:val="1"/>
                <w:bCs w:val="1"/>
                <w:sz w:val="18"/>
                <w:szCs w:val="18"/>
                <w:rtl w:val="0"/>
              </w:rPr>
              <w:t xml:space="preserve">2021–2025 Data Gap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7">
            <w:pPr>
              <w:jc w:val="left"/>
              <w:rPr/>
            </w:pPr>
            <w:r w:rsidDel="00000000" w:rsidR="00000000" w:rsidRPr="00000000">
              <w:rPr>
                <w:rFonts w:ascii="Times New Roman" w:cs="Times New Roman" w:eastAsia="Times New Roman" w:hAnsi="Times New Roman"/>
                <w:sz w:val="18"/>
                <w:szCs w:val="18"/>
                <w:rtl w:val="0"/>
              </w:rPr>
              <w:t xml:space="preserve">UN DESA migrant stock series ends at 2020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8">
            <w:pPr>
              <w:jc w:val="left"/>
              <w:rPr/>
            </w:pPr>
            <w:r w:rsidDel="00000000" w:rsidR="00000000" w:rsidRPr="00000000">
              <w:rPr>
                <w:rFonts w:ascii="Times New Roman" w:cs="Times New Roman" w:eastAsia="Times New Roman" w:hAnsi="Times New Roman"/>
                <w:sz w:val="18"/>
                <w:szCs w:val="18"/>
                <w:rtl w:val="0"/>
              </w:rPr>
              <w:t xml:space="preserve">IOM and UNHCR estimates used; log-linear extrapolation applied; extrapolated values clearly flagged in all outputs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9">
            <w:pPr>
              <w:jc w:val="left"/>
              <w:rPr/>
            </w:pPr>
            <w:r w:rsidDel="00000000" w:rsidR="00000000" w:rsidRPr="00000000">
              <w:rPr>
                <w:rFonts w:ascii="Times New Roman" w:cs="Times New Roman" w:eastAsia="Times New Roman" w:hAnsi="Times New Roman"/>
                <w:b w:val="1"/>
                <w:bCs w:val="1"/>
                <w:sz w:val="18"/>
                <w:szCs w:val="18"/>
                <w:rtl w:val="0"/>
              </w:rPr>
              <w:t xml:space="preserve">Visa Openness Granularity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A">
            <w:pPr>
              <w:jc w:val="left"/>
              <w:rPr/>
            </w:pPr>
            <w:r w:rsidDel="00000000" w:rsidR="00000000" w:rsidRPr="00000000">
              <w:rPr>
                <w:rFonts w:ascii="Times New Roman" w:cs="Times New Roman" w:eastAsia="Times New Roman" w:hAnsi="Times New Roman"/>
                <w:sz w:val="18"/>
                <w:szCs w:val="18"/>
                <w:rtl w:val="0"/>
              </w:rPr>
              <w:t xml:space="preserve">Henley Index measures passport strength, not the destination country's admission policies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B">
            <w:pPr>
              <w:jc w:val="left"/>
              <w:rPr/>
            </w:pPr>
            <w:r w:rsidDel="00000000" w:rsidR="00000000" w:rsidRPr="00000000">
              <w:rPr>
                <w:rFonts w:ascii="Times New Roman" w:cs="Times New Roman" w:eastAsia="Times New Roman" w:hAnsi="Times New Roman"/>
                <w:sz w:val="18"/>
                <w:szCs w:val="18"/>
                <w:rtl w:val="0"/>
              </w:rPr>
              <w:t xml:space="preserve">MIPEX scores supplement where available; the methodological distinction is noted in the analysis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C">
            <w:pPr>
              <w:jc w:val="left"/>
              <w:rPr/>
            </w:pPr>
            <w:r w:rsidDel="00000000" w:rsidR="00000000" w:rsidRPr="00000000">
              <w:rPr>
                <w:rFonts w:ascii="Times New Roman" w:cs="Times New Roman" w:eastAsia="Times New Roman" w:hAnsi="Times New Roman"/>
                <w:b w:val="1"/>
                <w:bCs w:val="1"/>
                <w:sz w:val="18"/>
                <w:szCs w:val="18"/>
                <w:rtl w:val="0"/>
              </w:rPr>
              <w:t xml:space="preserve">Girvan-Newman Scalability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D">
            <w:pPr>
              <w:jc w:val="left"/>
              <w:rPr/>
            </w:pPr>
            <w:r w:rsidDel="00000000" w:rsidR="00000000" w:rsidRPr="00000000">
              <w:rPr>
                <w:rFonts w:ascii="Times New Roman" w:cs="Times New Roman" w:eastAsia="Times New Roman" w:hAnsi="Times New Roman"/>
                <w:sz w:val="18"/>
                <w:szCs w:val="18"/>
                <w:rtl w:val="0"/>
              </w:rPr>
              <w:t xml:space="preserve">Full-network computation is prohibitively expensive for 286 nodes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E">
            <w:pPr>
              <w:jc w:val="left"/>
              <w:rPr/>
            </w:pPr>
            <w:r w:rsidDel="00000000" w:rsidR="00000000" w:rsidRPr="00000000">
              <w:rPr>
                <w:rFonts w:ascii="Times New Roman" w:cs="Times New Roman" w:eastAsia="Times New Roman" w:hAnsi="Times New Roman"/>
                <w:sz w:val="18"/>
                <w:szCs w:val="18"/>
                <w:rtl w:val="0"/>
              </w:rPr>
              <w:t xml:space="preserve">Algorithm applied to a weighted subgraph capturing ~80% of total migration volume; scope explicitly documented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F">
            <w:pPr>
              <w:jc w:val="left"/>
              <w:rPr/>
            </w:pPr>
            <w:r w:rsidDel="00000000" w:rsidR="00000000" w:rsidRPr="00000000">
              <w:rPr>
                <w:rFonts w:ascii="Times New Roman" w:cs="Times New Roman" w:eastAsia="Times New Roman" w:hAnsi="Times New Roman"/>
                <w:b w:val="1"/>
                <w:bCs w:val="1"/>
                <w:sz w:val="18"/>
                <w:szCs w:val="18"/>
                <w:rtl w:val="0"/>
              </w:rPr>
              <w:t xml:space="preserve">Climate Data Publication Lag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0">
            <w:pPr>
              <w:jc w:val="left"/>
              <w:rPr/>
            </w:pPr>
            <w:r w:rsidDel="00000000" w:rsidR="00000000" w:rsidRPr="00000000">
              <w:rPr>
                <w:rFonts w:ascii="Times New Roman" w:cs="Times New Roman" w:eastAsia="Times New Roman" w:hAnsi="Times New Roman"/>
                <w:sz w:val="18"/>
                <w:szCs w:val="18"/>
                <w:rtl w:val="0"/>
              </w:rPr>
              <w:t xml:space="preserve">ND-GAIN index values typically lag 2–3 years behind the reference 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1">
            <w:pPr>
              <w:jc w:val="left"/>
              <w:rPr/>
            </w:pPr>
            <w:r w:rsidDel="00000000" w:rsidR="00000000" w:rsidRPr="00000000">
              <w:rPr>
                <w:rFonts w:ascii="Times New Roman" w:cs="Times New Roman" w:eastAsia="Times New Roman" w:hAnsi="Times New Roman"/>
                <w:sz w:val="18"/>
                <w:szCs w:val="18"/>
                <w:rtl w:val="0"/>
              </w:rPr>
              <w:t xml:space="preserve">Most recent available values used; the lag is disclosed in all relevant outputs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2">
            <w:pPr>
              <w:jc w:val="left"/>
              <w:rPr/>
            </w:pPr>
            <w:r w:rsidDel="00000000" w:rsidR="00000000" w:rsidRPr="00000000">
              <w:rPr>
                <w:rFonts w:ascii="Times New Roman" w:cs="Times New Roman" w:eastAsia="Times New Roman" w:hAnsi="Times New Roman"/>
                <w:b w:val="1"/>
                <w:bCs w:val="1"/>
                <w:sz w:val="18"/>
                <w:szCs w:val="18"/>
                <w:rtl w:val="0"/>
              </w:rPr>
              <w:t xml:space="preserve">Migrant Stock vs.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3">
            <w:pPr>
              <w:jc w:val="left"/>
              <w:rPr/>
            </w:pPr>
            <w:r w:rsidDel="00000000" w:rsidR="00000000" w:rsidRPr="00000000">
              <w:rPr>
                <w:rFonts w:ascii="Times New Roman" w:cs="Times New Roman" w:eastAsia="Times New Roman" w:hAnsi="Times New Roman"/>
                <w:sz w:val="18"/>
                <w:szCs w:val="18"/>
                <w:rtl w:val="0"/>
              </w:rPr>
              <w:t xml:space="preserve">UN DESA records stock (cumulative migrants present) rather than annual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4">
            <w:pPr>
              <w:jc w:val="left"/>
              <w:rPr/>
            </w:pPr>
            <w:r w:rsidDel="00000000" w:rsidR="00000000" w:rsidRPr="00000000">
              <w:rPr>
                <w:rFonts w:ascii="Times New Roman" w:cs="Times New Roman" w:eastAsia="Times New Roman" w:hAnsi="Times New Roman"/>
                <w:sz w:val="18"/>
                <w:szCs w:val="18"/>
                <w:rtl w:val="0"/>
              </w:rPr>
              <w:t xml:space="preserve">The stock-based network captures accumulated state of migration; sensitivity to rapid short-term events is explicitly acknowledged as a limitation</w:t>
            </w:r>
            <w:r w:rsidDel="00000000" w:rsidR="00000000" w:rsidRPr="00000000">
              <w:rPr>
                <w:rtl w:val="0"/>
              </w:rPr>
            </w:r>
          </w:p>
        </w:tc>
      </w:tr>
    </w:tbl>
    <w:p w:rsidR="00000000" w:rsidDel="00000000" w:rsidP="00000000" w:rsidRDefault="00000000" w:rsidRPr="00000000" w14:paraId="00000185">
      <w:pPr>
        <w:spacing w:after="60" w:before="160" w:lineRule="auto"/>
        <w:jc w:val="center"/>
        <w:rPr/>
      </w:pPr>
      <w:r w:rsidDel="00000000" w:rsidR="00000000" w:rsidRPr="00000000">
        <w:rPr>
          <w:rFonts w:ascii="Times New Roman" w:cs="Times New Roman" w:eastAsia="Times New Roman" w:hAnsi="Times New Roman"/>
          <w:b w:val="1"/>
          <w:bCs w:val="1"/>
          <w:sz w:val="18"/>
          <w:szCs w:val="18"/>
          <w:rtl w:val="0"/>
        </w:rPr>
        <w:t xml:space="preserve">TABLE X: Known Limitations and Mitigations</w:t>
      </w:r>
      <w:r w:rsidDel="00000000" w:rsidR="00000000" w:rsidRPr="00000000">
        <w:rPr>
          <w:rtl w:val="0"/>
        </w:rPr>
      </w:r>
    </w:p>
    <w:p w:rsidR="00000000" w:rsidDel="00000000" w:rsidP="00000000" w:rsidRDefault="00000000" w:rsidRPr="00000000" w14:paraId="00000186">
      <w:pPr>
        <w:spacing w:after="60" w:before="60" w:lineRule="auto"/>
        <w:rPr/>
      </w:pPr>
      <w:r w:rsidDel="00000000" w:rsidR="00000000" w:rsidRPr="00000000">
        <w:rPr>
          <w:rtl w:val="0"/>
        </w:rPr>
      </w:r>
    </w:p>
    <w:p w:rsidR="00000000" w:rsidDel="00000000" w:rsidP="00000000" w:rsidRDefault="00000000" w:rsidRPr="00000000" w14:paraId="00000187">
      <w:pPr>
        <w:pBdr>
          <w:bottom w:color="2e74b5" w:space="2" w:sz="4" w:val="single"/>
        </w:pBdr>
        <w:spacing w:after="120" w:before="240" w:lineRule="auto"/>
        <w:rPr/>
      </w:pPr>
      <w:r w:rsidDel="00000000" w:rsidR="00000000" w:rsidRPr="00000000">
        <w:rPr>
          <w:rFonts w:ascii="Times New Roman" w:cs="Times New Roman" w:eastAsia="Times New Roman" w:hAnsi="Times New Roman"/>
          <w:b w:val="1"/>
          <w:bCs w:val="1"/>
          <w:sz w:val="22"/>
          <w:szCs w:val="22"/>
          <w:rtl w:val="0"/>
        </w:rPr>
        <w:t xml:space="preserve">XIII. CONCLUSION</w:t>
      </w:r>
      <w:r w:rsidDel="00000000" w:rsidR="00000000" w:rsidRPr="00000000">
        <w:rPr>
          <w:rtl w:val="0"/>
        </w:rPr>
      </w:r>
    </w:p>
    <w:p w:rsidR="00000000" w:rsidDel="00000000" w:rsidP="00000000" w:rsidRDefault="00000000" w:rsidRPr="00000000" w14:paraId="00000188">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This paper presents a comprehensive analytical plan for studying international migration from 1990 to 2025 through the lens of network science. By modeling 286 countries as nodes in a dynamic, directed, weighted network and integrating seven socioeconomic and environmental driver variables, the study goes substantially beyond descriptive statistics to produce a genuinely analytical picture of global human mobility.</w:t>
      </w:r>
      <w:r w:rsidDel="00000000" w:rsidR="00000000" w:rsidRPr="00000000">
        <w:rPr>
          <w:rtl w:val="0"/>
        </w:rPr>
      </w:r>
    </w:p>
    <w:p w:rsidR="00000000" w:rsidDel="00000000" w:rsidP="00000000" w:rsidRDefault="00000000" w:rsidRPr="00000000" w14:paraId="00000189">
      <w:pPr>
        <w:spacing w:after="60" w:before="60" w:lineRule="auto"/>
        <w:rPr/>
      </w:pPr>
      <w:r w:rsidDel="00000000" w:rsidR="00000000" w:rsidRPr="00000000">
        <w:rPr>
          <w:rtl w:val="0"/>
        </w:rPr>
      </w:r>
    </w:p>
    <w:p w:rsidR="00000000" w:rsidDel="00000000" w:rsidP="00000000" w:rsidRDefault="00000000" w:rsidRPr="00000000" w14:paraId="0000018A">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The analytical modules — centrality analysis, three-algorithm community detection, multivariate regression, and temporal drift analysis — each address distinct but complementary aspects of migration network structure. Community detection reveals stable regional clusters shaped by colonial history, language, and regional policy frameworks. Centrality analysis exposes structurally critical nations that are often absent from migration headlines. Regression analysis quantifies the relative contribution of demographic, economic, and conflict factors. And temporal drift analysis captures how geopolitical shocks reshape the network over decades.</w:t>
      </w:r>
      <w:r w:rsidDel="00000000" w:rsidR="00000000" w:rsidRPr="00000000">
        <w:rPr>
          <w:rtl w:val="0"/>
        </w:rPr>
      </w:r>
    </w:p>
    <w:p w:rsidR="00000000" w:rsidDel="00000000" w:rsidP="00000000" w:rsidRDefault="00000000" w:rsidRPr="00000000" w14:paraId="0000018B">
      <w:pPr>
        <w:spacing w:after="60" w:before="60" w:lineRule="auto"/>
        <w:rPr/>
      </w:pPr>
      <w:r w:rsidDel="00000000" w:rsidR="00000000" w:rsidRPr="00000000">
        <w:rPr>
          <w:rtl w:val="0"/>
        </w:rPr>
      </w:r>
    </w:p>
    <w:p w:rsidR="00000000" w:rsidDel="00000000" w:rsidP="00000000" w:rsidRDefault="00000000" w:rsidRPr="00000000" w14:paraId="0000018C">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The Power BI visualization layer ensures that technical findings are accessible to policymakers, humanitarian organizations, and development agencies — the audiences best positioned to act on them. The application domains identified — regional policy coordination, humanitarian early warning, skilled labor planning, visa policy reform, and climate migration forecasting — represent concrete pathways from academic analysis to real-world impact.</w:t>
      </w:r>
      <w:r w:rsidDel="00000000" w:rsidR="00000000" w:rsidRPr="00000000">
        <w:rPr>
          <w:rtl w:val="0"/>
        </w:rPr>
      </w:r>
    </w:p>
    <w:p w:rsidR="00000000" w:rsidDel="00000000" w:rsidP="00000000" w:rsidRDefault="00000000" w:rsidRPr="00000000" w14:paraId="0000018D">
      <w:pPr>
        <w:spacing w:after="60" w:before="60" w:lineRule="auto"/>
        <w:rPr/>
      </w:pPr>
      <w:r w:rsidDel="00000000" w:rsidR="00000000" w:rsidRPr="00000000">
        <w:rPr>
          <w:rtl w:val="0"/>
        </w:rPr>
      </w:r>
    </w:p>
    <w:p w:rsidR="00000000" w:rsidDel="00000000" w:rsidP="00000000" w:rsidRDefault="00000000" w:rsidRPr="00000000" w14:paraId="0000018E">
      <w:pPr>
        <w:spacing w:after="60" w:before="60" w:line="276" w:lineRule="auto"/>
        <w:jc w:val="both"/>
        <w:rPr/>
      </w:pPr>
      <w:r w:rsidDel="00000000" w:rsidR="00000000" w:rsidRPr="00000000">
        <w:rPr>
          <w:rFonts w:ascii="Times New Roman" w:cs="Times New Roman" w:eastAsia="Times New Roman" w:hAnsi="Times New Roman"/>
          <w:sz w:val="20"/>
          <w:szCs w:val="20"/>
          <w:rtl w:val="0"/>
        </w:rPr>
        <w:t xml:space="preserve">As climate pressures intensify and global migration continues to accelerate, a network science approach to migration analysis becomes not merely intellectually valuable but practically essential. The structural patterns uncovered in this study — the migration communities that define policy relevance, the transit hubs that require governance attention, and the boundary nodes that signal impending realignment — provide a principled foundation for the evidence-based migration policy that the coming decades will demand.</w:t>
      </w:r>
      <w:r w:rsidDel="00000000" w:rsidR="00000000" w:rsidRPr="00000000">
        <w:rPr>
          <w:rtl w:val="0"/>
        </w:rPr>
      </w:r>
    </w:p>
    <w:p w:rsidR="00000000" w:rsidDel="00000000" w:rsidP="00000000" w:rsidRDefault="00000000" w:rsidRPr="00000000" w14:paraId="0000018F">
      <w:pPr>
        <w:spacing w:after="60" w:before="60" w:lineRule="auto"/>
        <w:rPr/>
      </w:pPr>
      <w:r w:rsidDel="00000000" w:rsidR="00000000" w:rsidRPr="00000000">
        <w:rPr>
          <w:rtl w:val="0"/>
        </w:rPr>
      </w:r>
    </w:p>
    <w:p w:rsidR="00000000" w:rsidDel="00000000" w:rsidP="00000000" w:rsidRDefault="00000000" w:rsidRPr="00000000" w14:paraId="00000190">
      <w:pPr>
        <w:pBdr>
          <w:bottom w:color="2e74b5" w:space="2" w:sz="4" w:val="single"/>
        </w:pBdr>
        <w:spacing w:after="120" w:before="240" w:lineRule="auto"/>
        <w:rPr/>
      </w:pPr>
      <w:r w:rsidDel="00000000" w:rsidR="00000000" w:rsidRPr="00000000">
        <w:rPr>
          <w:rFonts w:ascii="Times New Roman" w:cs="Times New Roman" w:eastAsia="Times New Roman" w:hAnsi="Times New Roman"/>
          <w:b w:val="1"/>
          <w:bCs w:val="1"/>
          <w:sz w:val="22"/>
          <w:szCs w:val="22"/>
          <w:rtl w:val="0"/>
        </w:rPr>
        <w:t xml:space="preserve">REFERENCES</w:t>
      </w:r>
      <w:r w:rsidDel="00000000" w:rsidR="00000000" w:rsidRPr="00000000">
        <w:rPr>
          <w:rtl w:val="0"/>
        </w:rPr>
      </w:r>
    </w:p>
    <w:p w:rsidR="00000000" w:rsidDel="00000000" w:rsidP="00000000" w:rsidRDefault="00000000" w:rsidRPr="00000000" w14:paraId="00000191">
      <w:pPr>
        <w:spacing w:after="60" w:before="60" w:lineRule="auto"/>
        <w:rPr/>
      </w:pPr>
      <w:r w:rsidDel="00000000" w:rsidR="00000000" w:rsidRPr="00000000">
        <w:rPr>
          <w:rFonts w:ascii="Times New Roman" w:cs="Times New Roman" w:eastAsia="Times New Roman" w:hAnsi="Times New Roman"/>
          <w:sz w:val="18"/>
          <w:szCs w:val="18"/>
          <w:rtl w:val="0"/>
        </w:rPr>
        <w:t xml:space="preserve">[1] United Nations DESA. International Migrant Stock 2020. https://www.un.org/en/development/desa/population/migration/</w:t>
      </w:r>
      <w:r w:rsidDel="00000000" w:rsidR="00000000" w:rsidRPr="00000000">
        <w:rPr>
          <w:rtl w:val="0"/>
        </w:rPr>
      </w:r>
    </w:p>
    <w:p w:rsidR="00000000" w:rsidDel="00000000" w:rsidP="00000000" w:rsidRDefault="00000000" w:rsidRPr="00000000" w14:paraId="00000192">
      <w:pPr>
        <w:spacing w:after="60" w:before="60" w:lineRule="auto"/>
        <w:rPr/>
      </w:pPr>
      <w:r w:rsidDel="00000000" w:rsidR="00000000" w:rsidRPr="00000000">
        <w:rPr>
          <w:rFonts w:ascii="Times New Roman" w:cs="Times New Roman" w:eastAsia="Times New Roman" w:hAnsi="Times New Roman"/>
          <w:sz w:val="18"/>
          <w:szCs w:val="18"/>
          <w:rtl w:val="0"/>
        </w:rPr>
        <w:t xml:space="preserve">[2] IOM. World Migration Report 2024. https://worldmigrationreport.iom.int/</w:t>
      </w:r>
      <w:r w:rsidDel="00000000" w:rsidR="00000000" w:rsidRPr="00000000">
        <w:rPr>
          <w:rtl w:val="0"/>
        </w:rPr>
      </w:r>
    </w:p>
    <w:p w:rsidR="00000000" w:rsidDel="00000000" w:rsidP="00000000" w:rsidRDefault="00000000" w:rsidRPr="00000000" w14:paraId="00000193">
      <w:pPr>
        <w:spacing w:after="60" w:before="60" w:lineRule="auto"/>
        <w:rPr/>
      </w:pPr>
      <w:r w:rsidDel="00000000" w:rsidR="00000000" w:rsidRPr="00000000">
        <w:rPr>
          <w:rFonts w:ascii="Times New Roman" w:cs="Times New Roman" w:eastAsia="Times New Roman" w:hAnsi="Times New Roman"/>
          <w:sz w:val="18"/>
          <w:szCs w:val="18"/>
          <w:rtl w:val="0"/>
        </w:rPr>
        <w:t xml:space="preserve">[3] UNDP. Human Development Reports — Education Index. https://hdr.undp.org/</w:t>
      </w:r>
      <w:r w:rsidDel="00000000" w:rsidR="00000000" w:rsidRPr="00000000">
        <w:rPr>
          <w:rtl w:val="0"/>
        </w:rPr>
      </w:r>
    </w:p>
    <w:p w:rsidR="00000000" w:rsidDel="00000000" w:rsidP="00000000" w:rsidRDefault="00000000" w:rsidRPr="00000000" w14:paraId="00000194">
      <w:pPr>
        <w:spacing w:after="60" w:before="60" w:lineRule="auto"/>
        <w:rPr/>
      </w:pPr>
      <w:r w:rsidDel="00000000" w:rsidR="00000000" w:rsidRPr="00000000">
        <w:rPr>
          <w:rFonts w:ascii="Times New Roman" w:cs="Times New Roman" w:eastAsia="Times New Roman" w:hAnsi="Times New Roman"/>
          <w:sz w:val="18"/>
          <w:szCs w:val="18"/>
          <w:rtl w:val="0"/>
        </w:rPr>
        <w:t xml:space="preserve">[4] World Bank. World Development Indicators. https://databank.worldbank.org/</w:t>
      </w:r>
      <w:r w:rsidDel="00000000" w:rsidR="00000000" w:rsidRPr="00000000">
        <w:rPr>
          <w:rtl w:val="0"/>
        </w:rPr>
      </w:r>
    </w:p>
    <w:p w:rsidR="00000000" w:rsidDel="00000000" w:rsidP="00000000" w:rsidRDefault="00000000" w:rsidRPr="00000000" w14:paraId="00000195">
      <w:pPr>
        <w:spacing w:after="60" w:before="60" w:lineRule="auto"/>
        <w:rPr/>
      </w:pPr>
      <w:r w:rsidDel="00000000" w:rsidR="00000000" w:rsidRPr="00000000">
        <w:rPr>
          <w:rFonts w:ascii="Times New Roman" w:cs="Times New Roman" w:eastAsia="Times New Roman" w:hAnsi="Times New Roman"/>
          <w:sz w:val="18"/>
          <w:szCs w:val="18"/>
          <w:rtl w:val="0"/>
        </w:rPr>
        <w:t xml:space="preserve">[5] Henley &amp; Partners. Passport Index 2024. https://www.henleyglobal.com/passport-index</w:t>
      </w:r>
      <w:r w:rsidDel="00000000" w:rsidR="00000000" w:rsidRPr="00000000">
        <w:rPr>
          <w:rtl w:val="0"/>
        </w:rPr>
      </w:r>
    </w:p>
    <w:p w:rsidR="00000000" w:rsidDel="00000000" w:rsidP="00000000" w:rsidRDefault="00000000" w:rsidRPr="00000000" w14:paraId="00000196">
      <w:pPr>
        <w:spacing w:after="60" w:before="60" w:lineRule="auto"/>
        <w:rPr/>
      </w:pPr>
      <w:r w:rsidDel="00000000" w:rsidR="00000000" w:rsidRPr="00000000">
        <w:rPr>
          <w:rFonts w:ascii="Times New Roman" w:cs="Times New Roman" w:eastAsia="Times New Roman" w:hAnsi="Times New Roman"/>
          <w:sz w:val="18"/>
          <w:szCs w:val="18"/>
          <w:rtl w:val="0"/>
        </w:rPr>
        <w:t xml:space="preserve">[6] MIPEX. Migrant Integration Policy Index. https://www.mipex.eu/</w:t>
      </w:r>
      <w:r w:rsidDel="00000000" w:rsidR="00000000" w:rsidRPr="00000000">
        <w:rPr>
          <w:rtl w:val="0"/>
        </w:rPr>
      </w:r>
    </w:p>
    <w:p w:rsidR="00000000" w:rsidDel="00000000" w:rsidP="00000000" w:rsidRDefault="00000000" w:rsidRPr="00000000" w14:paraId="00000197">
      <w:pPr>
        <w:spacing w:after="60" w:before="60" w:lineRule="auto"/>
        <w:rPr/>
      </w:pPr>
      <w:r w:rsidDel="00000000" w:rsidR="00000000" w:rsidRPr="00000000">
        <w:rPr>
          <w:rFonts w:ascii="Times New Roman" w:cs="Times New Roman" w:eastAsia="Times New Roman" w:hAnsi="Times New Roman"/>
          <w:sz w:val="18"/>
          <w:szCs w:val="18"/>
          <w:rtl w:val="0"/>
        </w:rPr>
        <w:t xml:space="preserve">[7] Notre Dame Global Adaptation Initiative. ND-GAIN Country Index. https://gain.nd.edu/</w:t>
      </w:r>
      <w:r w:rsidDel="00000000" w:rsidR="00000000" w:rsidRPr="00000000">
        <w:rPr>
          <w:rtl w:val="0"/>
        </w:rPr>
      </w:r>
    </w:p>
    <w:p w:rsidR="00000000" w:rsidDel="00000000" w:rsidP="00000000" w:rsidRDefault="00000000" w:rsidRPr="00000000" w14:paraId="00000198">
      <w:pPr>
        <w:spacing w:after="60" w:before="60" w:lineRule="auto"/>
        <w:rPr/>
      </w:pPr>
      <w:r w:rsidDel="00000000" w:rsidR="00000000" w:rsidRPr="00000000">
        <w:rPr>
          <w:rFonts w:ascii="Times New Roman" w:cs="Times New Roman" w:eastAsia="Times New Roman" w:hAnsi="Times New Roman"/>
          <w:sz w:val="18"/>
          <w:szCs w:val="18"/>
          <w:rtl w:val="0"/>
        </w:rPr>
        <w:t xml:space="preserve">[8] EM-DAT. International Disaster Database. https://www.emdat.be/</w:t>
      </w:r>
      <w:r w:rsidDel="00000000" w:rsidR="00000000" w:rsidRPr="00000000">
        <w:rPr>
          <w:rtl w:val="0"/>
        </w:rPr>
      </w:r>
    </w:p>
    <w:p w:rsidR="00000000" w:rsidDel="00000000" w:rsidP="00000000" w:rsidRDefault="00000000" w:rsidRPr="00000000" w14:paraId="00000199">
      <w:pPr>
        <w:spacing w:after="60" w:before="60" w:lineRule="auto"/>
        <w:rPr/>
      </w:pPr>
      <w:r w:rsidDel="00000000" w:rsidR="00000000" w:rsidRPr="00000000">
        <w:rPr>
          <w:rFonts w:ascii="Times New Roman" w:cs="Times New Roman" w:eastAsia="Times New Roman" w:hAnsi="Times New Roman"/>
          <w:sz w:val="18"/>
          <w:szCs w:val="18"/>
          <w:rtl w:val="0"/>
        </w:rPr>
        <w:t xml:space="preserve">[9] UCDP. Uppsala Conflict Data Program. https://ucdp.uu.se/</w:t>
      </w:r>
      <w:r w:rsidDel="00000000" w:rsidR="00000000" w:rsidRPr="00000000">
        <w:rPr>
          <w:rtl w:val="0"/>
        </w:rPr>
      </w:r>
    </w:p>
    <w:p w:rsidR="00000000" w:rsidDel="00000000" w:rsidP="00000000" w:rsidRDefault="00000000" w:rsidRPr="00000000" w14:paraId="0000019A">
      <w:pPr>
        <w:spacing w:after="60" w:before="60" w:lineRule="auto"/>
        <w:rPr/>
      </w:pPr>
      <w:r w:rsidDel="00000000" w:rsidR="00000000" w:rsidRPr="00000000">
        <w:rPr>
          <w:rFonts w:ascii="Times New Roman" w:cs="Times New Roman" w:eastAsia="Times New Roman" w:hAnsi="Times New Roman"/>
          <w:sz w:val="18"/>
          <w:szCs w:val="18"/>
          <w:rtl w:val="0"/>
        </w:rPr>
        <w:t xml:space="preserve">[10] V.D. Blondel et al., "Fast unfolding of communities in large networks," Journal of Statistical Mechanics: Theory and Experiment, 2008.</w:t>
      </w:r>
      <w:r w:rsidDel="00000000" w:rsidR="00000000" w:rsidRPr="00000000">
        <w:rPr>
          <w:rtl w:val="0"/>
        </w:rPr>
      </w:r>
    </w:p>
    <w:p w:rsidR="00000000" w:rsidDel="00000000" w:rsidP="00000000" w:rsidRDefault="00000000" w:rsidRPr="00000000" w14:paraId="0000019B">
      <w:pPr>
        <w:spacing w:after="60" w:before="60" w:lineRule="auto"/>
        <w:rPr/>
      </w:pPr>
      <w:r w:rsidDel="00000000" w:rsidR="00000000" w:rsidRPr="00000000">
        <w:rPr>
          <w:rFonts w:ascii="Times New Roman" w:cs="Times New Roman" w:eastAsia="Times New Roman" w:hAnsi="Times New Roman"/>
          <w:sz w:val="18"/>
          <w:szCs w:val="18"/>
          <w:rtl w:val="0"/>
        </w:rPr>
        <w:t xml:space="preserve">[11] M.E.J. Newman and M. Girvan, "Finding and evaluating community structure in networks," Physical Review E, vol. 69, no. 2, 2004.</w:t>
      </w:r>
      <w:r w:rsidDel="00000000" w:rsidR="00000000" w:rsidRPr="00000000">
        <w:rPr>
          <w:rtl w:val="0"/>
        </w:rPr>
      </w:r>
    </w:p>
    <w:p w:rsidR="00000000" w:rsidDel="00000000" w:rsidP="00000000" w:rsidRDefault="00000000" w:rsidRPr="00000000" w14:paraId="0000019C">
      <w:pPr>
        <w:spacing w:after="60" w:before="60" w:lineRule="auto"/>
        <w:rPr/>
      </w:pPr>
      <w:r w:rsidDel="00000000" w:rsidR="00000000" w:rsidRPr="00000000">
        <w:rPr>
          <w:rFonts w:ascii="Times New Roman" w:cs="Times New Roman" w:eastAsia="Times New Roman" w:hAnsi="Times New Roman"/>
          <w:sz w:val="18"/>
          <w:szCs w:val="18"/>
          <w:rtl w:val="0"/>
        </w:rPr>
        <w:t xml:space="preserve">[12] V.A. Traag, L. Waltman, and N.J. van Eck, "From Louvain to Leiden: guaranteeing well-connected communities," Scientific Reports, vol. 9, no. 1, 2019.</w:t>
      </w:r>
      <w:r w:rsidDel="00000000" w:rsidR="00000000" w:rsidRPr="00000000">
        <w:rPr>
          <w:rtl w:val="0"/>
        </w:rPr>
      </w:r>
    </w:p>
    <w:p w:rsidR="00000000" w:rsidDel="00000000" w:rsidP="00000000" w:rsidRDefault="00000000" w:rsidRPr="00000000" w14:paraId="0000019D">
      <w:pPr>
        <w:spacing w:after="60" w:before="60" w:lineRule="auto"/>
        <w:rPr/>
      </w:pPr>
      <w:r w:rsidDel="00000000" w:rsidR="00000000" w:rsidRPr="00000000">
        <w:rPr>
          <w:rFonts w:ascii="Times New Roman" w:cs="Times New Roman" w:eastAsia="Times New Roman" w:hAnsi="Times New Roman"/>
          <w:sz w:val="18"/>
          <w:szCs w:val="18"/>
          <w:rtl w:val="0"/>
        </w:rPr>
        <w:t xml:space="preserve">[13] D.S. Massey et al., "Theories of international migration: A review and appraisal," Population and Development Review, vol. 19, no. 3, 1993.</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pBdr>
        <w:top w:color="aaaaaa" w:space="1" w:sz="4" w:val="single"/>
      </w:pBdr>
      <w:tabs>
        <w:tab w:val="center" w:leader="none" w:pos="4680"/>
        <w:tab w:val="right" w:leader="none" w:pos="9360"/>
      </w:tabs>
      <w:jc w:val="center"/>
      <w:rPr/>
    </w:pPr>
    <w:r w:rsidDel="00000000" w:rsidR="00000000" w:rsidRPr="00000000">
      <w:rPr>
        <w:rFonts w:ascii="Times New Roman" w:cs="Times New Roman" w:eastAsia="Times New Roman" w:hAnsi="Times New Roman"/>
        <w:color w:val="555555"/>
        <w:sz w:val="16"/>
        <w:szCs w:val="16"/>
        <w:rtl w:val="0"/>
      </w:rPr>
      <w:t xml:space="preserve">Network Science (CSL601) — Winter 2025-26</w:t>
    </w:r>
    <w:r w:rsidDel="00000000" w:rsidR="00000000" w:rsidRPr="00000000">
      <w:rPr>
        <w:rFonts w:ascii="Times New Roman" w:cs="Times New Roman" w:eastAsia="Times New Roman" w:hAnsi="Times New Roman"/>
        <w:color w:val="555555"/>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pBdr>
        <w:bottom w:color="aaaaaa" w:space="1" w:sz="4" w:val="single"/>
      </w:pBdr>
      <w:jc w:val="center"/>
      <w:rPr/>
    </w:pPr>
    <w:r w:rsidDel="00000000" w:rsidR="00000000" w:rsidRPr="00000000">
      <w:rPr>
        <w:rFonts w:ascii="Times New Roman" w:cs="Times New Roman" w:eastAsia="Times New Roman" w:hAnsi="Times New Roman"/>
        <w:color w:val="555555"/>
        <w:sz w:val="16"/>
        <w:szCs w:val="16"/>
        <w:rtl w:val="0"/>
      </w:rPr>
      <w:t xml:space="preserve">IEEE TRANSACTIONS ON NETWORK SCIENCE — NODES AND NATIONS: A COMPLEX NETWORK STUDY OF GLOBAL MIGRATION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