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40fb1233f0ab5a590a9a3c182ece00a41d85ce0"/>
    <w:p>
      <w:pPr>
        <w:pStyle w:val="Heading1"/>
        <w:keepNext/>
        <w:widowControl/>
      </w:pPr>
      <w:r>
        <w:rPr>
          <w:rFonts w:ascii="Calibri" w:hAnsi="Calibri" w:eastAsia="Calibri"/>
        </w:rPr>
        <w:t xml:space="preserve">Spectral-Complexity-Gated Neural Augmentation for Parametric Bloch Spectral Clusters with Band Crossings</w:t>
      </w:r>
    </w:p>
    <w:p>
      <w:pPr>
        <w:pStyle w:val="BlockText"/>
        <w:widowControl/>
      </w:pPr>
      <w:r>
        <w:rPr>
          <w:rFonts w:ascii="Calibri" w:hAnsi="Calibri" w:eastAsia="Calibri"/>
        </w:rPr>
        <w:t xml:space="preserve">Manuscript draft v1.0, 28 August 2026. Numerical statements in this draft are generated only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from the frozen V3 formal evidence. Author names, affiliations, ORCID identifiers, funding,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CRediT roles, and the target journal style remain for the authors to supply.</w:t>
      </w:r>
    </w:p>
    <w:bookmarkStart w:id="9" w:name="abstract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Abstract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Repeated solution of parameterized partial-differential eigenproblems is expensive, while internal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eigenvalue crossings make individually ordered eigenfunctions an unstable learning target. We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consider the lowest rank-two spectral projector of a two-dimensional periodic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Bloch–Schrödinger operator with harmonic and localized Gaussian honeycomb potentials. We propose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SR-SC-NARR, a spectral-roughness-routed, symmetry-consistent neural-augmented Rayleigh–Ritz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solver. A lightweight SiLU network is trained without plane-wave labels by a generalized-trace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variational objective and supplies two parameter-dependent complex trial directions. At inference,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 potential-only Fourier tail-energy diagnostic chooses between a tie-closed kinetic Fourier space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a symmetry-consistent neural–Fourier space. The reciprocal dictionaries obey the D6 closure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associated with the implemented positive-cross kinetic metric; Fourier Hamiltonian actions are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analytic, neural actions use automatic differentiation, paired orthogonalization preserves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Hamiltonian consistency, and the reduced matrix is explicitly Hermitian.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method is evaluated once on a procedurally frozen CUDA confirmation set containing 160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physical parameter points, two potential families, five parameter regimes, three archived network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seeds, 11 methods and ablations, and 5,280 paired evaluations. SR-SC-NARR attains a mean rank-two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projector sine error of 0.03093, a p95 of 0.10568, and a two-eigenvalue mean absolute error of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0.00984. Relative to a tie-closed kinetic Fourier control of minimum rank 25, mean projector error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decreases by 28.76%; a family-by-split stratified point bootstrap gives a conditional 95% interval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of [28.08%, 29.44%]. The gain is deliberately reported as conditional: all harmonic cases select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Fourier branch and match the control, whereas all Gaussian cases select the hybrid branch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reduce error by 31.75%. Relative to a complete rank-37 D6 shell, the proposed solver has 0.42%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higher projector error but 12.75% lower eigenvalue error, 19.84% lower latency, and trial rank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25–27. These results support a conditional neural-augmentation and Pareto claim, not universal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neural superiority or routing generalization between the two observed spectral endpoints.</w:t>
      </w:r>
    </w:p>
    <w:p>
      <w:pPr>
        <w:pStyle w:val="BodyText"/>
        <w:widowControl/>
      </w:pPr>
      <w:r>
        <w:rPr>
          <w:rFonts w:ascii="Calibri" w:hAnsi="Calibri" w:eastAsia="Calibri"/>
          <w:b/>
          <w:bCs/>
        </w:rPr>
        <w:t xml:space="preserve">Keywords: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neural PDE eigensolver; Bloch–Schrödinger equation; spectral projector; eigenvalue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crossing; Rayleigh–Ritz; Fourier spectral method; scientific machine learning</w:t>
      </w:r>
    </w:p>
    <w:bookmarkEnd w:id="9"/>
    <w:bookmarkStart w:id="10" w:name="introduction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1. Introduction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Neural PDE solvers aim to amortize repeated differential-equation solves by learning a function 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operator family rather than solving each parameter instance from scratch. Variational neural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solvers such as Deep Ritz [16] and neural operators [17] provide complementary examples of this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shift from a single discretized solution to a learned function-space approximation. Physics-informed neural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networks (PINNs) introduced a widely used residual-based realization of this idea [1],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conditional PINNs extended it to parameterized classes of problems [2]. Differential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eigenproblems are harder than ordinary initial-boundary-value problems: the eigenvalues are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unknown, the homogeneous residual admits the zero function, multiple states require normalization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orthogonality, and eigenvectors cease to be unique at multiplicities.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last issue is central for Bloch band structures. Two-dimensional honeycomb operators may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possess conical Dirac crossings at Brillouin-zone vertices [11]. Around an internal crossing,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globally ordered “band 1 eigenfunction” and “band 2 eigenfunction” may swap or rotate. Penalizing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difference between individually labeled eigenvectors then confuses a basis convention with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physical error. If the two-dimensional low-energy cluster remains separated from the third state,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however, its spectral projector is still well-defined. Parameter-dependent eigenspace theory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therefore motivates learning the cluster rather than its individual columns [7,15].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Several neighboring works supply important ingredients. Trace and Ky Fan objectives enable joint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computation of multiple eigenpairs [3]. Rayleigh-quotient neural eigensolvers can combine energy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minimization and Gram–Schmidt orthogonalization [4]. Neural trial subspaces can be followed by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Galerkin solve [5]. Shape Space Spectra treats multiplicity through dynamic mode reordering [6],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supervised Grassmann regression learns parameter-to-subspace maps [8]. Classical reduced-basis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methods address repeated band-structure and multiple-eigenspace calculations [9,10,12]. These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works establish that trace minimization, neural subspaces, Fourier bases, and Rayleigh–Ritz are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not individually new.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open practical question addressed here is narrower. A label-free neural coarse space may help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when a compact analytic Fourier dictionary under-resolves a spectrally rich potential, but neural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automatic differentiation is unnecessary when a small Fourier space is already adequate. We ask: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Calibri" w:hAnsi="Calibri" w:eastAsia="Calibri"/>
        </w:rPr>
        <w:t xml:space="preserve">Can a basis-invariant neural coarse space improve a symmetry-consistent low-rank Fourier Ritz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solver at internal Bloch crossings?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Calibri" w:hAnsi="Calibri" w:eastAsia="Calibri"/>
        </w:rPr>
        <w:t xml:space="preserve">Can a diagnostic computed only from the potential decide when to invoke neural augmentation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without reading reference projectors or test errors?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Calibri" w:hAnsi="Calibri" w:eastAsia="Calibri"/>
        </w:rPr>
        <w:t xml:space="preserve">Does the resulting solver remain competitive with a stronger, higher-rank Fourier control under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 one-shot, hash-bound evaluation protocol?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contributions are: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Calibri" w:hAnsi="Calibri" w:eastAsia="Calibri"/>
          <w:b/>
          <w:bCs/>
        </w:rPr>
        <w:t xml:space="preserve">Crossing-aware PDE target.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Training and evaluation target the lowest rank-two subspace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projector, making the formulation invariant to phases, permutations, and internal unitary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rotations.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Calibri" w:hAnsi="Calibri" w:eastAsia="Calibri"/>
          <w:b/>
          <w:bCs/>
        </w:rPr>
        <w:t xml:space="preserve">Symmetry-consistent trial spaces.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Reciprocal dictionaries use the D6 closure consistent with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kinetic quadratic form (m_1</w:t>
      </w:r>
      <w:r>
        <w:rPr>
          <w:rFonts w:ascii="Calibri" w:hAnsi="Calibri" w:eastAsia="Calibri"/>
          <w:vertAlign w:val="superscript"/>
        </w:rPr>
        <w:t xml:space="preserve">2+m_2</w:t>
      </w:r>
      <w:r>
        <w:rPr>
          <w:rFonts w:ascii="Calibri" w:hAnsi="Calibri" w:eastAsia="Calibri"/>
        </w:rPr>
        <w:t xml:space="preserve">2+m_1m_2). Kinetic-energy boundary ties are retained,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preventing arbitrary truncation of degenerate multiplets.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Calibri" w:hAnsi="Calibri" w:eastAsia="Calibri"/>
          <w:b/>
          <w:bCs/>
        </w:rPr>
        <w:t xml:space="preserve">Label-free conditional neural augmentation.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 potential Fourier tail-energy ratio routes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each query to a pure Fourier or neural–Fourier trial space. The diagnostic uses no eigensolution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labels.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Calibri" w:hAnsi="Calibri" w:eastAsia="Calibri"/>
          <w:b/>
          <w:bCs/>
        </w:rPr>
        <w:t xml:space="preserve">Operator-consistent compact solve.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Analytic Fourier Hamiltonian actions, automatic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differentiation of only two neural directions, detached cell-quadrature normalization, paired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transformations of ((W,HW)), and an explicitly Hermitian Ritz matrix produce the final cluster.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Calibri" w:hAnsi="Calibri" w:eastAsia="Calibri"/>
          <w:b/>
          <w:bCs/>
        </w:rPr>
        <w:t xml:space="preserve">Audited evidence.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 disjoint pilot, an independent cutoff/grid convergence audit, and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single procedurally frozen 160-point CUDA confirmation preserve suite, reference, checkpoint,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source, row, and evidence hashes.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main empirical conclusion is intentionally conditional. The formal set contains two separated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spectral-complexity endpoints: the harmonic family always routes to Fourier and the Gaussian family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always routes to the hybrid. The experiment validates safe endpoint selection and a stable neural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gain on the rich endpoint; it does not establish interpolation around the threshold or universal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routing across unseen potential families.</w:t>
      </w:r>
    </w:p>
    <w:bookmarkEnd w:id="10"/>
    <w:bookmarkStart w:id="14" w:name="related-work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2. Related Work</w:t>
      </w:r>
    </w:p>
    <w:bookmarkStart w:id="11" w:name="neural-pde-and-eigenvalue-solvers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2.1 Neural PDE and eigenvalue solvers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Standard PINNs minimize differential residuals, boundary conditions, initial conditions,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optional observations [1]. Eigenvalue versions must additionally avoid trivial solutions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represent normalization, orthogonality, and eigenvalue order. Jin et al. used physics-informed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networks to discover multiple quantum eigenstates without supervised wavefunction labels [14].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Kovacs et al. showed that a conditional physics-informed network can represent a parameterized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class of eigenproblems [2]. These methods establish label-free neural eigenanalysis but do not by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themselves remove the discontinuity of individually ordered states at an internal crossing.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Wang and Xie compute several eigenpairs jointly with tensor neural networks and a trace objective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[3]. Rowan et al. combine Rayleigh quotients and Gram–Schmidt for engineering eigenproblems [4].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Their principles motivate our generalized-trace initializer and orthogonality treatment. Our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primary claim is not superiority to the original implementations: the formal Wang–Xie result in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this study is a transparent formula-level Bloch adaptation, not an official author-code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reproduction.</w:t>
      </w:r>
    </w:p>
    <w:bookmarkEnd w:id="11"/>
    <w:bookmarkStart w:id="12" w:name="X5cee7dd764283a396d2fc22f69ea29131162ffd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2.2 Neural trial spaces and parameterized eigenspaces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Dai, Fan, and Sheng construct neural trial functions and solve a Galerkin eigenproblem inside the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learned subspace [5]. This is the closest journal-level structural neighbor to our hybrid compact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solve. The present method differs through a single parameter-conditioned coarse network, an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internally crossing Bloch projector target, an analytic D6 Fourier dictionary, a potential-only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route, and paired Hamiltonian assembly. The Dai-style adaptation used here converges poorly and is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reported for transparency; it is not the central evidence for the proposed method.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Chang et al. learn spectra over parameterized shape families and dynamically reorder modes at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multiplicities [6]. Fanaskov et al. directly regress parameterized subspaces on a Grassmannian but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use precomputed subspace labels [8]. We instead train from the operator and evaluate the projector.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Grubišić et al. analyze parameter-dependent eigenspaces under external isolation [7], supporting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use of a cluster target even when the internal gap closes. Recent subspace-approximation theory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provides an additional numerical-analysis perspective [18], while Dölz and Ebert treat uncertainty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in eigenspaces of higher multiplicity [21]. Deep Eigenspace Network is a particularly close recent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preprint because it learns parameter-to-eigenspace maps and uses Ritz postprocessing, but it relies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on precomputed supervision and studies a different non-self-adjoint setting [22].</w:t>
      </w:r>
    </w:p>
    <w:bookmarkEnd w:id="12"/>
    <w:bookmarkStart w:id="13" w:name="Xcb5116d25b885b98e8caf46613ff58e725e0c28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2.3 Bloch model reduction and periodic quantum networks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Reduced bases have long been used for repeated band-structure calculations [9]. Horger et al.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develop simultaneous reduced-basis approximation for parameterized multiple eigenvalues [10].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Haasdonk et al. combine full-order, reduced-order, and machine-learning components with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certification [12], illustrating why a hybrid solver should be assessed through accuracy, cost,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reliability rather than neural forward time alone. Hsu et al. demonstrated equation-driven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neural band-structure learning in two-dimensional periodic quantum systems [13]. Fefferman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Weinstein provide the mathematical setting for honeycomb potentials and Dirac points [11].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Data-driven reduced-order modeling has also been applied directly to parameterized PDE eigenvalue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problems [20], and neural networks have accelerated classical iterations for nonlinear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Schrödinger eigenproblems [19]. These works reinforce the need to state exactly which part of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hybrid online solve is learned and which part remains numerical.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novelty boundary is consequently specific: we claim a corrected, basis-invariant,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spectral-complexity-gated combination and its controlled evidence. We do not claim the invention of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Ky Fan principles, projectors, Fourier spectral discretization, Gram–Schmidt, Galerkin projection,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or Rayleigh–Ritz.</w:t>
      </w:r>
    </w:p>
    <w:bookmarkEnd w:id="13"/>
    <w:bookmarkEnd w:id="14"/>
    <w:bookmarkStart w:id="17" w:name="problem-formulation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3. Problem Formulation</w:t>
      </w:r>
    </w:p>
    <w:bookmarkStart w:id="15" w:name="two-dimensional-bloch-eigenproblem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3.1 Two-dimensional Bloch eigenproblem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Let the periodic cell be</w:t>
      </w:r>
      <w:r>
        <w:rPr>
          <w:rFonts w:ascii="Calibri" w:hAnsi="Calibri" w:eastAsia="Calibri"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Calibri" w:hAnsi="Calibri" w:eastAsia="Calibri"/>
        </w:rPr>
        <w:t xml:space="preserve">. For Bloch wavevector</w:t>
      </w:r>
      <w:r>
        <w:rPr>
          <w:rFonts w:ascii="Calibri" w:hAnsi="Calibri" w:eastAsia="Calibri"/>
        </w:rP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potential parameters</w:t>
      </w:r>
      <w:r>
        <w:rPr>
          <w:rFonts w:ascii="Calibri" w:hAnsi="Calibri" w:eastAsia="Calibri"/>
        </w:rPr>
        <w:t xml:space="preserve"> </w:t>
      </w:r>
      <m:oMath>
        <m:r>
          <m:t>μ</m:t>
        </m:r>
      </m:oMath>
      <w:r>
        <w:rPr>
          <w:rFonts w:ascii="Calibri" w:hAnsi="Calibri" w:eastAsia="Calibri"/>
        </w:rPr>
        <w:t xml:space="preserve">, consider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,</m:t>
              </m:r>
              <m:r>
                <m:t>μ</m:t>
              </m:r>
            </m:sub>
          </m:sSub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with periodic function and first-derivative boundary conditions. A reciprocal mode</w:t>
      </w:r>
      <w:r>
        <w:rPr>
          <w:rFonts w:ascii="Calibri" w:hAnsi="Calibri" w:eastAsia="Calibri"/>
        </w:rP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2</m:t>
            </m:r>
          </m:sup>
        </m:sSup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has kinetic energy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harmonic honeycomb family is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δ</m:t>
              </m:r>
            </m:sub>
            <m:sup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training ranges are</w:t>
      </w:r>
      <w:r>
        <w:rPr>
          <w:rFonts w:ascii="Calibri" w:hAnsi="Calibri" w:eastAsia="Calibri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0.20</m:t>
        </m:r>
        <m:r>
          <m:rPr>
            <m:sty m:val="p"/>
          </m:rPr>
          <m:t>,</m:t>
        </m:r>
        <m:r>
          <m:t>0.80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, and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0.28</m:t>
        </m:r>
        <m:r>
          <m:rPr>
            <m:sty m:val="p"/>
          </m:rPr>
          <m:t>,</m:t>
        </m:r>
        <m:r>
          <m:t>0.38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localized family consists of two periodically repeated Gaussian sublattices. With centers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4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rPr>
          <w:rFonts w:ascii="Calibri" w:hAnsi="Calibri" w:eastAsia="Calibri"/>
        </w:rPr>
        <w:t xml:space="preserve">, weights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δ</m:t>
        </m:r>
      </m:oMath>
      <w:r>
        <w:rPr>
          <w:rFonts w:ascii="Calibri" w:hAnsi="Calibri" w:eastAsia="Calibri"/>
        </w:rPr>
        <w:t xml:space="preserve">, and periodic images</w:t>
      </w:r>
      <w:r>
        <w:rPr>
          <w:rFonts w:ascii="Calibri" w:hAnsi="Calibri" w:eastAsia="Calibri"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ascii="Calibri" w:hAnsi="Calibri" w:eastAsia="Calibri"/>
        </w:rPr>
        <w:t xml:space="preserve">,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δ</m:t>
              </m:r>
            </m:sub>
            <m:sup>
              <m:r>
                <m:rPr>
                  <m:sty m:val="p"/>
                </m:rPr>
                <m:t>G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ℓ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π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Its training ranges are</w:t>
      </w:r>
      <w:r>
        <w:rPr>
          <w:rFonts w:ascii="Calibri" w:hAnsi="Calibri" w:eastAsia="Calibri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0.18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, with the same Bloch box. Strict-OOD evaluation extends the Bloch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coordinates to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0.20</m:t>
        </m:r>
        <m:r>
          <m:rPr>
            <m:sty m:val="p"/>
          </m:rPr>
          <m:t>,</m:t>
        </m:r>
        <m:r>
          <m:t>0.28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0.38</m:t>
        </m:r>
        <m:r>
          <m:rPr>
            <m:sty m:val="p"/>
          </m:rPr>
          <m:t>,</m:t>
        </m:r>
        <m:r>
          <m:t>0.45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widens the potential ranges.</w:t>
      </w:r>
    </w:p>
    <w:bookmarkEnd w:id="15"/>
    <w:bookmarkStart w:id="16" w:name="spectral-cluster-target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3.2 Spectral-cluster target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Let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k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denote the span of the two lowest eigenstates and let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be its orthogonal projector. The internal gap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may vanish. We require external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isolation from the unwanted spectrum through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Calibri"/>
        </w:rPr>
        <w:t xml:space="preserve">. If</w:t>
      </w:r>
      <w:r>
        <w:rPr>
          <w:rFonts w:ascii="Calibri" w:hAnsi="Calibri" w:eastAsia="Calibri"/>
        </w:rPr>
        <w:t xml:space="preserve"> </w:t>
      </w:r>
      <m:oMath>
        <m:r>
          <m:t>Q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are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orthonormal predicted and reference bases, the primary metric is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⋆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d>
                        <m:dPr>
                          <m:begChr m:val="‖"/>
                          <m:sepChr m:val=""/>
                          <m:endChr m:val="‖"/>
                          <m:grow/>
                        </m:dPr>
                        <m:e>
                          <m:sSup>
                            <m:e>
                              <m: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⋆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It is the root-mean-square sine of the two principal angles and is invariant to all unitary changes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of basis inside either rank-two space. We also report the mean absolute error of the lowest two Ritz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eigenvalues, residual RMS, p95 and maximum projector error, orthogonality, raw Ritz Hermiticity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defect, trial rank, latency, and peak memory.</w:t>
      </w:r>
    </w:p>
    <w:bookmarkEnd w:id="16"/>
    <w:bookmarkEnd w:id="17"/>
    <w:bookmarkStart w:id="23" w:name="sr-sc-narr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4. SR-SC-NARR</w:t>
      </w:r>
    </w:p>
    <w:bookmarkStart w:id="18" w:name="label-free-neural-coarse-space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4.1 Label-free neural coarse space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Separate family-specific networks receive periodic features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and output real and imaginary parts of two complex periodic functions. The MLP has three hidden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layers of width 64 with SiLU activations. A fixed low-energy anchor near the K point is added with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scale 0.1. For raw columns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Z</m:t>
            </m:r>
          </m:e>
          <m:sub>
            <m:r>
              <m:t>θ</m:t>
            </m:r>
          </m:sub>
        </m:sSub>
      </m:oMath>
      <w:r>
        <w:rPr>
          <w:rFonts w:ascii="Calibri" w:hAnsi="Calibri" w:eastAsia="Calibri"/>
        </w:rPr>
        <w:t xml:space="preserve">, define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Z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cr m:val="script"/>
              <m:sty m:val="p"/>
            </m:rPr>
            <m:t>H</m:t>
          </m:r>
          <m:sSub>
            <m:e>
              <m:r>
                <m:t>Z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training loss is the regularized generalized trace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A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No PWE eigenvector, projector, or ordered band label enters training. Adam uses learning rate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(10^{-3}), four parameter instances and 256 shifted periodic points per step, for 665 steps.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Three archived checkpoints use seeds 42, 137, and 251. At evaluation, complex modified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Gram–Schmidt retracts the raw output to a rank-two neural basis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rPr>
          <w:rFonts w:ascii="Calibri" w:hAnsi="Calibri" w:eastAsia="Calibri"/>
        </w:rPr>
        <w:t xml:space="preserve">.</w:t>
      </w:r>
    </w:p>
    <w:bookmarkEnd w:id="18"/>
    <w:bookmarkStart w:id="19" w:name="X40dc82f9c9a703d90d06daceee32692d0c68f17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4.2 D6-consistent Fourier spaces and tie closure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For the positive-cross kinetic metric, the complete D6 shell of radius</w:t>
      </w:r>
      <w:r>
        <w:rPr>
          <w:rFonts w:ascii="Calibri" w:hAnsi="Calibri" w:eastAsia="Calibri"/>
        </w:rPr>
        <w:t xml:space="preserve"> </w:t>
      </w:r>
      <m:oMath>
        <m:r>
          <m:t>s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It contains 7, 19, and 37 modes for (s=1,2,3). The plus sign is essential: it is the shell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closure compatible with</w:t>
      </w:r>
      <w:r>
        <w:rPr>
          <w:rFonts w:ascii="Calibri" w:hAnsi="Calibri" w:eastAsia="Calibri"/>
        </w:rPr>
        <w:t xml:space="preserve"> </w:t>
      </w:r>
      <m:oMath>
        <m:sSubSup>
          <m:e>
            <m:r>
              <m:t>m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Calibri" w:hAnsi="Calibri" w:eastAsia="Calibri"/>
        </w:rPr>
        <w:t xml:space="preserve">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For a nominal kinetic rank</w:t>
      </w:r>
      <w:r>
        <w:rPr>
          <w:rFonts w:ascii="Calibri" w:hAnsi="Calibri" w:eastAsia="Calibri"/>
        </w:rPr>
        <w:t xml:space="preserve"> </w:t>
      </w:r>
      <m:oMath>
        <m:r>
          <m:t>r</m:t>
        </m:r>
      </m:oMath>
      <w:r>
        <w:rPr>
          <w:rFonts w:ascii="Calibri" w:hAnsi="Calibri" w:eastAsia="Calibri"/>
        </w:rPr>
        <w:t xml:space="preserve">, modes from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are sorted by</w:t>
      </w:r>
      <w:r>
        <w:rPr>
          <w:rFonts w:ascii="Calibri" w:hAnsi="Calibri" w:eastAsia="Calibri"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ascii="Calibri" w:hAnsi="Calibri" w:eastAsia="Calibri"/>
        </w:rPr>
        <w:t xml:space="preserve">. If the boundary energy is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ascii="Calibri" w:hAnsi="Calibri" w:eastAsia="Calibri"/>
        </w:rPr>
        <w:t xml:space="preserve">, every mode satisfying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is retained. This tie closure avoids cutting an exact kinetic multiplet. The nominal rank-25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dictionary therefore has actual rank 25 or 27 on the formal set.</w:t>
      </w:r>
    </w:p>
    <w:bookmarkEnd w:id="19"/>
    <w:bookmarkStart w:id="20" w:name="potential-only-spectral-routing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4.3 Potential-only spectral routing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On the 65 by 65 periodic grid, let</w:t>
      </w:r>
      <w:r>
        <w:rPr>
          <w:rFonts w:ascii="Calibri" w:hAnsi="Calibri" w:eastAsia="Calibri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m</m:t>
            </m:r>
          </m:sub>
        </m:sSub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be the discrete Fourier coefficients of the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potential. The routing statistic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∉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threshold is frozen at 0.1. If</w:t>
      </w:r>
      <w:r>
        <w:rPr>
          <w:rFonts w:ascii="Calibri" w:hAnsi="Calibri" w:eastAsia="Calibri"/>
        </w:rP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0.1</m:t>
        </m:r>
      </m:oMath>
      <w:r>
        <w:rPr>
          <w:rFonts w:ascii="Calibri" w:hAnsi="Calibri" w:eastAsia="Calibri"/>
        </w:rPr>
        <w:t xml:space="preserve">, the solver uses the tie-closed minimum-rank-25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kinetic Fourier dictionary. If</w:t>
      </w:r>
      <w:r>
        <w:rPr>
          <w:rFonts w:ascii="Calibri" w:hAnsi="Calibri" w:eastAsia="Calibri"/>
        </w:rP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0.1</m:t>
        </m:r>
      </m:oMath>
      <w:r>
        <w:rPr>
          <w:rFonts w:ascii="Calibri" w:hAnsi="Calibri" w:eastAsia="Calibri"/>
        </w:rPr>
        <w:t xml:space="preserve">, it forms a hybrid dictionary from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21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appends the two neural directions. Redundant Fourier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columns are rejected during orthogonalization, yielding formal trial ranks 25–27. The route reads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only the input potential; it does not evaluate either candidate against a reference solution.</w:t>
      </w:r>
    </w:p>
    <w:bookmarkEnd w:id="20"/>
    <w:bookmarkStart w:id="21" w:name="X66decf3a862035bdce6391e6957c3a15fb797c1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4.4 Analytic and automatic-differentiation Hamiltonian actions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For a plane wave</w:t>
      </w:r>
      <w:r>
        <w:rPr>
          <w:rFonts w:ascii="Calibri" w:hAnsi="Calibri" w:eastAsia="Calibri"/>
        </w:rP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m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rPr>
          <w:rFonts w:ascii="Calibri" w:hAnsi="Calibri" w:eastAsia="Calibri"/>
        </w:rPr>
        <w:t xml:space="preserve">,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H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so the Fourier Hamiltonian columns are analytic. Automatic differentiation is used only for the two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neural columns. During modified Gram–Schmidt, the equal-weight cell-quadrature projection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coefficients and normalization are treated as constants with respect to spatial coordinates. Every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linear operation applied to a trial column</w:t>
      </w:r>
      <w:r>
        <w:rPr>
          <w:rFonts w:ascii="Calibri" w:hAnsi="Calibri" w:eastAsia="Calibri"/>
        </w:rPr>
        <w:t xml:space="preserve"> </w:t>
      </w:r>
      <m:oMath>
        <m:r>
          <m:t>w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is simultaneously applied to its Hamiltonian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column</w:t>
      </w:r>
      <w:r>
        <w:rPr>
          <w:rFonts w:ascii="Calibri" w:hAnsi="Calibri" w:eastAsia="Calibri"/>
        </w:rPr>
        <w:t xml:space="preserve"> </w:t>
      </w:r>
      <m:oMath>
        <m:r>
          <m:t>H</m:t>
        </m:r>
        <m:r>
          <m:t>w</m:t>
        </m:r>
      </m:oMath>
      <w:r>
        <w:rPr>
          <w:rFonts w:ascii="Calibri" w:hAnsi="Calibri" w:eastAsia="Calibri"/>
        </w:rPr>
        <w:t xml:space="preserve">. This paired construction preserves</w:t>
      </w:r>
      <w:r>
        <w:rPr>
          <w:rFonts w:ascii="Calibri" w:hAnsi="Calibri" w:eastAsia="Calibri"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H</m:t>
        </m:r>
        <m:r>
          <m:t>w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numerically and avoids nonlocal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cross-grid derivative terms.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Let the accepted paired columns be ((W,HW)). The reduced matrix is explicitly Hermitianized,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H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H</m:t>
          </m:r>
          <m:r>
            <m:t>W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Calibri" w:hAnsi="Calibri" w:eastAsia="Calibri"/>
        </w:rPr>
        <w:t xml:space="preserve">Its two lowest eigenvectors are mapped back through</w:t>
      </w:r>
      <w:r>
        <w:rPr>
          <w:rFonts w:ascii="Calibri" w:hAnsi="Calibri" w:eastAsia="Calibri"/>
        </w:rPr>
        <w:t xml:space="preserve"> </w:t>
      </w:r>
      <m:oMath>
        <m:r>
          <m:t>W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retracted to obtain the final basis.</w:t>
      </w:r>
    </w:p>
    <w:bookmarkEnd w:id="21"/>
    <w:bookmarkStart w:id="22" w:name="algorithm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4.5 Algorithm</w:t>
      </w:r>
    </w:p>
    <w:p>
      <w:pPr>
        <w:pStyle w:val="SourceCode"/>
        <w:widowControl/>
      </w:pPr>
      <w:r>
        <w:rPr>
          <w:rStyle w:val="VerbatimChar"/>
          <w:rFonts w:ascii="Calibri" w:hAnsi="Calibri" w:eastAsia="Calibri"/>
        </w:rPr>
        <w:t xml:space="preserve">Input: (k, μ), family-specific archived network, grid X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1. Evaluate Vμ(X) and the tail ratio ρ(Vμ).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2. If ρ ≤ 0.1: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      construct tie-closed kinetic Fourier dictionary K25(k);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      assemble (W, HW) analytically.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   Else: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      evaluate and orthonormalize the two neural directions Qθ;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      construct S2 ∪ K21(k);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      append analytic Fourier pairs to (Qθ, HQθ).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3. Apply paired modified Gram–Schmidt with detached cell-quadrature scalars.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4. Form the explicitly Hermitian compact Ritz matrix.</w:t>
      </w:r>
      <w:r>
        <w:rPr>
          <w:rFonts w:ascii="Calibri" w:hAnsi="Calibri" w:eastAsia="Calibri"/>
        </w:rPr>
        <w:br/>
      </w:r>
      <w:r>
        <w:rPr>
          <w:rStyle w:val="VerbatimChar"/>
          <w:rFonts w:ascii="Calibri" w:hAnsi="Calibri" w:eastAsia="Calibri"/>
        </w:rPr>
        <w:t xml:space="preserve">5. Return its lowest rank-two Ritz subspace and Ritz eigenvalues.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online cost is</w:t>
      </w:r>
      <w:r>
        <w:rPr>
          <w:rFonts w:ascii="Calibri" w:hAnsi="Calibri" w:eastAsia="Calibri"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after the column actions, where</w:t>
      </w:r>
      <w:r>
        <w:rPr>
          <w:rFonts w:ascii="Calibri" w:hAnsi="Calibri" w:eastAsia="Calibri"/>
        </w:rP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t>2</m:t>
            </m:r>
          </m:sup>
        </m:sSup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</w:t>
      </w:r>
      <w:r>
        <w:rPr>
          <w:rFonts w:ascii="Calibri" w:hAnsi="Calibri" w:eastAsia="Calibri"/>
        </w:rP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25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. Neural second derivatives are paid only on the hybrid route. The formal timing also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includes the current FFT-based routing diagnostic.</w:t>
      </w:r>
    </w:p>
    <w:bookmarkEnd w:id="22"/>
    <w:bookmarkEnd w:id="23"/>
    <w:bookmarkStart w:id="28" w:name="experimental-protocol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5. Experimental Protocol</w:t>
      </w:r>
    </w:p>
    <w:bookmarkStart w:id="24" w:name="Xcc0187dcb731e317963573383fc20a57820b5f1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5.1 Separation of development and confirmation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An external audit found that a superseded V2 implementation combined the positive-cross kinetic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metric with a negative-cross reciprocal-shell convention. V3 corrected the D6 closure, detached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paired normalization, explicitly Hermitianized the reduced matrix, replaced an asymmetric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rank-21 Fourier control by tie-closed kinetic controls, and created a new disjoint evaluation. Old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V2/Q3 numbers are retained only as historical provenance and are not combined with the results in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this paper.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A 24-point V3 engineering pilot was used to finalize code, route, controls, and gates. The code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pilot were committed before the formal suite was generated. The 160-point suite, reference cache,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physical-point digest, source fingerprint, and convergence evidence were then committed separately.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formal set was opened once in a clean CUDA checkout. A global marker prevents a second formal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opening.</w:t>
      </w:r>
    </w:p>
    <w:bookmarkEnd w:id="24"/>
    <w:bookmarkStart w:id="25" w:name="confirmation-set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5.2 Confirmation set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Each potential family contributes 80 points: 16 IID-hidden, 16 exact-cluster, 24 near-cluster,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16 strict-OOD, and 8 gap-scan points. Exact points have internal gap below</w:t>
      </w:r>
      <w:r>
        <w:rPr>
          <w:rFonts w:ascii="Calibri" w:hAnsi="Calibri" w:eastAsia="Calibri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Calibri"/>
        </w:rPr>
        <w:t xml:space="preserve">, near points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below</w:t>
      </w:r>
      <w:r>
        <w:rPr>
          <w:rFonts w:ascii="Calibri" w:hAnsi="Calibri" w:eastAsia="Calibri"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Calibri" w:hAnsi="Calibri" w:eastAsia="Calibri"/>
        </w:rPr>
        <w:t xml:space="preserve">, and every point has external gap above</w:t>
      </w:r>
      <w:r>
        <w:rPr>
          <w:rFonts w:ascii="Calibri" w:hAnsi="Calibri" w:eastAsia="Calibri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Calibri" w:hAnsi="Calibri" w:eastAsia="Calibri"/>
        </w:rPr>
        <w:t xml:space="preserve">. Three checkpoint seeds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and 11 methods are evaluated at every point, producing</w:t>
      </w:r>
      <w:r>
        <w:rPr>
          <w:rFonts w:ascii="Calibri" w:hAnsi="Calibri" w:eastAsia="Calibri"/>
        </w:rPr>
        <w:t xml:space="preserve"> </w:t>
      </w:r>
      <m:oMath>
        <m:r>
          <m:t>160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280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unique rows.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References use a float64 D6 plane-wave expansion with cutoff 24 and rank 3, evaluated on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65 by 65 grid. An independent audit compares cutoffs 20, 24, and 28 and directly resamples solver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projectors between grid sizes 65 and 97.</w:t>
      </w:r>
    </w:p>
    <w:bookmarkEnd w:id="25"/>
    <w:bookmarkStart w:id="26" w:name="comparisons-and-ablations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5.3 Comparisons and ablations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matrix contains: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Calibri" w:hAnsi="Calibri" w:eastAsia="Calibri"/>
        </w:rPr>
        <w:t xml:space="preserve">the archived long-anchor neural solver;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Calibri" w:hAnsi="Calibri" w:eastAsia="Calibri"/>
        </w:rPr>
        <w:t xml:space="preserve">neural augmentation with D6 shell 1 and shell 2;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Calibri" w:hAnsi="Calibri" w:eastAsia="Calibri"/>
        </w:rPr>
        <w:t xml:space="preserve">fixed neural–Fourier rank-about-25 and routed SR-SC-NARR;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Calibri" w:hAnsi="Calibri" w:eastAsia="Calibri"/>
        </w:rPr>
        <w:t xml:space="preserve">D6 shell-2 rank 19;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Calibri" w:hAnsi="Calibri" w:eastAsia="Calibri"/>
        </w:rPr>
        <w:t xml:space="preserve">tie-closed kinetic Fourier controls of nominal rank 21 and 25;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Calibri" w:hAnsi="Calibri" w:eastAsia="Calibri"/>
        </w:rPr>
        <w:t xml:space="preserve">complete D6 shell-3 rank 37;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Calibri" w:hAnsi="Calibri" w:eastAsia="Calibri"/>
        </w:rPr>
        <w:t xml:space="preserve">formula-level Bloch adaptations of Wang–Xie trace [3] and Dai Galerkin [5].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strongest evidence for the neural claim is the comparison with kinetic Fourier-25, fixed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hybrid, and shell-3. The two literature adaptations provide context but are not official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reproductions.</w:t>
      </w:r>
    </w:p>
    <w:bookmarkEnd w:id="26"/>
    <w:bookmarkStart w:id="27" w:name="statistical-and-hardware-protocol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5.4 Statistical and hardware protocol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primary interval is a 2,000-sample bootstrap stratified over the ten family-by-split cells.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Within each point, errors are first averaged over the three archived seeds; physical points are then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resampled with replacement inside each stratum. The resulting interval is conditional on those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three checkpoints and does not estimate uncertainty over arbitrary retraining seeds.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Formal evaluation used one NVIDIA A10 with 23.82 GB reported memory, PyTorch 2.10.0+cu128, CUDA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12.8, and driver 550.54.15. Method order was deterministically rotated by point and seed to reduce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timing-order bias. Peak allocated and reserved memory were 1.24 and 1.26 GB.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protocol follows recent calls for broad PDE benchmarks [23], strong classical baselines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honest runtime claims [24], and explicit protection against test leakage in machine-learning-based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science [25].</w:t>
      </w:r>
    </w:p>
    <w:bookmarkEnd w:id="27"/>
    <w:bookmarkEnd w:id="28"/>
    <w:bookmarkStart w:id="56" w:name="results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6. Results</w:t>
      </w:r>
    </w:p>
    <w:bookmarkStart w:id="35" w:name="overall-and-split-performance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6.1 Overall and split performance</w:t>
      </w:r>
    </w:p>
    <w:p>
      <w:pPr>
        <w:pStyle w:val="FirstParagraph"/>
        <w:widowControl/>
      </w:pPr>
      <w:r>
        <w:rPr>
          <w:rFonts w:ascii="Calibri" w:hAnsi="Calibri" w:eastAsia="Calibri"/>
          <w:b/>
          <w:bCs/>
        </w:rPr>
        <w:t xml:space="preserve">Table 1. Formal projector and eigenvalue results.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Lower is better.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Overall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Near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Strict OOD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Gap scan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Eigenvalue MAE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p95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Latency (ms)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b/>
                <w:bCs/>
                <w:sz w:val="16"/>
              </w:rPr>
              <w:t xml:space="preserve">SR-SC-NARR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b/>
                <w:bCs/>
                <w:sz w:val="16"/>
              </w:rPr>
              <w:t xml:space="preserve">0.030929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b/>
                <w:bCs/>
                <w:sz w:val="16"/>
              </w:rPr>
              <w:t xml:space="preserve">0.029007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b/>
                <w:bCs/>
                <w:sz w:val="16"/>
              </w:rPr>
              <w:t xml:space="preserve">0.035618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b/>
                <w:bCs/>
                <w:sz w:val="16"/>
              </w:rPr>
              <w:t xml:space="preserve">0.030391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b/>
                <w:bCs/>
                <w:sz w:val="16"/>
              </w:rPr>
              <w:t xml:space="preserve">0.009837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b/>
                <w:bCs/>
                <w:sz w:val="16"/>
              </w:rPr>
              <w:t xml:space="preserve">0.105683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176.64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Kinetic Fourier ≥25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0.043425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0.041291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0.050231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0.043054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0.015996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0.146571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105.55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D6 shell 3, rank 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0.030799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0.028538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0.034598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0.030762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0.011275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0.110973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220.37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Fixed neural–Fourier 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0.031784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0.009890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0.105683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134.81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D6 shell 2, rank 19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0.073476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0.067746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0.083663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0.074778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0.023261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0.212103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61.24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Long-anchor neural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0.139905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0.089580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0.228525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0.183825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0.022595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0.325521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1.27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Wang–Xie adapted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0.132717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0.088125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0.211824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0.182409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0.018248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0.304959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1.10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Dai adapted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0.432885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0.422582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0.440783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0.471568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0.110026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0.654799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130.33</w:t>
            </w:r>
          </w:p>
        </w:tc>
      </w:tr>
    </w:tbl>
    <w:p>
      <w:pPr>
        <w:pStyle w:val="BodyText"/>
        <w:widowControl/>
      </w:pPr>
      <w:r>
        <w:rPr>
          <w:rFonts w:ascii="Calibri" w:hAnsi="Calibri" w:eastAsia="Calibri"/>
        </w:rPr>
        <w:t xml:space="preserve">SR-SC-NARR lowers mean projector error relative to kinetic Fourier-25 by 28.76%. The stratified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point-bootstrap interval is [28.08%, 29.44%]. All five splits are non-regressive relative to the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control. The proposed p95 and maximum are 0.10568 and 0.16686.</w:t>
      </w:r>
    </w:p>
    <w:p>
      <w:pPr>
        <w:pStyle w:val="CaptionedFigure"/>
        <w:widowControl/>
      </w:pPr>
      <w:r>
        <w:rPr>
          <w:rFonts w:ascii="Calibri" w:hAnsi="Calibri" w:eastAsia="Calibri"/>
        </w:rPr>
        <w:drawing>
          <wp:inline>
            <wp:extent cx="5334000" cy="3244966"/>
            <wp:effectExtent b="0" l="0" r="0" t="0"/>
            <wp:docPr descr="Figure 1. Overall formal projector error for 11 methods and ablations." title="" id="30" name="Picture"/>
            <a:graphic>
              <a:graphicData uri="http://schemas.openxmlformats.org/drawingml/2006/picture">
                <pic:pic>
                  <pic:nvPicPr>
                    <pic:cNvPr descr="../../figures/v3_formal/fig01_overall_erro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ascii="Calibri" w:hAnsi="Calibri" w:eastAsia="Calibri"/>
        </w:rPr>
        <w:t xml:space="preserve">Figure 1. Overall formal projector error for 11 methods and ablations.</w:t>
      </w:r>
    </w:p>
    <w:p>
      <w:pPr>
        <w:pStyle w:val="CaptionedFigure"/>
        <w:widowControl/>
      </w:pPr>
      <w:r>
        <w:rPr>
          <w:rFonts w:ascii="Calibri" w:hAnsi="Calibri" w:eastAsia="Calibri"/>
        </w:rPr>
        <w:drawing>
          <wp:inline>
            <wp:extent cx="5334000" cy="2941292"/>
            <wp:effectExtent b="0" l="0" r="0" t="0"/>
            <wp:docPr descr="Figure 2. Error across IID, exact, near, strict-OOD, and gap-scan regimes." title="" id="33" name="Picture"/>
            <a:graphic>
              <a:graphicData uri="http://schemas.openxmlformats.org/drawingml/2006/picture">
                <pic:pic>
                  <pic:nvPicPr>
                    <pic:cNvPr descr="../../figures/v3_formal/fig02_split_comparis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ascii="Calibri" w:hAnsi="Calibri" w:eastAsia="Calibri"/>
        </w:rPr>
        <w:t xml:space="preserve">Figure 2. Error across IID, exact, near, strict-OOD, and gap-scan regimes.</w:t>
      </w:r>
    </w:p>
    <w:bookmarkEnd w:id="35"/>
    <w:bookmarkStart w:id="42" w:name="Xde95c1a8ed728248ff1217decc1949677361aa8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6.2 The gain is conditional on potential spectral complexity</w:t>
      </w:r>
    </w:p>
    <w:p>
      <w:pPr>
        <w:pStyle w:val="FirstParagraph"/>
        <w:widowControl/>
      </w:pPr>
      <w:r>
        <w:rPr>
          <w:rFonts w:ascii="Calibri" w:hAnsi="Calibri" w:eastAsia="Calibri"/>
          <w:b/>
          <w:bCs/>
        </w:rPr>
        <w:t xml:space="preserve">Table 2. Family-specific mean results.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Family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Projector error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Eigenvalue MAE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Latency (ms)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SR-SC-NARR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0.008120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0.000345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159.76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Kinetic Fourier ≥25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0.008120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0.000345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104.72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D6 shell 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0.003370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0.000080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220.46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Fixed hybrid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0.009831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0.000451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132.42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SR-SC-NARR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0.053737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0.019329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193.53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Kinetic Fourier ≥25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0.078729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0.031646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106.39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D6 shell 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0.058228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0.022470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220.27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Fixed hybrid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0.053737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0.019329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137.20</w:t>
            </w:r>
          </w:p>
        </w:tc>
      </w:tr>
    </w:tbl>
    <w:p>
      <w:pPr>
        <w:pStyle w:val="BodyText"/>
        <w:widowControl/>
      </w:pPr>
      <w:r>
        <w:rPr>
          <w:rFonts w:ascii="Calibri" w:hAnsi="Calibri" w:eastAsia="Calibri"/>
        </w:rPr>
        <w:t xml:space="preserve">All 80 harmonic points have</w:t>
      </w:r>
      <w:r>
        <w:rPr>
          <w:rFonts w:ascii="Calibri" w:hAnsi="Calibri" w:eastAsia="Calibri"/>
        </w:rPr>
        <w:t xml:space="preserve"> </w:t>
      </w:r>
      <m:oMath>
        <m:r>
          <m:t>ρ</m:t>
        </m:r>
        <m:r>
          <m:rPr>
            <m:sty m:val="p"/>
          </m:rPr>
          <m:t>≪</m:t>
        </m:r>
        <m:r>
          <m:t>0.1</m:t>
        </m:r>
      </m:oMath>
      <w:r>
        <w:rPr>
          <w:rFonts w:ascii="Calibri" w:hAnsi="Calibri" w:eastAsia="Calibri"/>
        </w:rPr>
        <w:t xml:space="preserve">, take the Fourier route, and exactly match the kinetic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Fourier control. All 80 Gaussian points have</w:t>
      </w:r>
      <w:r>
        <w:rPr>
          <w:rFonts w:ascii="Calibri" w:hAnsi="Calibri" w:eastAsia="Calibri"/>
        </w:rP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0.807</m:t>
        </m:r>
        <m:r>
          <m:rPr>
            <m:sty m:val="p"/>
          </m:rPr>
          <m:t>,</m:t>
        </m:r>
        <m:r>
          <m:t>0.964</m:t>
        </m:r>
        <m:r>
          <m:rPr>
            <m:sty m:val="p"/>
          </m:rPr>
          <m:t>]</m:t>
        </m:r>
      </m:oMath>
      <w:r>
        <w:rPr>
          <w:rFonts w:ascii="Calibri" w:hAnsi="Calibri" w:eastAsia="Calibri"/>
        </w:rPr>
        <w:t xml:space="preserve">, take the hybrid route,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reduce error by 31.75%. The Gaussian improvements for seeds 42, 137, and 251 are 30.5%, 32.6%,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32.1%. Thus three of six family-by-seed cells are strict wins and all six are non-regressions.</w:t>
      </w:r>
    </w:p>
    <w:p>
      <w:pPr>
        <w:pStyle w:val="CaptionedFigure"/>
        <w:widowControl/>
      </w:pPr>
      <w:r>
        <w:rPr>
          <w:rFonts w:ascii="Calibri" w:hAnsi="Calibri" w:eastAsia="Calibri"/>
        </w:rPr>
        <w:drawing>
          <wp:inline>
            <wp:extent cx="5334000" cy="3275418"/>
            <wp:effectExtent b="0" l="0" r="0" t="0"/>
            <wp:docPr descr="Figure 3. Family-specific formal results; the aggregate gain comes from the spectrally rich Gaussian endpoint." title="" id="37" name="Picture"/>
            <a:graphic>
              <a:graphicData uri="http://schemas.openxmlformats.org/drawingml/2006/picture">
                <pic:pic>
                  <pic:nvPicPr>
                    <pic:cNvPr descr="../../figures/v3_formal/fig11_family_specific_resul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ascii="Calibri" w:hAnsi="Calibri" w:eastAsia="Calibri"/>
        </w:rPr>
        <w:t xml:space="preserve">Figure 3. Family-specific formal results; the aggregate gain comes from the spectrally rich Gaussian endpoint.</w:t>
      </w:r>
    </w:p>
    <w:p>
      <w:pPr>
        <w:pStyle w:val="CaptionedFigure"/>
        <w:widowControl/>
      </w:pPr>
      <w:r>
        <w:rPr>
          <w:rFonts w:ascii="Calibri" w:hAnsi="Calibri" w:eastAsia="Calibri"/>
        </w:rPr>
        <w:drawing>
          <wp:inline>
            <wp:extent cx="5334000" cy="3686196"/>
            <wp:effectExtent b="0" l="0" r="0" t="0"/>
            <wp:docPr descr="Figure 4. The formal set contains two separated tail-ratio endpoints and no samples near the frozen 0.1 threshold." title="" id="40" name="Picture"/>
            <a:graphic>
              <a:graphicData uri="http://schemas.openxmlformats.org/drawingml/2006/picture">
                <pic:pic>
                  <pic:nvPicPr>
                    <pic:cNvPr descr="../../figures/v3_formal/fig07_route_tail_ratio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ascii="Calibri" w:hAnsi="Calibri" w:eastAsia="Calibri"/>
        </w:rPr>
        <w:t xml:space="preserve">Figure 4. The formal set contains two separated tail-ratio endpoints and no samples near the frozen 0.1 threshold.</w:t>
      </w:r>
    </w:p>
    <w:bookmarkEnd w:id="42"/>
    <w:bookmarkStart w:id="46" w:name="routing-ablation-and-cost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6.3 Routing ablation and cost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Pure kinetic Fourier-25 attains 0.04342 at 105.55 ms. Always using the hybrid improves error to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0.03178 but costs 134.81 ms. Routing improves aggregate error by a further 2.69% to 0.03093 because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it avoids the inferior hybrid on harmonic cases, but current tail-ratio computation increases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latency to 176.64 ms. The router is therefore a non-regressive conditional selector, not a speedup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in the present implementation.</w:t>
      </w:r>
    </w:p>
    <w:p>
      <w:pPr>
        <w:pStyle w:val="CaptionedFigure"/>
        <w:widowControl/>
      </w:pPr>
      <w:r>
        <w:rPr>
          <w:rFonts w:ascii="Calibri" w:hAnsi="Calibri" w:eastAsia="Calibri"/>
        </w:rPr>
        <w:drawing>
          <wp:inline>
            <wp:extent cx="5334000" cy="2321178"/>
            <wp:effectExtent b="0" l="0" r="0" t="0"/>
            <wp:docPr descr="Figure 5. Routing ablation: conditional selection improves aggregate accuracy but adds online diagnostic cost." title="" id="44" name="Picture"/>
            <a:graphic>
              <a:graphicData uri="http://schemas.openxmlformats.org/drawingml/2006/picture">
                <pic:pic>
                  <pic:nvPicPr>
                    <pic:cNvPr descr="../../figures/v3_formal/fig10_routing_abl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ascii="Calibri" w:hAnsi="Calibri" w:eastAsia="Calibri"/>
        </w:rPr>
        <w:t xml:space="preserve">Figure 5. Routing ablation: conditional selection improves aggregate accuracy but adds online diagnostic cost.</w:t>
      </w:r>
    </w:p>
    <w:bookmarkEnd w:id="46"/>
    <w:bookmarkStart w:id="50" w:name="higher-rank-fourier-context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6.4 Higher-rank Fourier context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Complete D6 shell-3 has slightly lower projector error than SR-SC-NARR: 0.030799 versus 0.030929,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 0.42% difference. The proposed method nevertheless has 12.75% lower eigenvalue MAE, 19.84% lower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latency, and trial rank 25–27 rather than 37. On Gaussian cases, it also has 7.71% lower projector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error than shell-3. This is a Pareto trade-off, not unconditional dominance in projector accuracy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or execution time.</w:t>
      </w:r>
    </w:p>
    <w:p>
      <w:pPr>
        <w:pStyle w:val="CaptionedFigure"/>
        <w:widowControl/>
      </w:pPr>
      <w:r>
        <w:rPr>
          <w:rFonts w:ascii="Calibri" w:hAnsi="Calibri" w:eastAsia="Calibri"/>
        </w:rPr>
        <w:drawing>
          <wp:inline>
            <wp:extent cx="5334000" cy="3732939"/>
            <wp:effectExtent b="0" l="0" r="0" t="0"/>
            <wp:docPr descr="Figure 6. Accuracy-latency context on the formal A10 system." title="" id="48" name="Picture"/>
            <a:graphic>
              <a:graphicData uri="http://schemas.openxmlformats.org/drawingml/2006/picture">
                <pic:pic>
                  <pic:nvPicPr>
                    <pic:cNvPr descr="../../figures/v3_formal/fig05_accuracy_latenc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ascii="Calibri" w:hAnsi="Calibri" w:eastAsia="Calibri"/>
        </w:rPr>
        <w:t xml:space="preserve">Figure 6. Accuracy-latency context on the formal A10 system.</w:t>
      </w:r>
    </w:p>
    <w:bookmarkEnd w:id="50"/>
    <w:bookmarkStart w:id="54" w:name="crossings-and-internal-gap-behavior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6.5 Crossings and internal-gap behavior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minimum external gap over the formal set is 0.01917. Exact-cluster gaps are numerically near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zero, while near-cluster gaps remain below the preregistered bound. The projector metric remains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defined throughout. Figure 7 plots error against the internal gap without assigning identities to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individual bands.</w:t>
      </w:r>
    </w:p>
    <w:p>
      <w:pPr>
        <w:pStyle w:val="CaptionedFigure"/>
        <w:widowControl/>
      </w:pPr>
      <w:r>
        <w:rPr>
          <w:rFonts w:ascii="Calibri" w:hAnsi="Calibri" w:eastAsia="Calibri"/>
        </w:rPr>
        <w:drawing>
          <wp:inline>
            <wp:extent cx="5334000" cy="3670155"/>
            <wp:effectExtent b="0" l="0" r="0" t="0"/>
            <wp:docPr descr="Figure 7. Point-mean projector error across exact and near-degenerate cases." title="" id="52" name="Picture"/>
            <a:graphic>
              <a:graphicData uri="http://schemas.openxmlformats.org/drawingml/2006/picture">
                <pic:pic>
                  <pic:nvPicPr>
                    <pic:cNvPr descr="../../figures/v3_formal/fig08_error_vs_internal_gap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ascii="Calibri" w:hAnsi="Calibri" w:eastAsia="Calibri"/>
        </w:rPr>
        <w:t xml:space="preserve">Figure 7. Point-mean projector error across exact and near-degenerate cases.</w:t>
      </w:r>
    </w:p>
    <w:bookmarkEnd w:id="54"/>
    <w:bookmarkStart w:id="55" w:name="numerical-integrity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6.6 Numerical integrity</w:t>
      </w:r>
    </w:p>
    <w:p>
      <w:pPr>
        <w:pStyle w:val="FirstParagraph"/>
        <w:widowControl/>
      </w:pPr>
      <w:r>
        <w:rPr>
          <w:rFonts w:ascii="Calibri" w:hAnsi="Calibri" w:eastAsia="Calibri"/>
          <w:b/>
          <w:bCs/>
        </w:rPr>
        <w:t xml:space="preserve">Table 3. Independent numerical checks.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Check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Observed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Frozen threshold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Reference projector, cutoff 24→28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1.51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Reference eigenvalue, cutoff 24→28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6.95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Solver projector, grid 65→97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2.10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Solver eigenvalue, grid 65→97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4.77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Proposed maximum raw Hermiticity defect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7.13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Maximum orthogonality error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2.47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Calibri" w:hAnsi="Calibri" w:eastAsia="Calibri"/>
                <w:sz w:val="16"/>
              </w:rPr>
              <w:t xml:space="preserve">Minimum external gap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Calibri" w:hAnsi="Calibri" w:eastAsia="Calibri"/>
                <w:sz w:val="16"/>
              </w:rPr>
              <w:t xml:space="preserve">0.01917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Calibri"/>
                <w:sz w:val="16"/>
              </w:rPr>
              <w:t xml:space="preserve">​</w:t>
            </w:r>
          </w:p>
        </w:tc>
      </w:tr>
    </w:tbl>
    <w:p>
      <w:pPr>
        <w:pStyle w:val="BodyText"/>
        <w:widowControl/>
      </w:pPr>
      <w:r>
        <w:rPr>
          <w:rFonts w:ascii="Calibri" w:hAnsi="Calibri" w:eastAsia="Calibri"/>
        </w:rPr>
        <w:t xml:space="preserve">The all-method maximum Hermiticity defect is larger because the poorly converged Dai adaptation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reaches 0.00259. The formal gate correctly applies the Hermiticity threshold to the proposed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method, not to unrelated baseline failure.</w:t>
      </w:r>
    </w:p>
    <w:bookmarkEnd w:id="55"/>
    <w:bookmarkEnd w:id="56"/>
    <w:bookmarkStart w:id="61" w:name="discussion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7. Discussion</w:t>
      </w:r>
    </w:p>
    <w:bookmarkStart w:id="57" w:name="why-a-projector-target-is-appropriate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7.1 Why a projector target is appropriate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At a crossing, individually ordered eigenvectors are not a continuous physical observable.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rank-two projector removes arbitrary phase, ordering, and internal rotation. External spectral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isolation, rather than a positive internal gap, is the relevant stability condition. The network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only needs to supply useful directions near the low-energy invariant space; the compact Ritz solve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then uses the operator to select the final cluster.</w:t>
      </w:r>
    </w:p>
    <w:bookmarkEnd w:id="57"/>
    <w:bookmarkStart w:id="58" w:name="division-of-labor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7.2 Division of labor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formal results reveal a clear division. Smooth harmonic potentials are already represented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well by the tie-closed kinetic dictionary, so neural augmentation should be avoided. Localized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Gaussian wells contain substantial Fourier energy outside the first shell; two learned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parameter-dependent directions improve a compact analytic space. This mechanism is more precise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than saying that a neural network “solves the PDE better” in every regime.</w:t>
      </w:r>
    </w:p>
    <w:bookmarkEnd w:id="58"/>
    <w:bookmarkStart w:id="59" w:name="X942615a2acedd5d944aaedbd253cd10b8a761de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7.3 What the router has and has not established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route is label-free and successfully avoids regression at the two observed endpoints. It has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not been validated on potentials with</w:t>
      </w:r>
      <w:r>
        <w:rPr>
          <w:rFonts w:ascii="Calibri" w:hAnsi="Calibri" w:eastAsia="Calibri"/>
        </w:rPr>
        <w:t xml:space="preserve"> </w:t>
      </w:r>
      <m:oMath>
        <m:r>
          <m:t>ρ</m:t>
        </m:r>
      </m:oMath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close to 0.1, and route and family are perfectly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confounded in the formal set. A continuous roughness sweep or a third intermediate-complexity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family is therefore the most important external validation for future work. The frozen threshold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must not be retuned on such a supplement.</w:t>
      </w:r>
    </w:p>
    <w:bookmarkEnd w:id="59"/>
    <w:bookmarkStart w:id="60" w:name="relation-to-neighboring-methods"/>
    <w:p>
      <w:pPr>
        <w:pStyle w:val="Heading3"/>
        <w:keepNext/>
        <w:widowControl/>
      </w:pPr>
      <w:r>
        <w:rPr>
          <w:rFonts w:ascii="Calibri" w:hAnsi="Calibri" w:eastAsia="Calibri"/>
        </w:rPr>
        <w:t xml:space="preserve">7.4 Relation to neighboring methods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Wang–Xie [3] establishes joint trace-based neural eigenanalysis; Dai et al. [5] establish neural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trial subspaces followed by Galerkin extraction; Chang et al. [6] address multiplicity over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parameterized shape families; Fanaskov et al. [8] regress parameterized subspaces with labels;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Pau [9] applies reduced bases to repeated band calculations. SR-SC-NARR differs through the joint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use of a label-free parameter network, a fixed-rank projector target at internal crossings, D6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tie-closed analytic dictionaries, potential-only conditional augmentation, paired operator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assembly, and a one-shot confirmation with a strong rank-37 Fourier context.</w:t>
      </w:r>
    </w:p>
    <w:bookmarkEnd w:id="60"/>
    <w:bookmarkEnd w:id="61"/>
    <w:bookmarkStart w:id="62" w:name="limitations-and-threats-to-validity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8. Limitations and Threats to Validity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The formal benchmark contains two potential families but only two well-separated spectral-tail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regimes. It does not prove interpolation around the routing threshold or transfer to an unseen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family. The method addresses only the lowest rank-two cluster on a two-dimensional periodic cell;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higher clusters, three-dimensional crystals, and nonperiodic boundaries remain open.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routing diagnostic adds approximately 42 ms relative to fixed hybrid and 71 ms relative to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Fourier-25 on the formal system. A fused or precomputed diagnostic is needed before claiming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routing speed advantage. Formal latency is the mean of the randomized one-pass evaluation matrix;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 dedicated repeated microbenchmark and component-level profiler would strengthen hardware claims.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bootstrap interval resamples physical points and is conditional on three archived checkpoint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seeds. It is not a population interval over arbitrary retraining randomness. Wang–Xie and Dai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results are formula-level adaptations, not official author-code reproductions. The Dai adaptation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converges poorly, so it is contextual rather than decisive evidence.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The formal experiment used PyTorch 2.10.0 although the development requirement originally pinned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2.8 series. Full tests passed on the formal environment and source/checkpoint/reference hashes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were unchanged, but the exact software version must be reported for reproducibility.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Internal-validity safeguards include a disjoint pilot, method and gate freezing before test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generation, a clean CUDA opening, a single-use marker, complete identity and finite-value audits,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independent cutoff/grid convergence, and an evidence archive binding source, suite, reference,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manifest, marker, rows, summary, gate, and provenance.</w:t>
      </w:r>
    </w:p>
    <w:bookmarkEnd w:id="62"/>
    <w:bookmarkStart w:id="63" w:name="conclusion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9. Conclusion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We introduced SR-SC-NARR, a conditional neural-augmented Rayleigh–Ritz solver for the lowest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spectral cluster of a parameterized two-dimensional Bloch–Schrödinger PDE. The method combines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label-free generalized-trace network with D6-consistent, tie-closed Fourier trial spaces and a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potential-only spectral-tail diagnostic. It predicts a rank-two projector rather than separately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ordered bands and remains meaningful at internal crossings.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On a single procedurally frozen 160-point CUDA confirmation, the solver reduces mean projector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error by 28.76% relative to minimum-rank-25 kinetic Fourier, with a conditional 95% interval of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[28.08%, 29.44%]. The gain comes entirely from the spectrally rich Gaussian family; the harmonic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family safely falls back to Fourier. Relative to rank-37 shell-3, the proposed method is a lower-rank,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lower-eigenvalue-error, lower-latency Pareto alternative with nearly identical mean projector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accuracy. The evidence supports journal submission under a conditional neural-augmentation claim.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clearest route toward a stronger general algorithm claim is a preregistered, fixed-threshold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roughness sweep spanning the empty interval between the two formal spectral endpoints.</w:t>
      </w:r>
    </w:p>
    <w:bookmarkEnd w:id="63"/>
    <w:bookmarkStart w:id="64" w:name="reproducibility-and-data-availability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Reproducibility and Data Availability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Code, frozen suites, the reference cache, raw rows, summaries, gates, provenance, figures, and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evidence archives are maintained at</w:t>
      </w:r>
      <w:r>
        <w:rPr>
          <w:rFonts w:ascii="Calibri" w:hAnsi="Calibri" w:eastAsia="Calibri"/>
        </w:rPr>
        <w:t xml:space="preserve"> </w:t>
      </w:r>
      <w:r>
        <w:rPr>
          <w:rStyle w:val="VerbatimChar"/>
          <w:rFonts w:ascii="Calibri" w:hAnsi="Calibri" w:eastAsia="Calibri"/>
        </w:rPr>
        <w:t xml:space="preserve">https://github.com/Lazywords2006/PINN-PDE</w:t>
      </w:r>
      <w:r>
        <w:rPr>
          <w:rFonts w:ascii="Calibri" w:hAnsi="Calibri" w:eastAsia="Calibri"/>
        </w:rPr>
        <w:t xml:space="preserve">. The formal evidence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SHA-256 is</w:t>
      </w:r>
      <w:r>
        <w:rPr>
          <w:rFonts w:ascii="Calibri" w:hAnsi="Calibri" w:eastAsia="Calibri"/>
        </w:rPr>
        <w:t xml:space="preserve"> </w:t>
      </w:r>
      <w:r>
        <w:rPr>
          <w:rStyle w:val="VerbatimChar"/>
          <w:rFonts w:ascii="Calibri" w:hAnsi="Calibri" w:eastAsia="Calibri"/>
        </w:rPr>
        <w:t xml:space="preserve">108a4b042549ead58f7b13f42b6ace4685e93a4e8a54e9563b044c03c29ad78c</w:t>
      </w:r>
      <w:r>
        <w:rPr>
          <w:rFonts w:ascii="Calibri" w:hAnsi="Calibri" w:eastAsia="Calibri"/>
        </w:rPr>
        <w:t xml:space="preserve">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The formal suite is permanently closed and must not be rerun or used for threshold tuning.</w:t>
      </w:r>
    </w:p>
    <w:bookmarkEnd w:id="64"/>
    <w:bookmarkStart w:id="65" w:name="X3f857c343246b1db29a5bf69ce0fb5349f0f024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Ethics, Conflict of Interest, Funding, and AI Disclosure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This work involves no human participants, animals, personal data, or clinical decisions. The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authors declare no known conflict of interest, subject to confirmation by the final author list.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Funding information has not yet been supplied. Generative AI assisted with code review, document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organization, and language editing; the authors remain responsible for the mathematics,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citations, software, experiments, numerical values, and final manuscript.</w:t>
      </w:r>
    </w:p>
    <w:bookmarkEnd w:id="65"/>
    <w:bookmarkStart w:id="66" w:name="references"/>
    <w:p>
      <w:pPr>
        <w:pStyle w:val="Heading2"/>
        <w:keepNext/>
        <w:widowControl/>
      </w:pPr>
      <w:r>
        <w:rPr>
          <w:rFonts w:ascii="Calibri" w:hAnsi="Calibri" w:eastAsia="Calibri"/>
        </w:rPr>
        <w:t xml:space="preserve">References</w:t>
      </w:r>
    </w:p>
    <w:p>
      <w:pPr>
        <w:pStyle w:val="FirstParagraph"/>
        <w:widowControl/>
      </w:pPr>
      <w:r>
        <w:rPr>
          <w:rFonts w:ascii="Calibri" w:hAnsi="Calibri" w:eastAsia="Calibri"/>
        </w:rPr>
        <w:t xml:space="preserve">[1] M. Raissi, P. Perdikaris, and G. E. Karniadakis, “Physics-informed neural networks: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 deep learning framework for solving forward and inverse problems involving nonlinear partial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differential equations,”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Journal of Computational Physics</w:t>
      </w:r>
      <w:r>
        <w:rPr>
          <w:rFonts w:ascii="Calibri" w:hAnsi="Calibri" w:eastAsia="Calibri"/>
        </w:rPr>
        <w:t xml:space="preserve">, 378, 686–707, 2019.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https://doi.org/10.1016/j.jcp.2018.10.045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[2] A. Kovacs et al., “Conditional physics informed neural networks,”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Communications in</w:t>
      </w:r>
      <w:r>
        <w:rPr>
          <w:rFonts w:ascii="Calibri" w:hAnsi="Calibri" w:eastAsia="Calibri"/>
          <w:i/>
          <w:iCs/>
        </w:rPr>
        <w:t xml:space="preserve"> </w:t>
      </w:r>
      <w:r>
        <w:rPr>
          <w:rFonts w:ascii="Calibri" w:hAnsi="Calibri" w:eastAsia="Calibri"/>
          <w:i/>
          <w:iCs/>
        </w:rPr>
        <w:t xml:space="preserve">Nonlinear Science and Numerical Simulation</w:t>
      </w:r>
      <w:r>
        <w:rPr>
          <w:rFonts w:ascii="Calibri" w:hAnsi="Calibri" w:eastAsia="Calibri"/>
        </w:rPr>
        <w:t xml:space="preserve">, 104, 106041, 2022.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https://doi.org/10.1016/j.cnsns.2021.106041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[3] Y. Wang and H. Xie, “Computing multi-eigenpairs of high-dimensional eigenvalue problems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using tensor neural networks,”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Journal of Computational Physics</w:t>
      </w:r>
      <w:r>
        <w:rPr>
          <w:rFonts w:ascii="Calibri" w:hAnsi="Calibri" w:eastAsia="Calibri"/>
        </w:rPr>
        <w:t xml:space="preserve">, 506, 112928, 2024.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https://doi.org/10.1016/j.jcp.2024.112928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[4] C. Rowan, J. Evans, K. Maute, and A. Doostan, “Solving engineering eigenvalue problems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with neural networks using the Rayleigh quotient,”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International Journal for Numerical Methods</w:t>
      </w:r>
      <w:r>
        <w:rPr>
          <w:rFonts w:ascii="Calibri" w:hAnsi="Calibri" w:eastAsia="Calibri"/>
          <w:i/>
          <w:iCs/>
        </w:rPr>
        <w:t xml:space="preserve"> </w:t>
      </w:r>
      <w:r>
        <w:rPr>
          <w:rFonts w:ascii="Calibri" w:hAnsi="Calibri" w:eastAsia="Calibri"/>
          <w:i/>
          <w:iCs/>
        </w:rPr>
        <w:t xml:space="preserve">in Engineering</w:t>
      </w:r>
      <w:r>
        <w:rPr>
          <w:rFonts w:ascii="Calibri" w:hAnsi="Calibri" w:eastAsia="Calibri"/>
        </w:rPr>
        <w:t xml:space="preserve">, 126, e70209, 2025. https://doi.org/10.1002/nme.70209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[5] X. Dai, Y. Fan, and Z. Sheng, “Subspace method based on neural networks for solving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eigenvalue problems,”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Communications in Nonlinear Science and Numerical Simulation</w:t>
      </w:r>
      <w:r>
        <w:rPr>
          <w:rFonts w:ascii="Calibri" w:hAnsi="Calibri" w:eastAsia="Calibri"/>
        </w:rPr>
        <w:t xml:space="preserve">, 161,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110060, 2026. https://doi.org/10.1016/j.cnsns.2026.110060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[6] Y. Chang et al., “Shape Space Spectra,”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ACM Transactions on Graphics</w:t>
      </w:r>
      <w:r>
        <w:rPr>
          <w:rFonts w:ascii="Calibri" w:hAnsi="Calibri" w:eastAsia="Calibri"/>
        </w:rPr>
        <w:t xml:space="preserve">, 44(4), 1–16,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2025. https://doi.org/10.1145/3731148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[7] L. Grubišić, M. Saarikangas, and H. Hakula, “Stochastic collocation method for computing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eigenspaces of parameter-dependent operators,”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Numerische Mathematik</w:t>
      </w:r>
      <w:r>
        <w:rPr>
          <w:rFonts w:ascii="Calibri" w:hAnsi="Calibri" w:eastAsia="Calibri"/>
        </w:rPr>
        <w:t xml:space="preserve">, 153, 85–110, 2023.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https://doi.org/10.1007/s00211-022-01339-3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[8] V. Fanaskov et al., “Deep Learning for Subspace Regression,”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International Conference on</w:t>
      </w:r>
      <w:r>
        <w:rPr>
          <w:rFonts w:ascii="Calibri" w:hAnsi="Calibri" w:eastAsia="Calibri"/>
          <w:i/>
          <w:iCs/>
        </w:rPr>
        <w:t xml:space="preserve"> </w:t>
      </w:r>
      <w:r>
        <w:rPr>
          <w:rFonts w:ascii="Calibri" w:hAnsi="Calibri" w:eastAsia="Calibri"/>
          <w:i/>
          <w:iCs/>
        </w:rPr>
        <w:t xml:space="preserve">Learning Representations</w:t>
      </w:r>
      <w:r>
        <w:rPr>
          <w:rFonts w:ascii="Calibri" w:hAnsi="Calibri" w:eastAsia="Calibri"/>
        </w:rPr>
        <w:t xml:space="preserve">, 2026. https://openreview.net/forum?id=HF60Lu1Maj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[9] G. S. H. Pau, “Reduced-basis method for band structure calculations,”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Physical Review E</w:t>
      </w:r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76, 046704, 2007. https://doi.org/10.1103/PhysRevE.76.046704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[10] T. Horger, B. Wohlmuth, and T. Dickopf, “Simultaneous reduced basis approximation of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parameterized elliptic eigenvalue problems,”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ESAIM: M2AN</w:t>
      </w:r>
      <w:r>
        <w:rPr>
          <w:rFonts w:ascii="Calibri" w:hAnsi="Calibri" w:eastAsia="Calibri"/>
        </w:rPr>
        <w:t xml:space="preserve">, 51(2), 443–465, 2017.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https://doi.org/10.1051/m2an/2016025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[11] C. L. Fefferman and M. I. Weinstein, “Honeycomb lattice potentials and Dirac points,”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Journal of the American Mathematical Society</w:t>
      </w:r>
      <w:r>
        <w:rPr>
          <w:rFonts w:ascii="Calibri" w:hAnsi="Calibri" w:eastAsia="Calibri"/>
        </w:rPr>
        <w:t xml:space="preserve">, 25(4), 1169–1220, 2012.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https://doi.org/10.1090/S0894-0347-2012-00745-0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[12] B. Haasdonk et al., “A new certified hierarchical and adaptive RB-ML-ROM surrogate model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for parametrized PDEs,”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SIAM Journal on Scientific Computing</w:t>
      </w:r>
      <w:r>
        <w:rPr>
          <w:rFonts w:ascii="Calibri" w:hAnsi="Calibri" w:eastAsia="Calibri"/>
        </w:rPr>
        <w:t xml:space="preserve">, 45(3), A1039–A1065, 2023.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https://doi.org/10.1137/22M1493318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[13] C. Hsu et al., “Equation-driven neural networks for periodic quantum systems,” NeurIPS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Workshop on Machine Learning and the Physical Sciences, 2024.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https://neurips.cc/virtual/2024/99978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[14] H. Jin, M. Mattheakis, and P. Protopapas, “Physics-Informed Neural Networks for Quantum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Eigenvalue Problems,”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International Joint Conference on Neural Networks</w:t>
      </w:r>
      <w:r>
        <w:rPr>
          <w:rFonts w:ascii="Calibri" w:hAnsi="Calibri" w:eastAsia="Calibri"/>
        </w:rPr>
        <w:t xml:space="preserve">, 2022.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https://doi.org/10.1109/IJCNN55064.2022.9891944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[15] C. Davis and W. M. Kahan, “The rotation of eigenvectors by a perturbation. III,”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SIAM Journal on Numerical Analysis</w:t>
      </w:r>
      <w:r>
        <w:rPr>
          <w:rFonts w:ascii="Calibri" w:hAnsi="Calibri" w:eastAsia="Calibri"/>
        </w:rPr>
        <w:t xml:space="preserve">, 7(1), 1–46, 1970.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https://doi.org/10.1137/0707001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[16] W. E and B. Yu, “The Deep Ritz Method: A Deep Learning-Based Numerical Algorithm for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Solving Variational Problems,”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Communications in Mathematics and Statistics</w:t>
      </w:r>
      <w:r>
        <w:rPr>
          <w:rFonts w:ascii="Calibri" w:hAnsi="Calibri" w:eastAsia="Calibri"/>
        </w:rPr>
        <w:t xml:space="preserve">, 6(1), 1–12,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2018. https://doi.org/10.1007/s40304-018-0127-z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[17] N. Kovachki et al., “Neural Operator: Learning Maps Between Function Spaces With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Applications to PDEs,”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Journal of Machine Learning Research</w:t>
      </w:r>
      <w:r>
        <w:rPr>
          <w:rFonts w:ascii="Calibri" w:hAnsi="Calibri" w:eastAsia="Calibri"/>
        </w:rPr>
        <w:t xml:space="preserve">, 24(89), 1–97, 2023.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https://jmlr.org/papers/v24/21-1524.html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[18] S. W. Cheung, Y. Choi, S. W. Chung, J.-L. Fattebert, C. Kendrick, and D. Osei-Kuffuor,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“Theory and numerics of subspace approximation of eigenvalue problems,”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Applied Mathematics and</w:t>
      </w:r>
      <w:r>
        <w:rPr>
          <w:rFonts w:ascii="Calibri" w:hAnsi="Calibri" w:eastAsia="Calibri"/>
          <w:i/>
          <w:iCs/>
        </w:rPr>
        <w:t xml:space="preserve"> </w:t>
      </w:r>
      <w:r>
        <w:rPr>
          <w:rFonts w:ascii="Calibri" w:hAnsi="Calibri" w:eastAsia="Calibri"/>
          <w:i/>
          <w:iCs/>
        </w:rPr>
        <w:t xml:space="preserve">Computation</w:t>
      </w:r>
      <w:r>
        <w:rPr>
          <w:rFonts w:ascii="Calibri" w:hAnsi="Calibri" w:eastAsia="Calibri"/>
        </w:rPr>
        <w:t xml:space="preserve">, 511, 129722, 2026. https://doi.org/10.1016/j.amc.2025.129722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[19] D. Peterseim, J.-F. Pietschmann, J. Püschel, and K. Rueß, “Neural network acceleration of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iterative methods for nonlinear Schrödinger eigenvalue problems,”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Journal of Computational and</w:t>
      </w:r>
      <w:r>
        <w:rPr>
          <w:rFonts w:ascii="Calibri" w:hAnsi="Calibri" w:eastAsia="Calibri"/>
          <w:i/>
          <w:iCs/>
        </w:rPr>
        <w:t xml:space="preserve"> </w:t>
      </w:r>
      <w:r>
        <w:rPr>
          <w:rFonts w:ascii="Calibri" w:hAnsi="Calibri" w:eastAsia="Calibri"/>
          <w:i/>
          <w:iCs/>
        </w:rPr>
        <w:t xml:space="preserve">Applied Mathematics</w:t>
      </w:r>
      <w:r>
        <w:rPr>
          <w:rFonts w:ascii="Calibri" w:hAnsi="Calibri" w:eastAsia="Calibri"/>
        </w:rPr>
        <w:t xml:space="preserve">, 485, 117414, 2026. https://doi.org/10.1016/j.cam.2026.117414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[20] F. Bertrand, D. Boffi, and A. Halim, “Data-driven reduced order modeling for parametric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PDE eigenvalue problems using Gaussian process regression,”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Journal of Computational Physics</w:t>
      </w:r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495, 112503, 2023. https://doi.org/10.1016/j.jcp.2023.112503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[21] J. Dölz and D. Ebert, “On Uncertainty Quantification of Eigenvalues and Eigenspaces with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Higher Multiplicity,”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SIAM Journal on Numerical Analysis</w:t>
      </w:r>
      <w:r>
        <w:rPr>
          <w:rFonts w:ascii="Calibri" w:hAnsi="Calibri" w:eastAsia="Calibri"/>
        </w:rPr>
        <w:t xml:space="preserve">, 62(1), 422–451, 2024.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https://doi.org/10.1137/22M1529324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[22] H. Li, J. Sun, and Z. Zhang, “Deep Eigenspace Network for Parametric Non-Self-Adjoint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Eigenvalue Problems,” arXiv:2512.20058, 2026. https://arxiv.org/abs/2512.20058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[23] Z. Hao et al., “PINNacle: A Comprehensive Benchmark of Physics-Informed Neural Networks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for Solving PDEs,”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Advances in Neural Information Processing Systems 37</w:t>
      </w:r>
      <w:r>
        <w:rPr>
          <w:rFonts w:ascii="Calibri" w:hAnsi="Calibri" w:eastAsia="Calibri"/>
        </w:rPr>
        <w:t xml:space="preserve">, 76721–76774, 2024.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https://doi.org/10.52202/079017-2442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[24] N. McGreivy and A. Hakim, “Weak baselines and reporting biases lead to overoptimism in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machine learning for fluid-related partial differential equations,”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Nature Machine Intelligence</w:t>
      </w:r>
      <w:r>
        <w:rPr>
          <w:rFonts w:ascii="Calibri" w:hAnsi="Calibri" w:eastAsia="Calibri"/>
        </w:rPr>
        <w:t xml:space="preserve">,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6(10), 1256–1269, 2024. https://doi.org/10.1038/s42256-024-00897-5</w:t>
      </w:r>
    </w:p>
    <w:p>
      <w:pPr>
        <w:pStyle w:val="BodyText"/>
        <w:widowControl/>
      </w:pPr>
      <w:r>
        <w:rPr>
          <w:rFonts w:ascii="Calibri" w:hAnsi="Calibri" w:eastAsia="Calibri"/>
        </w:rPr>
        <w:t xml:space="preserve">[25] S. Kapoor and A. Narayanan, “Leakage and the reproducibility crisis in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machine-learning-based science,”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  <w:i/>
          <w:iCs/>
        </w:rPr>
        <w:t xml:space="preserve">Patterns</w:t>
      </w:r>
      <w:r>
        <w:rPr>
          <w:rFonts w:ascii="Calibri" w:hAnsi="Calibri" w:eastAsia="Calibri"/>
        </w:rPr>
        <w:t xml:space="preserve">, 4(9), 100804, 2023.</w:t>
      </w:r>
      <w:r>
        <w:rPr>
          <w:rFonts w:ascii="Calibri" w:hAnsi="Calibri" w:eastAsia="Calibri"/>
        </w:rPr>
        <w:t xml:space="preserve"> </w:t>
      </w:r>
      <w:r>
        <w:rPr>
          <w:rFonts w:ascii="Calibri" w:hAnsi="Calibri" w:eastAsia="Calibri"/>
        </w:rPr>
        <w:t xml:space="preserve">https://doi.org/10.1016/j.patter.2023.100804</w:t>
      </w:r>
    </w:p>
    <w:bookmarkEnd w:id="66"/>
    <w:bookmarkEnd w:id="67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A626C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color w:val="5A626C"/>
        <w:sz w:val="17"/>
      </w:rPr>
      <w:t>SR-SC-NARR | V3 Manuscript Draft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60" w:line="320" w:lineRule="auto"/>
    </w:pPr>
    <w:rPr>
      <w:rFonts w:ascii="Calibri" w:hAnsi="Calibri" w:eastAsia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widowControl/>
      <w:spacing w:after="240" w:line="252" w:lineRule="auto" w:before="0"/>
      <w:contextualSpacing/>
      <w:jc w:val="center"/>
    </w:pPr>
    <w:rPr>
      <w:rFonts w:asciiTheme="majorHAnsi" w:cstheme="majorBidi" w:eastAsiaTheme="majorEastAsia" w:hAnsiTheme="majorHAnsi" w:ascii="Calibri" w:hAnsi="Calibri" w:eastAsia="Calibri"/>
      <w:b/>
      <w:color w:val="0B2545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widowControl/>
      <w:numPr>
        <w:ilvl w:val="1"/>
      </w:numPr>
      <w:spacing w:before="0" w:after="360" w:line="264" w:lineRule="auto"/>
    </w:pPr>
    <w:rPr>
      <w:rFonts w:cstheme="majorBidi" w:eastAsiaTheme="majorEastAsia" w:ascii="Calibri" w:hAnsi="Calibri" w:eastAsia="Calibri"/>
      <w:b w:val="0"/>
      <w:color w:val="5A626C"/>
      <w:spacing w:val="15"/>
      <w:sz w:val="2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00" w:before="360" w:line="264" w:lineRule="auto"/>
      <w:outlineLvl w:val="0"/>
    </w:pPr>
    <w:rPr>
      <w:rFonts w:asciiTheme="majorHAnsi" w:cstheme="majorBidi" w:eastAsiaTheme="majorEastAsia" w:hAnsiTheme="majorHAnsi" w:ascii="Calibri" w:hAnsi="Calibri" w:eastAsia="Calibri"/>
      <w:b/>
      <w:color w:val="1F4D7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20" w:before="240" w:line="264" w:lineRule="auto"/>
      <w:outlineLvl w:val="1"/>
    </w:pPr>
    <w:rPr>
      <w:rFonts w:asciiTheme="majorHAnsi" w:cstheme="majorBidi" w:eastAsiaTheme="majorEastAsia" w:hAnsiTheme="majorHAnsi" w:ascii="Calibri" w:hAnsi="Calibri" w:eastAsia="Calibri"/>
      <w:b/>
      <w:color w:val="1F4D78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80" w:before="160" w:line="264" w:lineRule="auto"/>
      <w:outlineLvl w:val="2"/>
    </w:pPr>
    <w:rPr>
      <w:rFonts w:cstheme="majorBidi" w:eastAsiaTheme="majorEastAsia" w:ascii="Calibri" w:hAnsi="Calibri" w:eastAsia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widowControl/>
      <w:spacing w:after="160" w:before="80" w:line="240" w:lineRule="auto"/>
    </w:pPr>
    <w:rPr>
      <w:rFonts w:ascii="Calibri" w:hAnsi="Calibri" w:eastAsia="Calibri"/>
      <w:b w:val="0"/>
      <w:i/>
      <w:color w:val="5A626C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47" Type="http://schemas.openxmlformats.org/officeDocument/2006/relationships/image" Target="media/rId47.png"/><Relationship Id="rId39" Type="http://schemas.openxmlformats.org/officeDocument/2006/relationships/image" Target="media/rId39.png"/><Relationship Id="rId51" Type="http://schemas.openxmlformats.org/officeDocument/2006/relationships/image" Target="media/rId51.png"/><Relationship Id="rId43" Type="http://schemas.openxmlformats.org/officeDocument/2006/relationships/image" Target="media/rId43.png"/><Relationship Id="rId36" Type="http://schemas.openxmlformats.org/officeDocument/2006/relationships/image" Target="media/rId3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Spectral-Complexity-Gated Neural Augmentation</dc:title>
  <dc:creator>Anonymous Authors</dc:creator>
  <cp:keywords/>
  <dcterms:created xsi:type="dcterms:W3CDTF">2026-08-27T17:55:02Z</dcterms:created>
  <dcterms:modified xsi:type="dcterms:W3CDTF">2026-08-27T17:55:02Z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