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Basis-Invariant Neural-Augmented Rayleigh-Ritz Solver for Parametric Bloch Spectral Clusters with Eigenvalue Crossings</w:t>
      </w:r>
    </w:p>
    <w:p>
      <w:pPr>
        <w:pStyle w:val="Author"/>
      </w:pPr>
      <w:r>
        <w:t xml:space="preserve">[Author Name(s)]</w:t>
      </w:r>
    </w:p>
    <w:p/>
    <w:p>
      <w:pPr>
        <w:spacing w:line="240" w:lineRule="auto" w:after="60"/>
        <w:jc w:val="center"/>
      </w:pPr>
      <w:r>
        <w:rPr>
          <w:rFonts w:ascii="Times New Roman" w:hAnsi="Times New Roman"/>
          <w:i/>
          <w:color w:val="000000"/>
          <w:sz w:val="22"/>
        </w:rPr>
        <w:t>[Department, Institution, City, Country]</w:t>
      </w:r>
    </w:p>
    <w:p/>
    <w:p>
      <w:pPr>
        <w:spacing w:line="240" w:lineRule="auto" w:after="60"/>
        <w:jc w:val="center"/>
      </w:pPr>
      <w:r>
        <w:rPr>
          <w:rFonts w:ascii="Times New Roman" w:hAnsi="Times New Roman"/>
          <w:i/>
          <w:color w:val="000000"/>
          <w:sz w:val="21"/>
        </w:rPr>
        <w:t>Corresponding author: [Name, email, ORCID]</w:t>
      </w:r>
    </w:p>
    <w:p/>
    <w:p>
      <w:pPr>
        <w:spacing w:line="240" w:lineRule="auto" w:after="60"/>
        <w:jc w:val="center"/>
      </w:pPr>
      <w:r>
        <w:rPr>
          <w:rFonts w:ascii="Times New Roman" w:hAnsi="Times New Roman"/>
          <w:i/>
          <w:color w:val="000000"/>
          <w:sz w:val="21"/>
        </w:rPr>
        <w:t>Manuscript type: Original Article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Parameterized Bloch eigenproblems require repeated PDE solves, while internal band crossings make</w:t>
      </w:r>
      <w:r>
        <w:t xml:space="preserve"> </w:t>
      </w:r>
      <w:r>
        <w:t xml:space="preserve">individually ordered eigenfunctions discontinuous. We propose a basis-invariant neural-augmented</w:t>
      </w:r>
      <w:r>
        <w:t xml:space="preserve"> </w:t>
      </w:r>
      <w:r>
        <w:t xml:space="preserve">Rayleigh–Ritz solver for the lowest rank-two spectral cluster of a two-dimensional periodic</w:t>
      </w:r>
      <w:r>
        <w:t xml:space="preserve"> </w:t>
      </w:r>
      <w:r>
        <w:t xml:space="preserve">Bloch–Schrödinger equation. A lightweight SiLU multilayer perceptron learns a label-free neural</w:t>
      </w:r>
      <w:r>
        <w:t xml:space="preserve"> </w:t>
      </w:r>
      <w:r>
        <w:t xml:space="preserve">coarse space through a generalized-trace objective. At inference, this space is augmented by the</w:t>
      </w:r>
      <w:r>
        <w:t xml:space="preserve"> </w:t>
      </w:r>
      <w:r>
        <w:t xml:space="preserve">complete second hexagonal Fourier shell. Automatic differentiation is used only for the two neural</w:t>
      </w:r>
      <w:r>
        <w:t xml:space="preserve"> </w:t>
      </w:r>
      <w:r>
        <w:t xml:space="preserve">columns; Hamiltonian actions on 19 plane waves are assembled analytically, and paired</w:t>
      </w:r>
      <w:r>
        <w:t xml:space="preserve"> </w:t>
      </w:r>
      <w:r>
        <w:t xml:space="preserve">orthogonalization produces a compact Ritz problem. A one-shot frozen test contains 640 parameter</w:t>
      </w:r>
      <w:r>
        <w:t xml:space="preserve"> </w:t>
      </w:r>
      <w:r>
        <w:t xml:space="preserve">points, two honeycomb potential families, three checkpoint seeds, ten methods, and 19,200 paired</w:t>
      </w:r>
      <w:r>
        <w:t xml:space="preserve"> </w:t>
      </w:r>
      <w:r>
        <w:t xml:space="preserve">evaluations. The proposed solver attains an overall projector error of 0.04532, compared with</w:t>
      </w:r>
      <w:r>
        <w:t xml:space="preserve"> </w:t>
      </w:r>
      <w:r>
        <w:t xml:space="preserve">0.14719 for a compute-matched long-anchor network and 0.13697 for a same-rank Fourier-only</w:t>
      </w:r>
      <w:r>
        <w:t xml:space="preserve"> </w:t>
      </w:r>
      <w:r>
        <w:t xml:space="preserve">control. Its improvement over long-anchor is 69.19%, with a point-clustered 95% interval of</w:t>
      </w:r>
      <w:r>
        <w:t xml:space="preserve"> </w:t>
      </w:r>
      <w:r>
        <w:t xml:space="preserve">[67.66%, 70.75%]. On a separate 160-point journal-baseline supplement, P2 attains 0.04728 versus</w:t>
      </w:r>
      <w:r>
        <w:t xml:space="preserve"> </w:t>
      </w:r>
      <w:r>
        <w:t xml:space="preserve">0.13114 for a Wang–Xie trace adaptation, an improvement of 63.78% with a 95% interval of</w:t>
      </w:r>
      <w:r>
        <w:t xml:space="preserve"> </w:t>
      </w:r>
      <w:r>
        <w:t xml:space="preserve">[59.58%, 67.88%], and wins all six family-by-seed comparisons. The results support a reproducible</w:t>
      </w:r>
      <w:r>
        <w:t xml:space="preserve"> </w:t>
      </w:r>
      <w:r>
        <w:t xml:space="preserve">accuracy-cost trade-off at internal crossings. The method is a hybrid neural numerical</w:t>
      </w:r>
      <w:r>
        <w:t xml:space="preserve"> </w:t>
      </w:r>
      <w:r>
        <w:t xml:space="preserve">eigensolver rather than a conventional residual PINN or a purely Fourier solver.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neural PDE solver; parametric eigenproblem; Bloch–Schrödinger equation; spectral</w:t>
      </w:r>
      <w:r>
        <w:t xml:space="preserve"> </w:t>
      </w:r>
      <w:r>
        <w:t xml:space="preserve">cluster; Rayleigh–Ritz; basis invariance; scientific machine learning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Physics-informed neural networks incorporate differential equations, boundary conditions, or</w:t>
      </w:r>
      <w:r>
        <w:t xml:space="preserve"> </w:t>
      </w:r>
      <w:r>
        <w:t xml:space="preserve">variational principles into network training, enabling approximation with few or no solution</w:t>
      </w:r>
      <w:r>
        <w:t xml:space="preserve"> </w:t>
      </w:r>
      <w:r>
        <w:t xml:space="preserve">labels [1]. Their appeal is especially strong for parameterized problems: one trained model can</w:t>
      </w:r>
      <w:r>
        <w:t xml:space="preserve"> </w:t>
      </w:r>
      <w:r>
        <w:t xml:space="preserve">serve many operator instances. Conditional PINNs have demonstrated this idea for classes of</w:t>
      </w:r>
      <w:r>
        <w:t xml:space="preserve"> </w:t>
      </w:r>
      <w:r>
        <w:t xml:space="preserve">eigenvalue problems [2]. Differential eigenproblems, however, introduce complications absent from</w:t>
      </w:r>
      <w:r>
        <w:t xml:space="preserve"> </w:t>
      </w:r>
      <w:r>
        <w:t xml:space="preserve">standard initial-boundary-value problems. A solver must avoid the trivial zero function, identify</w:t>
      </w:r>
      <w:r>
        <w:t xml:space="preserve"> </w:t>
      </w:r>
      <w:r>
        <w:t xml:space="preserve">multiple eigenstates, enforce normalization and orthogonality, and remain meaningful at</w:t>
      </w:r>
      <w:r>
        <w:t xml:space="preserve"> </w:t>
      </w:r>
      <w:r>
        <w:t xml:space="preserve">multiplicities and crossings.</w:t>
      </w:r>
    </w:p>
    <w:p>
      <w:pPr>
        <w:pStyle w:val="BodyText"/>
      </w:pPr>
      <w:r>
        <w:t xml:space="preserve">Bloch–Schrödinger operators with two-dimensional honeycomb potentials can exhibit conical Dirac</w:t>
      </w:r>
      <w:r>
        <w:t xml:space="preserve"> </w:t>
      </w:r>
      <w:r>
        <w:t xml:space="preserve">crossings at vertices of the Brillouin zone [11]. At such a crossing, separate labels for the first</w:t>
      </w:r>
      <w:r>
        <w:t xml:space="preserve"> </w:t>
      </w:r>
      <w:r>
        <w:t xml:space="preserve">and second bands do not define a globally continuous target. Their eigenvectors may also undergo</w:t>
      </w:r>
      <w:r>
        <w:t xml:space="preserve"> </w:t>
      </w:r>
      <w:r>
        <w:t xml:space="preserve">arbitrary unitary rotations within the degenerate eigenspace. Regressing ordered eigenfunctions or</w:t>
      </w:r>
      <w:r>
        <w:t xml:space="preserve"> </w:t>
      </w:r>
      <w:r>
        <w:t xml:space="preserve">minimizing separate residuals can therefore mistake a representational choice for a physical</w:t>
      </w:r>
      <w:r>
        <w:t xml:space="preserve"> </w:t>
      </w:r>
      <w:r>
        <w:t xml:space="preserve">solution. In contrast, if the lowest two states remain separated from the third state by an</w:t>
      </w:r>
      <w:r>
        <w:t xml:space="preserve"> </w:t>
      </w:r>
      <w:r>
        <w:t xml:space="preserve">external spectral gap, their rank-two eigenspace and spectral projector remain well-defined [7].</w:t>
      </w:r>
    </w:p>
    <w:p>
      <w:pPr>
        <w:pStyle w:val="BodyText"/>
      </w:pPr>
      <w:r>
        <w:t xml:space="preserve">Several existing lines of work supply components of a solution. Wang and Xie used tensor neural</w:t>
      </w:r>
      <w:r>
        <w:t xml:space="preserve"> </w:t>
      </w:r>
      <w:r>
        <w:t xml:space="preserve">networks and a trace objective to compute multiple eigenpairs jointly [3]. Rowan et al. combined</w:t>
      </w:r>
      <w:r>
        <w:t xml:space="preserve"> </w:t>
      </w:r>
      <w:r>
        <w:t xml:space="preserve">Rayleigh quotients with Gram–Schmidt orthogonalization for engineering eigenproblems [4]. Dai et</w:t>
      </w:r>
      <w:r>
        <w:t xml:space="preserve"> </w:t>
      </w:r>
      <w:r>
        <w:t xml:space="preserve">al. constructed neural trial subspaces and solved a projected Galerkin eigenproblem [5].</w:t>
      </w:r>
      <w:r>
        <w:t xml:space="preserve"> </w:t>
      </w:r>
      <w:r>
        <w:t xml:space="preserve">Parameterized neural eigenanalysis has also been studied through dynamic mode reordering in Shape</w:t>
      </w:r>
      <w:r>
        <w:t xml:space="preserve"> </w:t>
      </w:r>
      <w:r>
        <w:t xml:space="preserve">Space Spectra [6], supervised Grassmannian subspace regression [8], and equation-driven networks</w:t>
      </w:r>
      <w:r>
        <w:t xml:space="preserve"> </w:t>
      </w:r>
      <w:r>
        <w:t xml:space="preserve">for periodic quantum systems [13]. Classical reduced-basis methods have long addressed Bloch band</w:t>
      </w:r>
      <w:r>
        <w:t xml:space="preserve"> </w:t>
      </w:r>
      <w:r>
        <w:t xml:space="preserve">structures [9] and parameter-dependent multiple eigenspaces [10]. Consequently, this work does not</w:t>
      </w:r>
      <w:r>
        <w:t xml:space="preserve"> </w:t>
      </w:r>
      <w:r>
        <w:t xml:space="preserve">claim Ky Fan principles, trace objectives, Fourier bases, Galerkin projection, or Rayleigh–Ritz as</w:t>
      </w:r>
      <w:r>
        <w:t xml:space="preserve"> </w:t>
      </w:r>
      <w:r>
        <w:t xml:space="preserve">standalone inventions.</w:t>
      </w:r>
    </w:p>
    <w:p>
      <w:pPr>
        <w:pStyle w:val="BodyText"/>
      </w:pPr>
      <w:r>
        <w:t xml:space="preserve">We address a narrower question: can a lightweight, label-free parameter network supply an</w:t>
      </w:r>
      <w:r>
        <w:t xml:space="preserve"> </w:t>
      </w:r>
      <w:r>
        <w:t xml:space="preserve">amortized coarse space for an internally crossing Bloch cluster, and can a fixed analytic Fourier</w:t>
      </w:r>
      <w:r>
        <w:t xml:space="preserve"> </w:t>
      </w:r>
      <w:r>
        <w:t xml:space="preserve">shell correct that space without turning inference into a full high-cutoff plane-wave solve? The</w:t>
      </w:r>
      <w:r>
        <w:t xml:space="preserve"> </w:t>
      </w:r>
      <w:r>
        <w:t xml:space="preserve">contributions are as follows.</w:t>
      </w:r>
    </w:p>
    <w:p>
      <w:pPr>
        <w:pStyle w:val="BodyText"/>
      </w:pPr>
      <w:r>
        <w:rPr>
          <w:b/>
          <w:bCs/>
        </w:rPr>
        <w:t xml:space="preserve">Contribution 1 — Crossing-aware target.</w:t>
      </w:r>
      <w:r>
        <w:t xml:space="preserve"> </w:t>
      </w:r>
      <w:r>
        <w:t xml:space="preserve">The lowest two Bloch states are formulated as a rank-two projector-learning problem. Training,</w:t>
      </w:r>
      <w:r>
        <w:t xml:space="preserve"> </w:t>
      </w:r>
      <w:r>
        <w:t xml:space="preserve">refinement, and evaluation are insensitive to column permutations, phases, and unitary rotations</w:t>
      </w:r>
      <w:r>
        <w:t xml:space="preserve"> </w:t>
      </w:r>
      <w:r>
        <w:t xml:space="preserve">within the target cluster.</w:t>
      </w:r>
      <w:r>
        <w:t xml:space="preserve"> </w:t>
      </w:r>
      <w:r>
        <w:rPr>
          <w:b/>
          <w:bCs/>
        </w:rPr>
        <w:t xml:space="preserve">Contribution 2 — Neural-analytic trial space.</w:t>
      </w:r>
      <w:r>
        <w:t xml:space="preserve"> </w:t>
      </w:r>
      <w:r>
        <w:t xml:space="preserve">A compact trial space combines a label-free neural coarse basis with the complete second</w:t>
      </w:r>
      <w:r>
        <w:t xml:space="preserve"> </w:t>
      </w:r>
      <w:r>
        <w:t xml:space="preserve">hexagonal Fourier shell. A same-rank Fourier-only control isolates the contribution of the neural</w:t>
      </w:r>
      <w:r>
        <w:t xml:space="preserve"> </w:t>
      </w:r>
      <w:r>
        <w:t xml:space="preserve">component.</w:t>
      </w:r>
      <w:r>
        <w:t xml:space="preserve"> </w:t>
      </w:r>
      <w:r>
        <w:rPr>
          <w:b/>
          <w:bCs/>
        </w:rPr>
        <w:t xml:space="preserve">Contribution 3 — Paired fast assembly.</w:t>
      </w:r>
      <w:r>
        <w:t xml:space="preserve"> </w:t>
      </w:r>
      <w:r>
        <w:t xml:space="preserve">Hamiltonian assembly is split by column type. Only the two neural columns use automatic</w:t>
      </w:r>
      <w:r>
        <w:t xml:space="preserve"> </w:t>
      </w:r>
      <w:r>
        <w:t xml:space="preserve">differentiation. The 19 Fourier columns use an analytic action. The same orthogonalization transform</w:t>
      </w:r>
      <w:r>
        <w:t xml:space="preserve"> </w:t>
      </w:r>
      <w:r>
        <w:t xml:space="preserve">is applied to each pair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H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Contribution 4 — Frozen evidence protocol.</w:t>
      </w:r>
      <w:r>
        <w:t xml:space="preserve"> </w:t>
      </w:r>
      <w:r>
        <w:t xml:space="preserve">Evaluation uses an independent pilot, a one-shot frozen test, and a disjoint journal-baseline</w:t>
      </w:r>
      <w:r>
        <w:t xml:space="preserve"> </w:t>
      </w:r>
      <w:r>
        <w:t xml:space="preserve">supplement, with clustered bootstrap intervals, timing, and hash-bound evidence auditing.</w:t>
      </w:r>
    </w:p>
    <w:p>
      <w:pPr>
        <w:pStyle w:val="BodyText"/>
      </w:pPr>
      <w:r>
        <w:t xml:space="preserve">The claims in this draft are limited to this combined mechanism and the archived benchmarks. The</w:t>
      </w:r>
      <w:r>
        <w:t xml:space="preserve"> </w:t>
      </w:r>
      <w:r>
        <w:t xml:space="preserve">supplement contains formula-level Bloch adaptations of Dai et al. and Wang and Xie; they are not</w:t>
      </w:r>
      <w:r>
        <w:t xml:space="preserve"> </w:t>
      </w:r>
      <w:r>
        <w:t xml:space="preserve">represented as official reproductions of the authors’ software.</w:t>
      </w:r>
    </w:p>
    <w:bookmarkEnd w:id="10"/>
    <w:bookmarkStart w:id="14" w:name="related-work"/>
    <w:p>
      <w:pPr>
        <w:pStyle w:val="Heading2"/>
      </w:pPr>
      <w:r>
        <w:t xml:space="preserve">2. Related Work</w:t>
      </w:r>
    </w:p>
    <w:bookmarkStart w:id="11" w:name="neural-pde-and-eigenvalue-solvers"/>
    <w:p>
      <w:pPr>
        <w:pStyle w:val="Heading3"/>
      </w:pPr>
      <w:r>
        <w:t xml:space="preserve">2.1 Neural PDE and eigenvalue solvers</w:t>
      </w:r>
    </w:p>
    <w:p>
      <w:pPr>
        <w:pStyle w:val="FirstParagraph"/>
      </w:pPr>
      <w:r>
        <w:t xml:space="preserve">Conventional PINNs minimize pointwise differential residuals together with boundary, initial, and</w:t>
      </w:r>
      <w:r>
        <w:t xml:space="preserve"> </w:t>
      </w:r>
      <w:r>
        <w:t xml:space="preserve">optional data terms [1]. Eigenproblems complicate this construction because eigenvalues are unknown,</w:t>
      </w:r>
      <w:r>
        <w:t xml:space="preserve"> </w:t>
      </w:r>
      <w:r>
        <w:t xml:space="preserve">the zero function satisfies a homogeneous residual, and multiple states require normalization and</w:t>
      </w:r>
      <w:r>
        <w:t xml:space="preserve"> </w:t>
      </w:r>
      <w:r>
        <w:t xml:space="preserve">orthogonality. Jin et al. introduced unsupervised neural quantum eigensolvers with normalization and</w:t>
      </w:r>
      <w:r>
        <w:t xml:space="preserve"> </w:t>
      </w:r>
      <w:r>
        <w:t xml:space="preserve">orthogonality losses [14]. Kovacs et al. extended conditional PINNs so that one network covered a</w:t>
      </w:r>
      <w:r>
        <w:t xml:space="preserve"> </w:t>
      </w:r>
      <w:r>
        <w:t xml:space="preserve">class of eigenproblems [2]. These studies establish the feasibility of label-free neural</w:t>
      </w:r>
      <w:r>
        <w:t xml:space="preserve"> </w:t>
      </w:r>
      <w:r>
        <w:t xml:space="preserve">eigenanalysis, but individually represented states may still be discontinuous at crossings.</w:t>
      </w:r>
    </w:p>
    <w:p>
      <w:pPr>
        <w:pStyle w:val="BodyText"/>
      </w:pPr>
      <w:r>
        <w:t xml:space="preserve">Wang and Xie optimized multiple eigenpairs together using tensor neural networks and a trace</w:t>
      </w:r>
      <w:r>
        <w:t xml:space="preserve"> </w:t>
      </w:r>
      <w:r>
        <w:t xml:space="preserve">objective [3], showing that joint subspace-style optimization can avoid some limitations of serial</w:t>
      </w:r>
      <w:r>
        <w:t xml:space="preserve"> </w:t>
      </w:r>
      <w:r>
        <w:t xml:space="preserve">deflation. Rowan et al. demonstrated that Rayleigh quotient minimization and Gram–Schmidt provide a</w:t>
      </w:r>
      <w:r>
        <w:t xml:space="preserve"> </w:t>
      </w:r>
      <w:r>
        <w:t xml:space="preserve">simple, reliable combination for continuous engineering eigenproblems [4]. These works motivate</w:t>
      </w:r>
      <w:r>
        <w:t xml:space="preserve"> </w:t>
      </w:r>
      <w:r>
        <w:t xml:space="preserve">our variational coarse network. They do not, however, evaluate a single parameter network that</w:t>
      </w:r>
      <w:r>
        <w:t xml:space="preserve"> </w:t>
      </w:r>
      <w:r>
        <w:t xml:space="preserve">predicts a fixed-rank low-energy projector through internal Bloch crossings.</w:t>
      </w:r>
    </w:p>
    <w:bookmarkEnd w:id="11"/>
    <w:bookmarkStart w:id="12" w:name="X3c15a33622f1a36ffec44f5649b479ce79f0ef6"/>
    <w:p>
      <w:pPr>
        <w:pStyle w:val="Heading3"/>
      </w:pPr>
      <w:r>
        <w:t xml:space="preserve">2.2 Neural subspaces, Galerkin projection, and parametric eigenspaces</w:t>
      </w:r>
    </w:p>
    <w:p>
      <w:pPr>
        <w:pStyle w:val="FirstParagraph"/>
      </w:pPr>
      <w:r>
        <w:t xml:space="preserve">Dai, Fan, and Sheng train neural basis functions and project an eigenproblem onto their span [5].</w:t>
      </w:r>
      <w:r>
        <w:t xml:space="preserve"> </w:t>
      </w:r>
      <w:r>
        <w:t xml:space="preserve">This is the closest journal method to the present solver and must be treated as a direct baseline.</w:t>
      </w:r>
      <w:r>
        <w:t xml:space="preserve"> </w:t>
      </w:r>
      <w:r>
        <w:t xml:space="preserve">Our setting differs in its parameterized Bloch cluster, physical anchor, closed reciprocal shell,</w:t>
      </w:r>
      <w:r>
        <w:t xml:space="preserve"> </w:t>
      </w:r>
      <w:r>
        <w:t xml:space="preserve">analytic Fourier Hamiltonian, and paired orthogonalization. Whether these differences produce a</w:t>
      </w:r>
      <w:r>
        <w:t xml:space="preserve"> </w:t>
      </w:r>
      <w:r>
        <w:t xml:space="preserve">consistent advantage has been examined with an independent formula-level Bloch adaptation. The</w:t>
      </w:r>
      <w:r>
        <w:t xml:space="preserve"> </w:t>
      </w:r>
      <w:r>
        <w:t xml:space="preserve">remaining gap to an official author implementation is acknowledged as a limitation.</w:t>
      </w:r>
    </w:p>
    <w:p>
      <w:pPr>
        <w:pStyle w:val="BodyText"/>
      </w:pPr>
      <w:r>
        <w:t xml:space="preserve">Shape Space Spectra uses a neural field across continuously parameterized shape families and</w:t>
      </w:r>
      <w:r>
        <w:t xml:space="preserve"> </w:t>
      </w:r>
      <w:r>
        <w:t xml:space="preserve">dynamically reorders individual eigenfunctions at multiplicities [6]. We avoid assigning an</w:t>
      </w:r>
      <w:r>
        <w:t xml:space="preserve"> </w:t>
      </w:r>
      <w:r>
        <w:t xml:space="preserve">identity within the cluster and directly evaluate the rank-two projector. Fanaskov et al. formulate</w:t>
      </w:r>
      <w:r>
        <w:t xml:space="preserve"> </w:t>
      </w:r>
      <w:r>
        <w:t xml:space="preserve">parameter-to-subspace prediction as supervised Grassmann regression [8], whereas our training loss</w:t>
      </w:r>
      <w:r>
        <w:t xml:space="preserve"> </w:t>
      </w:r>
      <w:r>
        <w:t xml:space="preserve">does not access plane-wave projector labels. Grubišić et al. show that an externally isolated</w:t>
      </w:r>
      <w:r>
        <w:t xml:space="preserve"> </w:t>
      </w:r>
      <w:r>
        <w:t xml:space="preserve">parametric eigenspace can retain regular parameter dependence in the presence of internal</w:t>
      </w:r>
      <w:r>
        <w:t xml:space="preserve"> </w:t>
      </w:r>
      <w:r>
        <w:t xml:space="preserve">crossings [7], supporting the cluster rather than bandwise formulation used here.</w:t>
      </w:r>
    </w:p>
    <w:bookmarkEnd w:id="12"/>
    <w:bookmarkStart w:id="13" w:name="X99691e607805b6874d13283b53802ad94b723b0"/>
    <w:p>
      <w:pPr>
        <w:pStyle w:val="Heading3"/>
      </w:pPr>
      <w:r>
        <w:t xml:space="preserve">2.3 Bloch reduced bases and periodic quantum networks</w:t>
      </w:r>
    </w:p>
    <w:p>
      <w:pPr>
        <w:pStyle w:val="FirstParagraph"/>
      </w:pPr>
      <w:r>
        <w:t xml:space="preserve">Pau applied reduced bases to repeated band-structure calculations [9]. Horger et al. developed</w:t>
      </w:r>
      <w:r>
        <w:t xml:space="preserve"> </w:t>
      </w:r>
      <w:r>
        <w:t xml:space="preserve">simultaneous reduced-basis approximation for parameterized elliptic eigenproblems and emphasized</w:t>
      </w:r>
      <w:r>
        <w:t xml:space="preserve"> </w:t>
      </w:r>
      <w:r>
        <w:t xml:space="preserve">parameter-dependent multiplicity and error estimation [10]. Hsu et al. trained equation-driven</w:t>
      </w:r>
      <w:r>
        <w:t xml:space="preserve"> </w:t>
      </w:r>
      <w:r>
        <w:t xml:space="preserve">networks for band structures and wavefunctions in two-dimensional periodic quantum systems [13].</w:t>
      </w:r>
      <w:r>
        <w:t xml:space="preserve"> </w:t>
      </w:r>
      <w:r>
        <w:t xml:space="preserve">Haasdonk et al. built a hierarchical full-order, reduced-order, and machine-learning chain with</w:t>
      </w:r>
      <w:r>
        <w:t xml:space="preserve"> </w:t>
      </w:r>
      <w:r>
        <w:t xml:space="preserve">a posteriori certification [12], reinforcing the need to report accuracy, cost, and reliability for</w:t>
      </w:r>
      <w:r>
        <w:t xml:space="preserve"> </w:t>
      </w:r>
      <w:r>
        <w:t xml:space="preserve">hybrid neural numerical solvers rather than neural forward time alone.</w:t>
      </w:r>
      <w:r>
        <w:t xml:space="preserve"> </w:t>
      </w:r>
      <w:r>
        <w:t xml:space="preserve">Together these papers place the present study at the intersection of neural PDE solvers,</w:t>
      </w:r>
      <w:r>
        <w:t xml:space="preserve"> </w:t>
      </w:r>
      <w:r>
        <w:t xml:space="preserve">amortized eigenspaces, and band-structure model reduction. They also narrow the novelty claim: the</w:t>
      </w:r>
      <w:r>
        <w:t xml:space="preserve"> </w:t>
      </w:r>
      <w:r>
        <w:t xml:space="preserve">contribution must be the complete crossing-aware neural-plus-analytic mechanism and its controlled</w:t>
      </w:r>
      <w:r>
        <w:t xml:space="preserve"> </w:t>
      </w:r>
      <w:r>
        <w:t xml:space="preserve">validation, not the use of a honeycomb potential or Fourier basis alone.</w:t>
      </w:r>
    </w:p>
    <w:bookmarkEnd w:id="13"/>
    <w:bookmarkEnd w:id="14"/>
    <w:bookmarkStart w:id="17" w:name="problem-formulation"/>
    <w:p>
      <w:pPr>
        <w:pStyle w:val="Heading2"/>
      </w:pPr>
      <w:r>
        <w:t xml:space="preserve">3. Problem Formulation</w:t>
      </w:r>
    </w:p>
    <w:bookmarkStart w:id="15" w:name="blochschrödinger-eigenproblem"/>
    <w:p>
      <w:pPr>
        <w:pStyle w:val="Heading3"/>
      </w:pPr>
      <w:r>
        <w:t xml:space="preserve">3.1 Bloch–Schrödinger eigenproblem</w:t>
      </w:r>
    </w:p>
    <w:p>
      <w:pPr>
        <w:pStyle w:val="FirstParagraph"/>
      </w:pPr>
      <w:r>
        <w:t xml:space="preserve">On the periodic cell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we consider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,</m:t>
              </m:r>
              <m:r>
                <m:t>μ</m:t>
              </m:r>
            </m:sub>
          </m:sSub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periodic function and first-derivative boundary conditions. For reciprocal mode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 the implemented kinetic energy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harmonic honeycomb family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]</m:t>
        </m:r>
      </m:oMath>
      <w:r>
        <w:t xml:space="preserve">. The Gaussian honeycomb</w:t>
      </w:r>
      <w:r>
        <w:t xml:space="preserve"> </w:t>
      </w:r>
      <w:r>
        <w:t xml:space="preserve">family contains two periodically repeated Gaussian sublattices and is parameterized by amplitude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, width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0.18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]</m:t>
        </m:r>
      </m:oMath>
      <w:r>
        <w:t xml:space="preserve">, and imbalance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]</m:t>
        </m:r>
      </m:oMath>
      <w:r>
        <w:t xml:space="preserve">. For both families, the training box uses</w:t>
      </w:r>
      <w:r>
        <w:t xml:space="preserve"> </w:t>
      </w:r>
      <m:oMath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y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0.28</m:t>
        </m:r>
        <m:r>
          <m:rPr>
            <m:sty m:val="p"/>
          </m:rPr>
          <m:t>,</m:t>
        </m:r>
        <m:r>
          <m:t>0.38</m:t>
        </m:r>
        <m:r>
          <m:rPr>
            <m:sty m:val="p"/>
          </m:rPr>
          <m:t>]</m:t>
        </m:r>
      </m:oMath>
      <w:r>
        <w:t xml:space="preserve">.</w:t>
      </w:r>
    </w:p>
    <w:bookmarkEnd w:id="15"/>
    <w:bookmarkStart w:id="16" w:name="cluster-target-and-error-metric"/>
    <w:p>
      <w:pPr>
        <w:pStyle w:val="Heading3"/>
      </w:pPr>
      <w:r>
        <w:t xml:space="preserve">3.2 Cluster target and error metric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k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span of the two lowest eigenstates and let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its orthogonal projector. The internal gap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may vanish, but the external gap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should remain positive. Given predicted and reference bases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, the primary metric is the root-mean-square sine of their principal angles,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d>
                        <m:dPr>
                          <m:begChr m:val="‖"/>
                          <m:sepChr m:val=""/>
                          <m:endChr m:val="‖"/>
                          <m:grow/>
                        </m:dPr>
                        <m:e>
                          <m:sSup>
                            <m:e>
                              <m: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⋆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equivalently a normalized Frobenius discrepancy between the rank-two projectors. It is</w:t>
      </w:r>
      <w:r>
        <w:t xml:space="preserve"> </w:t>
      </w:r>
      <w:r>
        <w:t xml:space="preserve">invariant to column order, complex phase, and unitary rotation within either basis.</w:t>
      </w:r>
    </w:p>
    <w:p>
      <w:pPr>
        <w:pStyle w:val="BodyText"/>
      </w:pPr>
      <w:r>
        <w:t xml:space="preserve">Reference solutions are generated by a float64 plane-wave expansion (PWE) with cutoff 24 and rank</w:t>
      </w:r>
      <w:r>
        <w:t xml:space="preserve"> </w:t>
      </w:r>
      <w:r>
        <w:t xml:space="preserve">3, then evaluated on a 33 by 33 periodic grid. PWE eigenvectors and projectors are used only for</w:t>
      </w:r>
      <w:r>
        <w:t xml:space="preserve"> </w:t>
      </w:r>
      <w:r>
        <w:t xml:space="preserve">testing and audit, never as labels for the variational neural training.</w:t>
      </w:r>
    </w:p>
    <w:bookmarkEnd w:id="16"/>
    <w:bookmarkEnd w:id="17"/>
    <w:bookmarkStart w:id="27" w:name="method"/>
    <w:p>
      <w:pPr>
        <w:pStyle w:val="Heading2"/>
      </w:pPr>
      <w:r>
        <w:t xml:space="preserve">4. Method</w:t>
      </w:r>
    </w:p>
    <w:bookmarkStart w:id="18" w:name="label-free-neural-coarse-space"/>
    <w:p>
      <w:pPr>
        <w:pStyle w:val="Heading3"/>
      </w:pPr>
      <w:r>
        <w:t xml:space="preserve">4.1 Label-free neural coarse space</w:t>
      </w:r>
    </w:p>
    <w:p>
      <w:pPr>
        <w:pStyle w:val="FirstParagraph"/>
      </w:pPr>
      <w:r>
        <w:t xml:space="preserve">The network input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Three width-64 SiLU hidden layers output real and imaginary components of two complex periodic</w:t>
      </w:r>
      <w:r>
        <w:t xml:space="preserve"> </w:t>
      </w:r>
      <w:r>
        <w:t xml:space="preserve">functions. The harmonic and Gaussian networks contain 9,156 and 9,220 trainable parameters,</w:t>
      </w:r>
      <w:r>
        <w:t xml:space="preserve"> </w:t>
      </w:r>
      <w:r>
        <w:t xml:space="preserve">respectively. A fixed combination of low-energy plane waves near the K point supplies a physical</w:t>
      </w:r>
      <w:r>
        <w:t xml:space="preserve"> </w:t>
      </w:r>
      <w:r>
        <w:t xml:space="preserve">anchor, and the MLP learns an additive correction. Training uses Adam with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four parameter instances per batch, and 256 shifted periodic grid points per</w:t>
      </w:r>
      <w:r>
        <w:t xml:space="preserve"> </w:t>
      </w:r>
      <w:r>
        <w:t xml:space="preserve">instance. The final long-anchor checkpoints were trained for 665 steps with seeds 42, 137, and 251.</w:t>
      </w:r>
    </w:p>
    <w:p>
      <w:pPr>
        <w:pStyle w:val="BodyText"/>
      </w:pPr>
      <w:r>
        <w:t xml:space="preserve">For a raw trial matrix</w:t>
      </w:r>
      <w:r>
        <w:t xml:space="preserve"> </w:t>
      </w:r>
      <m:oMath>
        <m:sSub>
          <m:e>
            <m:r>
              <m:t>Z</m:t>
            </m:r>
          </m:e>
          <m:sub>
            <m:r>
              <m:t>θ</m:t>
            </m:r>
          </m:sub>
        </m:sSub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Z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cr m:val="script"/>
              <m:sty m:val="p"/>
            </m:rPr>
            <m:t>H</m:t>
          </m:r>
          <m:sSub>
            <m:e>
              <m:r>
                <m:t>Z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label-free objective is the generalized trace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sSubSup>
            <m:e>
              <m:r>
                <m:t>B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reference eigenvector, projector, or band label enters the loss. Complex modified</w:t>
      </w:r>
      <w:r>
        <w:t xml:space="preserve"> </w:t>
      </w:r>
      <w:r>
        <w:t xml:space="preserve">Gram–Schmidt under equal-weight cell quadrature produces the neural coarse basis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for evaluation and refinement.</w:t>
      </w:r>
    </w:p>
    <w:bookmarkEnd w:id="18"/>
    <w:bookmarkStart w:id="19" w:name="complete-second-shell-augmentation"/>
    <w:p>
      <w:pPr>
        <w:pStyle w:val="Heading3"/>
      </w:pPr>
      <w:r>
        <w:t xml:space="preserve">4.2 Complete second-shell augmentation</w:t>
      </w:r>
    </w:p>
    <w:p>
      <w:pPr>
        <w:pStyle w:val="FirstParagraph"/>
      </w:pPr>
      <w:r>
        <w:t xml:space="preserve">Define the closed hexagonal reciprocal dictionary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contains 19 plane waves</w:t>
      </w:r>
      <w: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m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t xml:space="preserve">. The augmented trial</w:t>
      </w:r>
      <w:r>
        <w:t xml:space="preserve"> </w:t>
      </w:r>
      <w:r>
        <w:t xml:space="preserve">matrix is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{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:</m:t>
          </m:r>
          <m:r>
            <m:t>m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analytic column is projected against previously accepted columns. Directions with projected</w:t>
      </w:r>
      <w:r>
        <w:t xml:space="preserve"> </w:t>
      </w:r>
      <w:r>
        <w:t xml:space="preserve">norm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are rejected. The complete configuration normally yields a 21-dimensional</w:t>
      </w:r>
      <w:r>
        <w:t xml:space="preserve"> </w:t>
      </w:r>
      <w:r>
        <w:t xml:space="preserve">space. Because augmentation operates on the span, any unitary rotation of the two neural columns</w:t>
      </w:r>
      <w:r>
        <w:t xml:space="preserve"> </w:t>
      </w:r>
      <w:r>
        <w:t xml:space="preserve">leaves the final trial space unchanged.</w:t>
      </w:r>
    </w:p>
    <w:bookmarkEnd w:id="19"/>
    <w:bookmarkStart w:id="20" w:name="Xb5332f443a41cbeab65e2138b10f01d2d688c17"/>
    <w:p>
      <w:pPr>
        <w:pStyle w:val="Heading3"/>
      </w:pPr>
      <w:r>
        <w:t xml:space="preserve">4.3 Analytic Hamiltonian action and paired orthogonalization</w:t>
      </w:r>
    </w:p>
    <w:p>
      <w:pPr>
        <w:pStyle w:val="FirstParagraph"/>
      </w:pPr>
      <w:r>
        <w:t xml:space="preserve">PyTorch automatic differentiation is used to calculate</w:t>
      </w:r>
      <w:r>
        <w:t xml:space="preserve"> </w:t>
      </w:r>
      <m:oMath>
        <m:r>
          <m:rPr>
            <m:scr m:val="script"/>
            <m:sty m:val="p"/>
          </m:rPr>
          <m:t>H</m:t>
        </m:r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for the two</w:t>
      </w:r>
      <w:r>
        <w:t xml:space="preserve"> </w:t>
      </w:r>
      <w:r>
        <w:t xml:space="preserve">neural columns. For a plane wave,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H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all 19 analytic columns avoid second-order autograd graphs. During orthogonalization, every</w:t>
      </w:r>
      <w:r>
        <w:t xml:space="preserve"> </w:t>
      </w:r>
      <w:r>
        <w:t xml:space="preserve">complex linear transformation applied to a trial vector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also applied to</w:t>
      </w:r>
      <w:r>
        <w:t xml:space="preserve"> </w:t>
      </w:r>
      <m:oMath>
        <m:r>
          <m:t>H</m:t>
        </m:r>
        <m:r>
          <m:t>w</m:t>
        </m:r>
      </m:oMath>
      <w:r>
        <w:t xml:space="preserve">. This</w:t>
      </w:r>
      <w:r>
        <w:t xml:space="preserve"> </w:t>
      </w:r>
      <w:r>
        <w:t xml:space="preserve">produces a paired basis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H</m:t>
        </m:r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 preserves the linear Hamiltonian relation,</w:t>
      </w:r>
      <w:r>
        <w:t xml:space="preserve"> </w:t>
      </w:r>
      <w:r>
        <w:t xml:space="preserve">and removes the need to differentiate the augmented basis again.</w:t>
      </w:r>
    </w:p>
    <w:bookmarkEnd w:id="20"/>
    <w:bookmarkStart w:id="24" w:name="compact-ritz-extraction"/>
    <w:p>
      <w:pPr>
        <w:pStyle w:val="Heading3"/>
      </w:pPr>
      <w:r>
        <w:t xml:space="preserve">4.4 Compact Ritz extraction</w:t>
      </w:r>
    </w:p>
    <w:p>
      <w:pPr>
        <w:pStyle w:val="FirstParagraph"/>
      </w:pPr>
      <w:r>
        <w:t xml:space="preserve">The reduced Hermitian matrix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t>H</m:t>
          </m:r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two lowest Ritz vectors are mapped back to the function grid to obtain the final rank-two</w:t>
      </w:r>
      <w:r>
        <w:t xml:space="preserve"> </w:t>
      </w:r>
      <w:r>
        <w:t xml:space="preserve">basis. P2 adds no learned parameters and never reads the reference projector at inference. The</w:t>
      </w:r>
      <w:r>
        <w:t xml:space="preserve"> </w:t>
      </w:r>
      <w:r>
        <w:t xml:space="preserve">pipeline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label-free SiLU MLP</m:t>
              </m:r>
            </m:lim>
          </m:limUpp>
          <m:sSub>
            <m:e>
              <m:r>
                <m:t>Q</m:t>
              </m:r>
            </m:e>
            <m:sub>
              <m:r>
                <m:t>θ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t>2</m:t>
                  </m:r>
                </m:sub>
              </m:sSub>
            </m:lim>
          </m:limUpp>
          <m:acc>
            <m:accPr>
              <m:chr m:val="̂"/>
            </m:accPr>
            <m:e>
              <m:r>
                <m:t>W</m:t>
              </m:r>
            </m:e>
          </m:acc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paired 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t>W</m:t>
              </m:r>
              <m:r>
                <m:rPr>
                  <m:sty m:val="p"/>
                </m:rPr>
                <m:t>)</m:t>
              </m:r>
            </m:lim>
          </m:limUpp>
          <m:sSub>
            <m:e>
              <m:r>
                <m:t>A</m:t>
              </m:r>
            </m:e>
            <m:sub>
              <m:r>
                <m:t>W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Ritz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CaptionedFigure"/>
      </w:pPr>
      <w:r>
        <w:drawing>
          <wp:inline>
            <wp:extent cx="5943600" cy="1597342"/>
            <wp:effectExtent b="0" l="0" r="0" t="0"/>
            <wp:docPr descr="P2 method pipeline" title="" id="22" name="Picture"/>
            <a:graphic>
              <a:graphicData uri="http://schemas.openxmlformats.org/drawingml/2006/picture">
                <pic:pic>
                  <pic:nvPicPr>
                    <pic:cNvPr descr="../../figures/p2_final/fig09_method_pipelin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7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P2 method pipeline</w:t>
      </w:r>
    </w:p>
    <w:p>
      <w:pPr>
        <w:pStyle w:val="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Basis-invariant neural-augmented Rayleigh–Ritz pipeline.</w:t>
      </w:r>
    </w:p>
    <w:bookmarkEnd w:id="24"/>
    <w:bookmarkStart w:id="25" w:name="external-gap-stability"/>
    <w:p>
      <w:pPr>
        <w:pStyle w:val="Heading3"/>
      </w:pPr>
      <w:r>
        <w:t xml:space="preserve">4.5 External-gap stability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exact lowest rank-two invariant subspace,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 orthonormal Ritz basis,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t>H</m:t>
        </m:r>
        <m:r>
          <m:t>Q</m:t>
        </m:r>
      </m:oMath>
      <w:r>
        <w:t xml:space="preserve">,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H</m:t>
        </m:r>
        <m:r>
          <m:t>Q</m:t>
        </m:r>
        <m:r>
          <m:rPr>
            <m:sty m:val="p"/>
          </m:rPr>
          <m:t>−</m:t>
        </m:r>
        <m:r>
          <m:t>Q</m:t>
        </m:r>
        <m:r>
          <m:t>M</m:t>
        </m:r>
      </m:oMath>
      <w:r>
        <w:t xml:space="preserve">. If the approximate Ritz spectrum is separated from the</w:t>
      </w:r>
      <w:r>
        <w:t xml:space="preserve"> </w:t>
      </w:r>
      <w:r>
        <w:t xml:space="preserve">unwanted spectrum by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(</m:t>
          </m:r>
          <m:r>
            <m:t>H</m:t>
          </m:r>
          <m:sSub>
            <m:e>
              <m:r>
                <m:rPr>
                  <m:sty m:val="p"/>
                </m:rPr>
                <m:t>|</m:t>
              </m:r>
            </m:e>
            <m:sub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then the Hermitian invariant-subspace residual bound [15]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r>
                        <m:t>R</m:t>
                      </m:r>
                    </m:e>
                  </m:d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δ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separation concerns the target cluster and the third state; it does not require a positive</w:t>
      </w:r>
      <w:r>
        <w:t xml:space="preserve"> </w:t>
      </w:r>
      <w:r>
        <w:t xml:space="preserve">internal gap between the first two eigenvalues. The bound therefore remains meaningful at an</w:t>
      </w:r>
      <w:r>
        <w:t xml:space="preserve"> </w:t>
      </w:r>
      <w:r>
        <w:t xml:space="preserve">internal Dirac crossing. The reported residual RMS is normalized over grid points, rank, and</w:t>
      </w:r>
      <w:r>
        <w:t xml:space="preserve"> </w:t>
      </w:r>
      <w:r>
        <w:t xml:space="preserve">real/imaginary components and must be rescaled before insertion into this Frobenius-norm bound.</w:t>
      </w:r>
    </w:p>
    <w:bookmarkEnd w:id="25"/>
    <w:bookmarkStart w:id="26" w:name="complexity-and-amortization"/>
    <w:p>
      <w:pPr>
        <w:pStyle w:val="Heading3"/>
      </w:pPr>
      <w:r>
        <w:t xml:space="preserve">4.6 Complexity and amortization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grid points,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analytic modes, and trial rank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21</m:t>
        </m:r>
      </m:oMath>
      <w:r>
        <w:t xml:space="preserve">, the online stage</w:t>
      </w:r>
      <w:r>
        <w:t xml:space="preserve"> </w:t>
      </w:r>
      <w:r>
        <w:t xml:space="preserve">contains two neural Hamiltonian evaluations,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analytic Fourier actions,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paired orthogonalization, and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Ritz solve. The MLP linear layers require</w:t>
      </w:r>
      <w:r>
        <w:t xml:space="preserve"> </w:t>
      </w:r>
      <w:r>
        <w:t xml:space="preserve">approximately 19.5 million FLOPs on the 33 by 33 grid. End-to-end FLOPs for second-order automatic</w:t>
      </w:r>
      <w:r>
        <w:t xml:space="preserve"> </w:t>
      </w:r>
      <w:r>
        <w:t xml:space="preserve">differentiation depend on the backend, so measured wall time is reported instead of an unverified</w:t>
      </w:r>
      <w:r>
        <w:t xml:space="preserve"> </w:t>
      </w:r>
      <w:r>
        <w:t xml:space="preserve">total. Archived timings give an approximate system-level training break-even of 206–354 repeated</w:t>
      </w:r>
      <w:r>
        <w:t xml:space="preserve"> </w:t>
      </w:r>
      <w:r>
        <w:t xml:space="preserve">parameter queries.</w:t>
      </w:r>
    </w:p>
    <w:bookmarkEnd w:id="26"/>
    <w:bookmarkEnd w:id="27"/>
    <w:bookmarkStart w:id="32" w:name="experimental-design"/>
    <w:p>
      <w:pPr>
        <w:pStyle w:val="Heading2"/>
      </w:pPr>
      <w:r>
        <w:t xml:space="preserve">5. Experimental Design</w:t>
      </w:r>
    </w:p>
    <w:bookmarkStart w:id="28" w:name="development-and-freezing-protocol"/>
    <w:p>
      <w:pPr>
        <w:pStyle w:val="Heading3"/>
      </w:pPr>
      <w:r>
        <w:t xml:space="preserve">5.1 Development and freezing protocol</w:t>
      </w:r>
    </w:p>
    <w:p>
      <w:pPr>
        <w:pStyle w:val="FirstParagraph"/>
      </w:pPr>
      <w:r>
        <w:t xml:space="preserve">The low-frequency ROM studied in P5 was stopped because a compute-matched long-anchor network</w:t>
      </w:r>
      <w:r>
        <w:t xml:space="preserve"> </w:t>
      </w:r>
      <w:r>
        <w:t xml:space="preserve">performed better near crossings and the ROM regressed on gap scans. P0 showed that failures were</w:t>
      </w:r>
      <w:r>
        <w:t xml:space="preserve"> </w:t>
      </w:r>
      <w:r>
        <w:t xml:space="preserve">detectable, but P1 risk routing could not exceed the accuracy of its two endpoint subspaces and was</w:t>
      </w:r>
      <w:r>
        <w:t xml:space="preserve"> </w:t>
      </w:r>
      <w:r>
        <w:t xml:space="preserve">also stopped. An initial outer-shell P2 probe improved near-crossing points but failed frozen gap</w:t>
      </w:r>
      <w:r>
        <w:t xml:space="preserve"> </w:t>
      </w:r>
      <w:r>
        <w:t xml:space="preserve">and efficiency criteria. Only after the complete-shell method passed every preregistered gate on a</w:t>
      </w:r>
      <w:r>
        <w:t xml:space="preserve"> </w:t>
      </w:r>
      <w:r>
        <w:t xml:space="preserve">new 96-point pilot, with two families and three seeds, was the 640-point frozen test opened once.</w:t>
      </w:r>
      <w:r>
        <w:t xml:space="preserve"> </w:t>
      </w:r>
      <w:r>
        <w:t xml:space="preserve">It is now permanently closed.</w:t>
      </w:r>
    </w:p>
    <w:bookmarkEnd w:id="28"/>
    <w:bookmarkStart w:id="29" w:name="splits-and-comparisons"/>
    <w:p>
      <w:pPr>
        <w:pStyle w:val="Heading3"/>
      </w:pPr>
      <w:r>
        <w:t xml:space="preserve">5.2 Splits and comparisons</w:t>
      </w:r>
    </w:p>
    <w:p>
      <w:pPr>
        <w:pStyle w:val="FirstParagraph"/>
      </w:pPr>
      <w:r>
        <w:t xml:space="preserve">The frozen test contains 192 IID points, 64 exact-cluster points, 128 near-cluster points,</w:t>
      </w:r>
      <w:r>
        <w:t xml:space="preserve"> </w:t>
      </w:r>
      <w:r>
        <w:t xml:space="preserve">128 strict-OOD points, and 128 gap-scan points. Each family contributes 320 points. Ten methods</w:t>
      </w:r>
      <w:r>
        <w:t xml:space="preserve"> </w:t>
      </w:r>
      <w:r>
        <w:t xml:space="preserve">are evaluated for three checkpoint seeds at every point, yielding 19,200 rows.</w:t>
      </w:r>
    </w:p>
    <w:p>
      <w:pPr>
        <w:pStyle w:val="BodyText"/>
      </w:pPr>
      <w:r>
        <w:t xml:space="preserve">The comparison matrix contains unanchored trace, anchor, wide anchor, long anchor, static</w:t>
      </w:r>
      <w:r>
        <w:t xml:space="preserve"> </w:t>
      </w:r>
      <w:r>
        <w:t xml:space="preserve">low-frequency ROM, high-frequency ROM, neural plus shell 1, neural plus outer shell 2, the proposed</w:t>
      </w:r>
      <w:r>
        <w:t xml:space="preserve"> </w:t>
      </w:r>
      <w:r>
        <w:t xml:space="preserve">complete-shell method, and a Fourier-only rank-21 control. This is a controlled internal matrix.</w:t>
      </w:r>
      <w:r>
        <w:t xml:space="preserve"> </w:t>
      </w:r>
      <w:r>
        <w:t xml:space="preserve">A second, disjoint suite evaluates explicit Bloch adaptations of Wang–Xie [3] and Dai [5].</w:t>
      </w:r>
    </w:p>
    <w:bookmarkEnd w:id="29"/>
    <w:bookmarkStart w:id="30" w:name="statistics-and-hardware"/>
    <w:p>
      <w:pPr>
        <w:pStyle w:val="Heading3"/>
      </w:pPr>
      <w:r>
        <w:t xml:space="preserve">5.3 Statistics and hardware</w:t>
      </w:r>
    </w:p>
    <w:p>
      <w:pPr>
        <w:pStyle w:val="FirstParagraph"/>
      </w:pPr>
      <w:r>
        <w:t xml:space="preserve">The primary confidence intervals use 2,000 bootstrap samples clustered by the 640 physical</w:t>
      </w:r>
      <w:r>
        <w:t xml:space="preserve"> </w:t>
      </w:r>
      <w:r>
        <w:t xml:space="preserve">parameter points. All checkpoint seeds associated with a point are resampled together. Formal</w:t>
      </w:r>
      <w:r>
        <w:t xml:space="preserve"> </w:t>
      </w:r>
      <w:r>
        <w:t xml:space="preserve">evaluation ran on an NVIDIA RTX 5090 D with 32 GB memory, PyTorch 2.8.0+cu128, and CUDA 12.8.</w:t>
      </w:r>
      <w:r>
        <w:t xml:space="preserve"> </w:t>
      </w:r>
      <w:r>
        <w:t xml:space="preserve">Latency uses ten warmups followed by 100 repetitions. The PWE reference was timed on the CPU of the</w:t>
      </w:r>
      <w:r>
        <w:t xml:space="preserve"> </w:t>
      </w:r>
      <w:r>
        <w:t xml:space="preserve">same server. This comparison represents system-level wall time, not a device-matched kernel</w:t>
      </w:r>
      <w:r>
        <w:t xml:space="preserve"> </w:t>
      </w:r>
      <w:r>
        <w:t xml:space="preserve">benchmark.</w:t>
      </w:r>
    </w:p>
    <w:bookmarkEnd w:id="30"/>
    <w:bookmarkStart w:id="31" w:name="journal-baseline-supplement"/>
    <w:p>
      <w:pPr>
        <w:pStyle w:val="Heading3"/>
      </w:pPr>
      <w:r>
        <w:t xml:space="preserve">5.4 Journal-baseline supplement</w:t>
      </w:r>
    </w:p>
    <w:p>
      <w:pPr>
        <w:pStyle w:val="FirstParagraph"/>
      </w:pPr>
      <w:r>
        <w:t xml:space="preserve">The supplementary suite contains 160 parameter points disjoint from all earlier decision sets,</w:t>
      </w:r>
      <w:r>
        <w:t xml:space="preserve"> </w:t>
      </w:r>
      <w:r>
        <w:t xml:space="preserve">with 80 points per potential family and coverage of IID, exact-cluster, near-cluster, strict-OOD,</w:t>
      </w:r>
      <w:r>
        <w:t xml:space="preserve"> </w:t>
      </w:r>
      <w:r>
        <w:t xml:space="preserve">and gap-scan regimes. Wang–Xie trace and rank-six Dai-style neural-subspace Galerkin adaptations</w:t>
      </w:r>
      <w:r>
        <w:t xml:space="preserve"> </w:t>
      </w:r>
      <w:r>
        <w:t xml:space="preserve">are trained for 1,500 steps with three seeds under the same sampling and collocation budget. This</w:t>
      </w:r>
      <w:r>
        <w:t xml:space="preserve"> </w:t>
      </w:r>
      <w:r>
        <w:t xml:space="preserve">budget exceeds the 665 steps used by the P2 neural initializer. All methods use the same cutoff-24</w:t>
      </w:r>
      <w:r>
        <w:t xml:space="preserve"> </w:t>
      </w:r>
      <w:r>
        <w:t xml:space="preserve">reference. The matrix contains 1,440 rows and uses 2,000 point-clustered bootstrap samples.</w:t>
      </w:r>
    </w:p>
    <w:bookmarkEnd w:id="31"/>
    <w:bookmarkEnd w:id="32"/>
    <w:bookmarkStart w:id="50" w:name="results"/>
    <w:p>
      <w:pPr>
        <w:pStyle w:val="Heading2"/>
      </w:pPr>
      <w:r>
        <w:t xml:space="preserve">6. Results</w:t>
      </w:r>
    </w:p>
    <w:bookmarkStart w:id="36" w:name="main-comparison"/>
    <w:p>
      <w:pPr>
        <w:pStyle w:val="Heading3"/>
      </w:pPr>
      <w:r>
        <w:t xml:space="preserve">6.1 Main comparison</w:t>
      </w:r>
    </w:p>
    <w:p>
      <w:pPr>
        <w:pStyle w:val="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Frozen-final rank-two projector sine error (lower is better).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4464"/>
        <w:gridCol w:w="1584"/>
        <w:gridCol w:w="1584"/>
        <w:gridCol w:w="1584"/>
      </w:tblGrid>
      <w:tr>
        <w:trPr>
          <w:tblHeader w:val="on"/>
          <w:tblHeader w:val="true"/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Method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Overall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Near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Gap scan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Unanchored trace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0.19784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0.14589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0.21830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Anchor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0.15650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0.10505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0.14050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Wide anchor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0.15243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0.10020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0.15111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Long anchor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0.14719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0.08924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0.15938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Static low-ROM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0.15054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0.09542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0.14946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High-frequency ROM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0.15531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0.10299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0.14809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Neural + shell 1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0.06172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0.04513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0.05768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Neural + outer shell 2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0.13410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0.07849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0.15656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Neural + complete shell 2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0.04532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0.03903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0.04389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Fourier-only rank 21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0.13697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0.12249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0.13700</w:t>
            </w:r>
          </w:p>
        </w:tc>
      </w:tr>
    </w:tbl>
    <w:p>
      <w:pPr>
        <w:pStyle w:val="BodyText"/>
      </w:pPr>
      <w:r>
        <w:t xml:space="preserve">The complete-shell solver gives the lowest error overall, near crossings, and on gap scans. Its</w:t>
      </w:r>
      <w:r>
        <w:t xml:space="preserve"> </w:t>
      </w:r>
      <w:r>
        <w:t xml:space="preserve">overall improvement over long-anchor is 69.19%, with a point-clustered 95% interval of</w:t>
      </w:r>
      <w:r>
        <w:t xml:space="preserve"> </w:t>
      </w:r>
      <w:r>
        <w:t xml:space="preserve">[67.66%, 70.75%]. The near-crossing improvement is 56.28%, with a 95% interval of</w:t>
      </w:r>
      <w:r>
        <w:t xml:space="preserve"> </w:t>
      </w:r>
      <w:r>
        <w:t xml:space="preserve">[53.24%, 59.22%]. Both intervals remain far from zero.</w:t>
      </w:r>
    </w:p>
    <w:p>
      <w:pPr>
        <w:pStyle w:val="CaptionedFigure"/>
      </w:pPr>
      <w:r>
        <w:drawing>
          <wp:inline>
            <wp:extent cx="5943600" cy="3541439"/>
            <wp:effectExtent b="0" l="0" r="0" t="0"/>
            <wp:docPr descr="Frozen-final overall method comparison" title="" id="34" name="Picture"/>
            <a:graphic>
              <a:graphicData uri="http://schemas.openxmlformats.org/drawingml/2006/picture">
                <pic:pic>
                  <pic:nvPicPr>
                    <pic:cNvPr descr="../../figures/p2_final/fig01_method_overall_error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Frozen-final overall method comparison</w:t>
      </w:r>
    </w:p>
    <w:p>
      <w:pPr>
        <w:pStyle w:val="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Overall projector error for the ten frozen-final methods. Lower is better.</w:t>
      </w:r>
    </w:p>
    <w:bookmarkEnd w:id="36"/>
    <w:bookmarkStart w:id="43" w:name="parameter-regimes-and-potential-families"/>
    <w:p>
      <w:pPr>
        <w:pStyle w:val="Heading3"/>
      </w:pPr>
      <w:r>
        <w:t xml:space="preserve">6.2 Parameter regimes and potential families</w:t>
      </w:r>
    </w:p>
    <w:p>
      <w:pPr>
        <w:pStyle w:val="FirstParagraph"/>
      </w:pPr>
      <w:r>
        <w:t xml:space="preserve">Errors on IID, exact-cluster, near-cluster, strict-OOD, and gap-scan points are 0.04383, 0.04220,</w:t>
      </w:r>
      <w:r>
        <w:t xml:space="preserve"> </w:t>
      </w:r>
      <w:r>
        <w:t xml:space="preserve">0.03903, 0.05685, and 0.04389. Long-anchor reaches 0.22921 on strict OOD, indicating that the</w:t>
      </w:r>
      <w:r>
        <w:t xml:space="preserve"> </w:t>
      </w:r>
      <w:r>
        <w:t xml:space="preserve">gain is not confined to points selected around the crossing.</w:t>
      </w:r>
    </w:p>
    <w:p>
      <w:pPr>
        <w:pStyle w:val="CaptionedFigure"/>
      </w:pPr>
      <w:r>
        <w:drawing>
          <wp:inline>
            <wp:extent cx="5943600" cy="3517697"/>
            <wp:effectExtent b="0" l="0" r="0" t="0"/>
            <wp:docPr descr="Projector error across five parameter regimes" title="" id="38" name="Picture"/>
            <a:graphic>
              <a:graphicData uri="http://schemas.openxmlformats.org/drawingml/2006/picture">
                <pic:pic>
                  <pic:nvPicPr>
                    <pic:cNvPr descr="../../figures/p2_final/fig02_split_comparis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Projector error across five parameter regimes</w:t>
      </w:r>
    </w:p>
    <w:p>
      <w:pPr>
        <w:pStyle w:val="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Projector error across IID, exact-cluster, near-cluster, strict-OOD, and gap-scan</w:t>
      </w:r>
      <w:r>
        <w:t xml:space="preserve"> </w:t>
      </w:r>
      <w:r>
        <w:t xml:space="preserve">regimes.</w:t>
      </w:r>
    </w:p>
    <w:p>
      <w:pPr>
        <w:pStyle w:val="BodyText"/>
      </w:pPr>
      <w:r>
        <w:t xml:space="preserve">For harmonic near-cluster points, error decreases from 0.06508 to 0.03037. For the Gaussian</w:t>
      </w:r>
      <w:r>
        <w:t xml:space="preserve"> </w:t>
      </w:r>
      <w:r>
        <w:t xml:space="preserve">family, it decreases from 0.11340 to 0.04770. The proposed solver wins all six</w:t>
      </w:r>
      <w:r>
        <w:t xml:space="preserve"> </w:t>
      </w:r>
      <w:r>
        <w:t xml:space="preserve">family-by-checkpoint-seed comparisons. Overall errors across the three seeds are 0.04384, 0.04559,</w:t>
      </w:r>
      <w:r>
        <w:t xml:space="preserve"> </w:t>
      </w:r>
      <w:r>
        <w:t xml:space="preserve">and 0.04654, with a standard deviation of 0.00137. Maximum orthogonality error is</w:t>
      </w:r>
      <w:r>
        <w:t xml:space="preserve"> </w:t>
      </w:r>
      <m:oMath>
        <m:r>
          <m:t>3.12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p>
      <w:pPr>
        <w:pStyle w:val="CaptionedFigure"/>
      </w:pPr>
      <w:r>
        <w:drawing>
          <wp:inline>
            <wp:extent cx="5943600" cy="2727266"/>
            <wp:effectExtent b="0" l="0" r="0" t="0"/>
            <wp:docPr descr="Point-clustered bootstrap intervals" title="" id="41" name="Picture"/>
            <a:graphic>
              <a:graphicData uri="http://schemas.openxmlformats.org/drawingml/2006/picture">
                <pic:pic>
                  <pic:nvPicPr>
                    <pic:cNvPr descr="../../figures/p2_final/fig04_bootstrap_improvement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Point-clustered bootstrap intervals</w:t>
      </w:r>
    </w:p>
    <w:p>
      <w:pPr>
        <w:pStyle w:val="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Point-clustered bootstrap intervals for improvement over the long-anchor baseline.</w:t>
      </w:r>
    </w:p>
    <w:bookmarkEnd w:id="43"/>
    <w:bookmarkStart w:id="44" w:name="ablation-evidence"/>
    <w:p>
      <w:pPr>
        <w:pStyle w:val="Heading3"/>
      </w:pPr>
      <w:r>
        <w:t xml:space="preserve">6.3 Ablation evidence</w:t>
      </w:r>
    </w:p>
    <w:p>
      <w:pPr>
        <w:pStyle w:val="FirstParagraph"/>
      </w:pPr>
      <w:r>
        <w:t xml:space="preserve">The Fourier-only rank-21 control has overall error 0.13697, compared with 0.04532 for the proposed</w:t>
      </w:r>
      <w:r>
        <w:t xml:space="preserve"> </w:t>
      </w:r>
      <w:r>
        <w:t xml:space="preserve">method. A fixed dictionary of equal nominal rank therefore does not explain the improvement. The</w:t>
      </w:r>
      <w:r>
        <w:t xml:space="preserve"> </w:t>
      </w:r>
      <w:r>
        <w:t xml:space="preserve">parameter-dependent neural directions are essential. Shell 1 reaches 0.06172, and completing shell</w:t>
      </w:r>
      <w:r>
        <w:t xml:space="preserve"> </w:t>
      </w:r>
      <w:r>
        <w:t xml:space="preserve">2 reduces error to 0.04532. Adding only the outer second shell yields 0.13410, showing that the</w:t>
      </w:r>
      <w:r>
        <w:t xml:space="preserve"> </w:t>
      </w:r>
      <w:r>
        <w:t xml:space="preserve">closed low-to-second-order reciprocal space is substantially more effective than an isolated outer</w:t>
      </w:r>
      <w:r>
        <w:t xml:space="preserve"> </w:t>
      </w:r>
      <w:r>
        <w:t xml:space="preserve">ring.</w:t>
      </w:r>
    </w:p>
    <w:p>
      <w:pPr>
        <w:pStyle w:val="BodyText"/>
      </w:pPr>
      <w:r>
        <w:t xml:space="preserve">All three shell variants reuse the same long-anchor checkpoints. Their differences arise from the</w:t>
      </w:r>
      <w:r>
        <w:t xml:space="preserve"> </w:t>
      </w:r>
      <w:r>
        <w:t xml:space="preserve">inference-time trial space and Ritz extraction, not additional network training, learned</w:t>
      </w:r>
      <w:r>
        <w:t xml:space="preserve"> </w:t>
      </w:r>
      <w:r>
        <w:t xml:space="preserve">parameters, or post-final tuning.</w:t>
      </w:r>
    </w:p>
    <w:bookmarkEnd w:id="44"/>
    <w:bookmarkStart w:id="48" w:name="efficiency"/>
    <w:p>
      <w:pPr>
        <w:pStyle w:val="Heading3"/>
      </w:pPr>
      <w:r>
        <w:t xml:space="preserve">6.4 Efficiency</w:t>
      </w:r>
    </w:p>
    <w:p>
      <w:pPr>
        <w:pStyle w:val="FirstParagraph"/>
      </w:pPr>
      <w:r>
        <w:t xml:space="preserve">Mean inference time is 107.81 ms per parameter and the 95th percentile is 121.90 ms. The</w:t>
      </w:r>
      <w:r>
        <w:t xml:space="preserve"> </w:t>
      </w:r>
      <w:r>
        <w:t xml:space="preserve">same-server cutoff-24 CPU PWE solve takes 313.44 ms on average, giving a ratio of 0.344. A neural</w:t>
      </w:r>
      <w:r>
        <w:t xml:space="preserve"> </w:t>
      </w:r>
      <w:r>
        <w:t xml:space="preserve">forward pass alone remains close to 1 ms, so the proposed solver is not a cost-free correction. It</w:t>
      </w:r>
      <w:r>
        <w:t xml:space="preserve"> </w:t>
      </w:r>
      <w:r>
        <w:t xml:space="preserve">occupies an intermediate accuracy-latency point between a fast neural surrogate and a high-accuracy</w:t>
      </w:r>
      <w:r>
        <w:t xml:space="preserve"> </w:t>
      </w:r>
      <w:r>
        <w:t xml:space="preserve">direct eigensolve.</w:t>
      </w:r>
    </w:p>
    <w:p>
      <w:pPr>
        <w:pStyle w:val="CaptionedFigure"/>
      </w:pPr>
      <w:r>
        <w:drawing>
          <wp:inline>
            <wp:extent cx="5431352" cy="3975652"/>
            <wp:effectExtent b="0" l="0" r="0" t="0"/>
            <wp:docPr descr="Accuracy-latency comparison" title="" id="46" name="Picture"/>
            <a:graphic>
              <a:graphicData uri="http://schemas.openxmlformats.org/drawingml/2006/picture">
                <pic:pic>
                  <pic:nvPicPr>
                    <pic:cNvPr descr="../../figures/p2_final/fig07_accuracy_latenc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52" cy="3975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Accuracy-latency comparison</w:t>
      </w:r>
    </w:p>
    <w:p>
      <w:pPr>
        <w:pStyle w:val="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Accuracy-latency comparison. P2 lies between a single neural forward pass and the</w:t>
      </w:r>
      <w:r>
        <w:t xml:space="preserve"> </w:t>
      </w:r>
      <w:r>
        <w:t xml:space="preserve">cutoff-24 reference solve.</w:t>
      </w:r>
    </w:p>
    <w:bookmarkEnd w:id="48"/>
    <w:bookmarkStart w:id="49" w:name="independent-journal-baseline-supplement"/>
    <w:p>
      <w:pPr>
        <w:pStyle w:val="Heading3"/>
      </w:pPr>
      <w:r>
        <w:t xml:space="preserve">6.5 Independent journal-baseline supplement</w:t>
      </w:r>
    </w:p>
    <w:p>
      <w:pPr>
        <w:pStyle w:val="Caption"/>
      </w:pPr>
      <w:r>
        <w:rPr>
          <w:b/>
          <w:bCs/>
        </w:rPr>
        <w:t xml:space="preserve">Table 2.</w:t>
      </w:r>
      <w:r>
        <w:t xml:space="preserve"> </w:t>
      </w:r>
      <w:r>
        <w:t xml:space="preserve">Independent supplement results on 160 parameter points (lower is better).</w:t>
      </w:r>
    </w:p>
    <w:tbl>
      <w:tblPr>
        <w:tblStyle w:val="TableGrid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456"/>
        <w:gridCol w:w="1440"/>
        <w:gridCol w:w="1440"/>
        <w:gridCol w:w="1440"/>
        <w:gridCol w:w="1440"/>
      </w:tblGrid>
      <w:tr>
        <w:trPr>
          <w:tblHeader w:val="on"/>
          <w:tblHeader w:val="true"/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Method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Overall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Near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Gap scan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Strict OOD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P2 full shell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0.04728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0.03804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0.06727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b/>
                <w:bCs/>
                <w:color w:val="000000"/>
                <w:sz w:val="18"/>
              </w:rPr>
              <w:t xml:space="preserve">0.05796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Wang–Xie trace adapted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0.13114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0.09056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0.15110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0.21776</w:t>
            </w:r>
          </w:p>
        </w:tc>
      </w:tr>
      <w:tr>
        <w:trPr>
          <w:cantSplit/>
        </w:trPr>
        <w:tc>
          <w:tcPr>
            <w:vAlign w:val="top"/>
          </w:tcPr>
          <w:p>
            <w:pPr>
              <w:keepLines w:val="0"/>
              <w:spacing w:line="240" w:lineRule="auto" w:after="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Dai Galerkin adapted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0.43367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0.42376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0.47148</w:t>
            </w:r>
          </w:p>
        </w:tc>
        <w:tc>
          <w:tcPr>
            <w:vAlign w:val="top"/>
          </w:tcPr>
          <w:p>
            <w:pPr>
              <w:keepLines w:val="0"/>
              <w:spacing w:line="240" w:lineRule="auto" w:after="0"/>
              <w:jc w:val="right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0.43758</w:t>
            </w:r>
          </w:p>
        </w:tc>
      </w:tr>
    </w:tbl>
    <w:p>
      <w:pPr>
        <w:pStyle w:val="BodyText"/>
      </w:pPr>
      <w:r>
        <w:t xml:space="preserve">P2 improves over the Wang–Xie adaptation by 63.78%, with a 95% interval of</w:t>
      </w:r>
      <w:r>
        <w:t xml:space="preserve"> </w:t>
      </w:r>
      <w:r>
        <w:t xml:space="preserve">[59.58%, 67.88%], and over the Dai adaptation by 89.08%, with an interval of</w:t>
      </w:r>
      <w:r>
        <w:t xml:space="preserve"> </w:t>
      </w:r>
      <w:r>
        <w:t xml:space="preserve">[88.10%, 90.01%]. It wins all six family-by-seed comparisons against both baselines. Mean</w:t>
      </w:r>
      <w:r>
        <w:t xml:space="preserve"> </w:t>
      </w:r>
      <w:r>
        <w:t xml:space="preserve">latencies for P2, Wang–Xie, and Dai are 193.75, 2.47, and 205.56 ms, respectively. The</w:t>
      </w:r>
      <w:r>
        <w:t xml:space="preserve"> </w:t>
      </w:r>
      <w:r>
        <w:t xml:space="preserve">Wang–Xie adaptation is therefore substantially faster but less accurate, whereas P2 and the Dai</w:t>
      </w:r>
      <w:r>
        <w:t xml:space="preserve"> </w:t>
      </w:r>
      <w:r>
        <w:t xml:space="preserve">adaptation occupy a similar latency range.</w:t>
      </w:r>
    </w:p>
    <w:p>
      <w:pPr>
        <w:pStyle w:val="BodyText"/>
      </w:pPr>
      <w:r>
        <w:t xml:space="preserve">The Dai adaptation converges poorly in the present parameterized Bloch setting. This result does</w:t>
      </w:r>
      <w:r>
        <w:t xml:space="preserve"> </w:t>
      </w:r>
      <w:r>
        <w:t xml:space="preserve">not establish that the method of Dai et al. is ineffective. The strongest nearest-neighbor evidence</w:t>
      </w:r>
      <w:r>
        <w:t xml:space="preserve"> </w:t>
      </w:r>
      <w:r>
        <w:t xml:space="preserve">is the stable P2 advantage over the parameter-matched Wang–Xie trace adaptation despite its larger</w:t>
      </w:r>
      <w:r>
        <w:t xml:space="preserve"> </w:t>
      </w:r>
      <w:r>
        <w:t xml:space="preserve">training budget.</w:t>
      </w:r>
    </w:p>
    <w:bookmarkEnd w:id="49"/>
    <w:bookmarkEnd w:id="50"/>
    <w:bookmarkStart w:id="54" w:name="discussion"/>
    <w:p>
      <w:pPr>
        <w:pStyle w:val="Heading2"/>
      </w:pPr>
      <w:r>
        <w:t xml:space="preserve">7. Discussion</w:t>
      </w:r>
    </w:p>
    <w:bookmarkStart w:id="51" w:name="why-the-cluster-formulation-helps"/>
    <w:p>
      <w:pPr>
        <w:pStyle w:val="Heading3"/>
      </w:pPr>
      <w:r>
        <w:t xml:space="preserve">7.1 Why the cluster formulation helps</w:t>
      </w:r>
    </w:p>
    <w:p>
      <w:pPr>
        <w:pStyle w:val="FirstParagraph"/>
      </w:pPr>
      <w:r>
        <w:t xml:space="preserve">Bandwise prediction turns a physically nonunique basis choice into a learning target. At a Dirac</w:t>
      </w:r>
      <w:r>
        <w:t xml:space="preserve"> </w:t>
      </w:r>
      <w:r>
        <w:t xml:space="preserve">crossing, that choice can swap or rotate abruptly. Projector-based training and evaluation remove</w:t>
      </w:r>
      <w:r>
        <w:t xml:space="preserve"> </w:t>
      </w:r>
      <w:r>
        <w:t xml:space="preserve">this artificial discontinuity. External spectral isolation keeps the target subspace meaningful,</w:t>
      </w:r>
      <w:r>
        <w:t xml:space="preserve"> </w:t>
      </w:r>
      <w:r>
        <w:t xml:space="preserve">while the network only needs to place a compact trial space near it. Rayleigh–Ritz then selects the</w:t>
      </w:r>
      <w:r>
        <w:t xml:space="preserve"> </w:t>
      </w:r>
      <w:r>
        <w:t xml:space="preserve">lowest-energy directions using the operator itself.</w:t>
      </w:r>
    </w:p>
    <w:bookmarkEnd w:id="51"/>
    <w:bookmarkStart w:id="52" w:name="X716917488729274b4efdd33c02417a523b08e8b"/>
    <w:p>
      <w:pPr>
        <w:pStyle w:val="Heading3"/>
      </w:pPr>
      <w:r>
        <w:t xml:space="preserve">7.2 Division of labor between neural and numerical components</w:t>
      </w:r>
    </w:p>
    <w:p>
      <w:pPr>
        <w:pStyle w:val="FirstParagraph"/>
      </w:pPr>
      <w:r>
        <w:t xml:space="preserve">The neural network learns parameter-dependent low-energy directions that a small fixed Fourier</w:t>
      </w:r>
      <w:r>
        <w:t xml:space="preserve"> </w:t>
      </w:r>
      <w:r>
        <w:t xml:space="preserve">dictionary does not capture uniformly. The analytic shell supplies structured correction</w:t>
      </w:r>
      <w:r>
        <w:t xml:space="preserve"> </w:t>
      </w:r>
      <w:r>
        <w:t xml:space="preserve">directions, and the reduced Ritz solve restores operator consistency. This division explains why</w:t>
      </w:r>
      <w:r>
        <w:t xml:space="preserve"> </w:t>
      </w:r>
      <w:r>
        <w:t xml:space="preserve">both pure neural and pure rank-21 Fourier controls underperform their combination. The scientific</w:t>
      </w:r>
      <w:r>
        <w:t xml:space="preserve"> </w:t>
      </w:r>
      <w:r>
        <w:t xml:space="preserve">claim is therefore a controlled hybrid mechanism, not the replacement of classical numerical</w:t>
      </w:r>
      <w:r>
        <w:t xml:space="preserve"> </w:t>
      </w:r>
      <w:r>
        <w:t xml:space="preserve">analysis by a neural network.</w:t>
      </w:r>
    </w:p>
    <w:bookmarkEnd w:id="52"/>
    <w:bookmarkStart w:id="53" w:name="relation-to-the-closest-literature"/>
    <w:p>
      <w:pPr>
        <w:pStyle w:val="Heading3"/>
      </w:pPr>
      <w:r>
        <w:t xml:space="preserve">7.3 Relation to the closest literature</w:t>
      </w:r>
    </w:p>
    <w:p>
      <w:pPr>
        <w:pStyle w:val="FirstParagraph"/>
      </w:pPr>
      <w:r>
        <w:t xml:space="preserve">Wang and Xie [3] established trace-based neural computation of multiple eigenpairs. Dai et al. [5]</w:t>
      </w:r>
      <w:r>
        <w:t xml:space="preserve"> </w:t>
      </w:r>
      <w:r>
        <w:t xml:space="preserve">established a neural-subspace-plus-Galerkin eigensolver. Chang et al. [6] addressed multiplicity and</w:t>
      </w:r>
      <w:r>
        <w:t xml:space="preserve"> </w:t>
      </w:r>
      <w:r>
        <w:t xml:space="preserve">mode switching over parameterized families. Pau [9] applied reduced bases to band structures. The</w:t>
      </w:r>
      <w:r>
        <w:t xml:space="preserve"> </w:t>
      </w:r>
      <w:r>
        <w:t xml:space="preserve">present method differs through the simultaneous use of a label-free Bloch parameter network, a</w:t>
      </w:r>
      <w:r>
        <w:t xml:space="preserve"> </w:t>
      </w:r>
      <w:r>
        <w:t xml:space="preserve">rank-two projector target at internal crossings, an orthogonal-complement closed hexagonal shell,</w:t>
      </w:r>
      <w:r>
        <w:t xml:space="preserve"> </w:t>
      </w:r>
      <w:r>
        <w:t xml:space="preserve">paired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H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transformations, and a frozen near/gap/OOD evaluation with a same-rank control.</w:t>
      </w:r>
    </w:p>
    <w:p>
      <w:pPr>
        <w:pStyle w:val="BodyText"/>
      </w:pPr>
      <w:r>
        <w:t xml:space="preserve">The independent supplement shows a stable P2 advantage over a Wang–Xie trace adaptation in the</w:t>
      </w:r>
      <w:r>
        <w:t xml:space="preserve"> </w:t>
      </w:r>
      <w:r>
        <w:t xml:space="preserve">same Bloch framework. Formula-level adaptations are not official author implementations, and the</w:t>
      </w:r>
      <w:r>
        <w:t xml:space="preserve"> </w:t>
      </w:r>
      <w:r>
        <w:t xml:space="preserve">poor convergence of the Dai adaptation cannot support a claim of universal superiority to Dai et</w:t>
      </w:r>
      <w:r>
        <w:t xml:space="preserve"> </w:t>
      </w:r>
      <w:r>
        <w:t xml:space="preserve">al. [5].</w:t>
      </w:r>
    </w:p>
    <w:bookmarkEnd w:id="53"/>
    <w:bookmarkEnd w:id="54"/>
    <w:bookmarkStart w:id="55" w:name="limitations-and-threats-to-validity"/>
    <w:p>
      <w:pPr>
        <w:pStyle w:val="Heading2"/>
      </w:pPr>
      <w:r>
        <w:t xml:space="preserve">8. Limitations and Threats to Validity</w:t>
      </w:r>
    </w:p>
    <w:p>
      <w:pPr>
        <w:pStyle w:val="FirstParagraph"/>
      </w:pPr>
      <w:r>
        <w:t xml:space="preserve">The study covers two honeycomb potential families and only the lowest rank-two cluster. The results</w:t>
      </w:r>
      <w:r>
        <w:t xml:space="preserve"> </w:t>
      </w:r>
      <w:r>
        <w:t xml:space="preserve">do not directly extend to higher-rank clusters, three-dimensional crystals, or nonperiodic boundary</w:t>
      </w:r>
      <w:r>
        <w:t xml:space="preserve"> </w:t>
      </w:r>
      <w:r>
        <w:t xml:space="preserve">conditions. The supplement contains formula-level Bloch adaptations rather than official</w:t>
      </w:r>
      <w:r>
        <w:t xml:space="preserve"> </w:t>
      </w:r>
      <w:r>
        <w:t xml:space="preserve">author-code reproductions, and the convergence of the Dai adaptation limits its comparative</w:t>
      </w:r>
      <w:r>
        <w:t xml:space="preserve"> </w:t>
      </w:r>
      <w:r>
        <w:t xml:space="preserve">strength. The P2-to-PWE timing</w:t>
      </w:r>
      <w:r>
        <w:t xml:space="preserve"> </w:t>
      </w:r>
      <w:r>
        <w:t xml:space="preserve">uses a GPU method and CPU reference and must be interpreted as a system configuration rather than</w:t>
      </w:r>
      <w:r>
        <w:t xml:space="preserve"> </w:t>
      </w:r>
      <w:r>
        <w:t xml:space="preserve">a hardware-independent speedup. The manuscript provides symbolic complexity, neural-forward FLOPs,</w:t>
      </w:r>
      <w:r>
        <w:t xml:space="preserve"> </w:t>
      </w:r>
      <w:r>
        <w:t xml:space="preserve">a break-even estimate, and an external-gap residual bound, but it does not yet contain profiler-based</w:t>
      </w:r>
      <w:r>
        <w:t xml:space="preserve"> </w:t>
      </w:r>
      <w:r>
        <w:t xml:space="preserve">end-to-end hardware FLOPs for second-order automatic differentiation. Three formal training seeds are supported by</w:t>
      </w:r>
      <w:r>
        <w:t xml:space="preserve"> </w:t>
      </w:r>
      <w:r>
        <w:t xml:space="preserve">clustered bootstrap statistics and six of six family-seed wins, but additional seeds may still be</w:t>
      </w:r>
      <w:r>
        <w:t xml:space="preserve"> </w:t>
      </w:r>
      <w:r>
        <w:t xml:space="preserve">useful in supplementary experiments. The frozen test itself must not be rerun.</w:t>
      </w:r>
    </w:p>
    <w:p>
      <w:pPr>
        <w:pStyle w:val="BodyText"/>
      </w:pPr>
      <w:r>
        <w:t xml:space="preserve">Internal-validity safeguards include a single final opening after an independent pilot, SHA-256</w:t>
      </w:r>
      <w:r>
        <w:t xml:space="preserve"> </w:t>
      </w:r>
      <w:r>
        <w:t xml:space="preserve">bindings for suites, references, checkpoints, source, and evidence packages, complete identity</w:t>
      </w:r>
      <w:r>
        <w:t xml:space="preserve"> </w:t>
      </w:r>
      <w:r>
        <w:t xml:space="preserve">audits of 19,200 final rows and 1,440 supplementary rows, and independent local aggregation. The</w:t>
      </w:r>
      <w:r>
        <w:t xml:space="preserve"> </w:t>
      </w:r>
      <w:r>
        <w:t xml:space="preserve">supplement verifies 89 manifest files in both remote and local audits.</w:t>
      </w:r>
    </w:p>
    <w:bookmarkEnd w:id="55"/>
    <w:bookmarkStart w:id="56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We developed a basis-invariant neural-augmented Rayleigh–Ritz solver for an internally crossing</w:t>
      </w:r>
      <w:r>
        <w:t xml:space="preserve"> </w:t>
      </w:r>
      <w:r>
        <w:t xml:space="preserve">spectral cluster of a two-dimensional parametric Bloch–Schrödinger PDE. A label-free SiLU network</w:t>
      </w:r>
      <w:r>
        <w:t xml:space="preserve"> </w:t>
      </w:r>
      <w:r>
        <w:t xml:space="preserve">provides a parameter-dependent rank-two coarse space. A complete second hexagonal Fourier shell,</w:t>
      </w:r>
      <w:r>
        <w:t xml:space="preserve"> </w:t>
      </w:r>
      <w:r>
        <w:t xml:space="preserve">analytic Hamiltonian actions, and a compact Ritz problem refine that space without accessing test</w:t>
      </w:r>
      <w:r>
        <w:t xml:space="preserve"> </w:t>
      </w:r>
      <w:r>
        <w:t xml:space="preserve">projectors. Frozen evaluation reduces overall projector error from 0.14719 for the strongest pure</w:t>
      </w:r>
      <w:r>
        <w:t xml:space="preserve"> </w:t>
      </w:r>
      <w:r>
        <w:t xml:space="preserve">neural baseline to 0.04532, with consistent gains across both potential families, all five parameter</w:t>
      </w:r>
      <w:r>
        <w:t xml:space="preserve"> </w:t>
      </w:r>
      <w:r>
        <w:t xml:space="preserve">regimes, and every family-seed pairing.</w:t>
      </w:r>
    </w:p>
    <w:p>
      <w:pPr>
        <w:pStyle w:val="BodyText"/>
      </w:pPr>
      <w:r>
        <w:t xml:space="preserve">The evidence supports the classification of this work as a genuine neural PDE eigensolver and is</w:t>
      </w:r>
      <w:r>
        <w:t xml:space="preserve"> </w:t>
      </w:r>
      <w:r>
        <w:t xml:space="preserve">sufficient for journal submission preparation. It provides a strong Q4 foundation, while the</w:t>
      </w:r>
      <w:r>
        <w:t xml:space="preserve"> </w:t>
      </w:r>
      <w:r>
        <w:t xml:space="preserve">independent journal-baseline supplement creates a realistic but not guaranteed Q3 opportunity.</w:t>
      </w:r>
      <w:r>
        <w:t xml:space="preserve"> </w:t>
      </w:r>
      <w:r>
        <w:t xml:space="preserve">The target-journal package and publication-ready method diagram are complete. Optional CUDA</w:t>
      </w:r>
      <w:r>
        <w:t xml:space="preserve"> </w:t>
      </w:r>
      <w:r>
        <w:t xml:space="preserve">profiler counts should be added only if requested; the frozen test and supplement remain closed.</w:t>
      </w:r>
    </w:p>
    <w:bookmarkEnd w:id="56"/>
    <w:bookmarkStart w:id="57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Source code, frozen benchmarks, CSV/JSON outputs, evidence hashes, and figure-generation scripts</w:t>
      </w:r>
      <w:r>
        <w:t xml:space="preserve"> </w:t>
      </w:r>
      <w:r>
        <w:t xml:space="preserve">are intended for public release before publication. The development repository is</w:t>
      </w:r>
      <w:r>
        <w:t xml:space="preserve"> </w:t>
      </w:r>
      <w:r>
        <w:rPr>
          <w:rStyle w:val="VerbatimChar"/>
        </w:rPr>
        <w:t xml:space="preserve">https://github.com/Lazywords2006/PINN-PDE</w:t>
      </w:r>
      <w:r>
        <w:t xml:space="preserve">. The frozen-final evidence SHA-256 is</w:t>
      </w:r>
      <w:r>
        <w:t xml:space="preserve"> </w:t>
      </w:r>
      <w:r>
        <w:rPr>
          <w:rStyle w:val="VerbatimChar"/>
        </w:rPr>
        <w:t xml:space="preserve">c653d0eddab018741312741f6db46f023a20812306d574b66947bbb42af25095</w:t>
      </w:r>
      <w:r>
        <w:t xml:space="preserve">.</w:t>
      </w:r>
    </w:p>
    <w:bookmarkEnd w:id="57"/>
    <w:bookmarkStart w:id="58" w:name="ethics-declaration"/>
    <w:p>
      <w:pPr>
        <w:pStyle w:val="Heading2"/>
      </w:pPr>
      <w:r>
        <w:t xml:space="preserve">Ethics Declaration</w:t>
      </w:r>
    </w:p>
    <w:p>
      <w:pPr>
        <w:pStyle w:val="FirstParagraph"/>
      </w:pPr>
      <w:r>
        <w:t xml:space="preserve">This work did not involve human participants, animals, or personal data.</w:t>
      </w:r>
    </w:p>
    <w:bookmarkEnd w:id="58"/>
    <w:bookmarkStart w:id="59" w:name="Xcff9338a29c6ed96c78c2b4f891540c8637444f"/>
    <w:p>
      <w:pPr>
        <w:pStyle w:val="Heading2"/>
      </w:pPr>
      <w:r>
        <w:t xml:space="preserve">Author Contributions (CRediT; pending author confirmation)</w:t>
      </w:r>
    </w:p>
    <w:p>
      <w:pPr>
        <w:pStyle w:val="FirstParagraph"/>
      </w:pPr>
      <w:r>
        <w:t xml:space="preserve">Conceptualization, methodology, software, validation, data curation, visualization, writing, and</w:t>
      </w:r>
      <w:r>
        <w:t xml:space="preserve"> </w:t>
      </w:r>
      <w:r>
        <w:t xml:space="preserve">project-administration roles will be assigned after the author list is finalized.</w:t>
      </w:r>
    </w:p>
    <w:bookmarkEnd w:id="59"/>
    <w:bookmarkStart w:id="60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authors declare no known conflict of interest. This statement must be reconfirmed by every</w:t>
      </w:r>
      <w:r>
        <w:t xml:space="preserve"> </w:t>
      </w:r>
      <w:r>
        <w:t xml:space="preserve">author before submission.</w:t>
      </w:r>
    </w:p>
    <w:bookmarkEnd w:id="60"/>
    <w:bookmarkStart w:id="61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 funding information has been provided. The final manuscript will list the actual grants or state</w:t>
      </w:r>
      <w:r>
        <w:t xml:space="preserve"> </w:t>
      </w:r>
      <w:r>
        <w:t xml:space="preserve">that the work received no specific external funding.</w:t>
      </w:r>
    </w:p>
    <w:bookmarkEnd w:id="61"/>
    <w:bookmarkStart w:id="62" w:name="ai-assistance-disclosure"/>
    <w:p>
      <w:pPr>
        <w:pStyle w:val="Heading2"/>
      </w:pPr>
      <w:r>
        <w:t xml:space="preserve">AI-Assistance Disclosure</w:t>
      </w:r>
    </w:p>
    <w:p>
      <w:pPr>
        <w:pStyle w:val="FirstParagraph"/>
      </w:pPr>
      <w:r>
        <w:t xml:space="preserve">Generative AI assisted with document organization, language editing, and construction of the code</w:t>
      </w:r>
      <w:r>
        <w:t xml:space="preserve"> </w:t>
      </w:r>
      <w:r>
        <w:t xml:space="preserve">evidence index. The authors remain responsible for verifying all mathematics, citations,</w:t>
      </w:r>
      <w:r>
        <w:t xml:space="preserve"> </w:t>
      </w:r>
      <w:r>
        <w:t xml:space="preserve">experimental values, statistical claims, and final prose. The disclosure will be adapted to the</w:t>
      </w:r>
      <w:r>
        <w:t xml:space="preserve"> </w:t>
      </w:r>
      <w:r>
        <w:t xml:space="preserve">policy of the selected journal.</w:t>
      </w:r>
    </w:p>
    <w:bookmarkEnd w:id="62"/>
    <w:bookmarkStart w:id="63" w:name="references"/>
    <w:p>
      <w:pPr>
        <w:pStyle w:val="Heading2"/>
      </w:pPr>
      <w:r>
        <w:t xml:space="preserve">References</w:t>
      </w:r>
    </w:p>
    <w:p>
      <w:pPr>
        <w:pStyle w:val="FirstParagraph"/>
        <w:spacing w:line="240" w:lineRule="auto" w:after="80"/>
        <w:ind w:left="360" w:hanging="360"/>
      </w:pPr>
      <w:r>
        <w:t xml:space="preserve">[1] M. Raissi, P. Perdikaris, and G. E. Karniadakis, “Physics-informed neural</w:t>
      </w:r>
      <w:r>
        <w:t xml:space="preserve"> </w:t>
      </w:r>
      <w:r>
        <w:t xml:space="preserve">networks: A deep learning framework for solving forward and inverse problems involving</w:t>
      </w:r>
      <w:r>
        <w:t xml:space="preserve"> </w:t>
      </w:r>
      <w:r>
        <w:t xml:space="preserve">nonlinear partial differential equations,”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, vol. 378,</w:t>
      </w:r>
      <w:r>
        <w:t xml:space="preserve"> </w:t>
      </w:r>
      <w:r>
        <w:t xml:space="preserve">pp. 686–707, 2019. https://doi.org/10.1016/j.jcp.2018.10.045</w:t>
      </w:r>
    </w:p>
    <w:p>
      <w:pPr>
        <w:pStyle w:val="BodyText"/>
        <w:spacing w:line="240" w:lineRule="auto" w:after="80"/>
        <w:ind w:left="360" w:hanging="360"/>
      </w:pPr>
      <w:r>
        <w:t xml:space="preserve">[2] A. Kovacs et al., “Conditional physics informed neural networks,”</w:t>
      </w:r>
      <w:r>
        <w:t xml:space="preserve"> </w:t>
      </w:r>
      <w:r>
        <w:rPr>
          <w:i/>
          <w:iCs/>
        </w:rPr>
        <w:t xml:space="preserve">Communications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Nonlinear Science and Numerical Simulation</w:t>
      </w:r>
      <w:r>
        <w:t xml:space="preserve">, vol. 104, 106041, 2022.</w:t>
      </w:r>
      <w:r>
        <w:t xml:space="preserve"> </w:t>
      </w:r>
      <w:r>
        <w:t xml:space="preserve">https://doi.org/10.1016/j.cnsns.2021.106041</w:t>
      </w:r>
    </w:p>
    <w:p>
      <w:pPr>
        <w:pStyle w:val="BodyText"/>
        <w:spacing w:line="240" w:lineRule="auto" w:after="80"/>
        <w:ind w:left="360" w:hanging="360"/>
      </w:pPr>
      <w:r>
        <w:t xml:space="preserve">[3] Y. Wang and H. Xie, “Computing multi-eigenpairs of high-dimensional eigenvalue</w:t>
      </w:r>
      <w:r>
        <w:t xml:space="preserve"> </w:t>
      </w:r>
      <w:r>
        <w:t xml:space="preserve">problems using tensor neural networks,”</w:t>
      </w:r>
      <w:r>
        <w:t xml:space="preserve"> </w:t>
      </w:r>
      <w:r>
        <w:rPr>
          <w:i/>
          <w:iCs/>
        </w:rPr>
        <w:t xml:space="preserve">Journal of Computational Physics</w:t>
      </w:r>
      <w:r>
        <w:t xml:space="preserve">, vol. 506,</w:t>
      </w:r>
      <w:r>
        <w:t xml:space="preserve"> </w:t>
      </w:r>
      <w:r>
        <w:t xml:space="preserve">112928, 2024. https://doi.org/10.1016/j.jcp.2024.112928</w:t>
      </w:r>
    </w:p>
    <w:p>
      <w:pPr>
        <w:pStyle w:val="BodyText"/>
        <w:spacing w:line="240" w:lineRule="auto" w:after="80"/>
        <w:ind w:left="360" w:hanging="360"/>
      </w:pPr>
      <w:r>
        <w:t xml:space="preserve">[4] C. Rowan, J. Evans, K. Maute, and A. Doostan, “Solving engineering eigenvalue</w:t>
      </w:r>
      <w:r>
        <w:t xml:space="preserve"> </w:t>
      </w:r>
      <w:r>
        <w:t xml:space="preserve">problems with neural networks using the Rayleigh quotient,”</w:t>
      </w:r>
      <w:r>
        <w:t xml:space="preserve"> </w:t>
      </w:r>
      <w:r>
        <w:rPr>
          <w:i/>
          <w:iCs/>
        </w:rPr>
        <w:t xml:space="preserve">International Journal for</w:t>
      </w:r>
      <w:r>
        <w:rPr>
          <w:i/>
          <w:iCs/>
        </w:rPr>
        <w:t xml:space="preserve"> </w:t>
      </w:r>
      <w:r>
        <w:rPr>
          <w:i/>
          <w:iCs/>
        </w:rPr>
        <w:t xml:space="preserve">Numerical Methods in Engineering</w:t>
      </w:r>
      <w:r>
        <w:t xml:space="preserve">, vol. 126, no. 24, e70209, 2025.</w:t>
      </w:r>
      <w:r>
        <w:t xml:space="preserve"> </w:t>
      </w:r>
      <w:r>
        <w:t xml:space="preserve">https://doi.org/10.1002/nme.70209</w:t>
      </w:r>
    </w:p>
    <w:p>
      <w:pPr>
        <w:pStyle w:val="BodyText"/>
        <w:spacing w:line="240" w:lineRule="auto" w:after="80"/>
        <w:ind w:left="360" w:hanging="360"/>
      </w:pPr>
      <w:r>
        <w:t xml:space="preserve">[5] X. Dai, Y. Fan, and Z. Sheng, “Subspace method based on neural networks for solving</w:t>
      </w:r>
      <w:r>
        <w:t xml:space="preserve"> </w:t>
      </w:r>
      <w:r>
        <w:t xml:space="preserve">eigenvalue problems,”</w:t>
      </w:r>
      <w:r>
        <w:t xml:space="preserve"> </w:t>
      </w:r>
      <w:r>
        <w:rPr>
          <w:i/>
          <w:iCs/>
        </w:rPr>
        <w:t xml:space="preserve">Communications in Nonlinear Science and Numerical Simulation</w:t>
      </w:r>
      <w:r>
        <w:t xml:space="preserve">,</w:t>
      </w:r>
      <w:r>
        <w:t xml:space="preserve"> </w:t>
      </w:r>
      <w:r>
        <w:t xml:space="preserve">vol. 161, 110060, 2026. https://doi.org/10.1016/j.cnsns.2026.110060</w:t>
      </w:r>
    </w:p>
    <w:p>
      <w:pPr>
        <w:pStyle w:val="BodyText"/>
        <w:spacing w:line="240" w:lineRule="auto" w:after="80"/>
        <w:ind w:left="360" w:hanging="360"/>
      </w:pPr>
      <w:r>
        <w:t xml:space="preserve">[6] Y. Chang, O. Benchekroun, M. M. Chiaramonte, P. Y. Chen, and E. Grinspun,</w:t>
      </w:r>
      <w:r>
        <w:t xml:space="preserve"> </w:t>
      </w:r>
      <w:r>
        <w:t xml:space="preserve">“Shape Space Spectra,”</w:t>
      </w:r>
      <w:r>
        <w:t xml:space="preserve"> </w:t>
      </w:r>
      <w:r>
        <w:rPr>
          <w:i/>
          <w:iCs/>
        </w:rPr>
        <w:t xml:space="preserve">ACM Transactions on Graphics</w:t>
      </w:r>
      <w:r>
        <w:t xml:space="preserve">, vol. 44, no. 4, pp. 1–16,</w:t>
      </w:r>
      <w:r>
        <w:t xml:space="preserve"> </w:t>
      </w:r>
      <w:r>
        <w:t xml:space="preserve">2025. https://doi.org/10.1145/3731148</w:t>
      </w:r>
    </w:p>
    <w:p>
      <w:pPr>
        <w:pStyle w:val="BodyText"/>
        <w:spacing w:line="240" w:lineRule="auto" w:after="80"/>
        <w:ind w:left="360" w:hanging="360"/>
      </w:pPr>
      <w:r>
        <w:t xml:space="preserve">[7] L. Grubišić, M. Saarikangas, and H. Hakula, “Stochastic collocation method for</w:t>
      </w:r>
      <w:r>
        <w:t xml:space="preserve"> </w:t>
      </w:r>
      <w:r>
        <w:t xml:space="preserve">computing eigenspaces of parameter-dependent operators,”</w:t>
      </w:r>
      <w:r>
        <w:t xml:space="preserve"> </w:t>
      </w:r>
      <w:r>
        <w:rPr>
          <w:i/>
          <w:iCs/>
        </w:rPr>
        <w:t xml:space="preserve">Numerische Mathematik</w:t>
      </w:r>
      <w:r>
        <w:t xml:space="preserve">,</w:t>
      </w:r>
      <w:r>
        <w:t xml:space="preserve"> </w:t>
      </w:r>
      <w:r>
        <w:t xml:space="preserve">vol. 153, pp. 85–110, 2023. https://doi.org/10.1007/s00211-022-01339-3</w:t>
      </w:r>
    </w:p>
    <w:p>
      <w:pPr>
        <w:pStyle w:val="BodyText"/>
        <w:spacing w:line="240" w:lineRule="auto" w:after="80"/>
        <w:ind w:left="360" w:hanging="360"/>
      </w:pPr>
      <w:r>
        <w:t xml:space="preserve">[8] V. Fanaskov, V. Trifonov, A. Rudikov, E. Muravleva, and I. Oseledets, “Deep</w:t>
      </w:r>
      <w:r>
        <w:t xml:space="preserve"> </w:t>
      </w:r>
      <w:r>
        <w:t xml:space="preserve">Learning for Subspace Regression,” in</w:t>
      </w:r>
      <w:r>
        <w:t xml:space="preserve"> </w:t>
      </w:r>
      <w:r>
        <w:rPr>
          <w:i/>
          <w:iCs/>
        </w:rPr>
        <w:t xml:space="preserve">International Conference on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Representations (ICLR)</w:t>
      </w:r>
      <w:r>
        <w:t xml:space="preserve">, 2026. https://openreview.net/forum?id=HF60Lu1Maj</w:t>
      </w:r>
    </w:p>
    <w:p>
      <w:pPr>
        <w:pStyle w:val="BodyText"/>
        <w:spacing w:line="240" w:lineRule="auto" w:after="80"/>
        <w:ind w:left="360" w:hanging="360"/>
      </w:pPr>
      <w:r>
        <w:t xml:space="preserve">[9] G. S. H. Pau, “Reduced-basis method for band structure calculations,”</w:t>
      </w:r>
      <w:r>
        <w:t xml:space="preserve"> </w:t>
      </w:r>
      <w:r>
        <w:rPr>
          <w:i/>
          <w:iCs/>
        </w:rPr>
        <w:t xml:space="preserve">Physical</w:t>
      </w:r>
      <w:r>
        <w:rPr>
          <w:i/>
          <w:iCs/>
        </w:rPr>
        <w:t xml:space="preserve"> </w:t>
      </w:r>
      <w:r>
        <w:rPr>
          <w:i/>
          <w:iCs/>
        </w:rPr>
        <w:t xml:space="preserve">Review E</w:t>
      </w:r>
      <w:r>
        <w:t xml:space="preserve">, vol. 76, 046704, 2007. https://doi.org/10.1103/PhysRevE.76.046704</w:t>
      </w:r>
    </w:p>
    <w:p>
      <w:pPr>
        <w:pStyle w:val="BodyText"/>
        <w:spacing w:line="240" w:lineRule="auto" w:after="80"/>
        <w:ind w:left="360" w:hanging="360"/>
      </w:pPr>
      <w:r>
        <w:t xml:space="preserve">[10] T. Horger, B. Wohlmuth, and T. Dickopf, “Simultaneous reduced basis approximation</w:t>
      </w:r>
      <w:r>
        <w:t xml:space="preserve"> </w:t>
      </w:r>
      <w:r>
        <w:t xml:space="preserve">of parameterized elliptic eigenvalue problems,”</w:t>
      </w:r>
      <w:r>
        <w:t xml:space="preserve"> </w:t>
      </w:r>
      <w:r>
        <w:rPr>
          <w:i/>
          <w:iCs/>
        </w:rPr>
        <w:t xml:space="preserve">ESAIM: Mathematical Modelling and</w:t>
      </w:r>
      <w:r>
        <w:rPr>
          <w:i/>
          <w:iCs/>
        </w:rPr>
        <w:t xml:space="preserve"> </w:t>
      </w:r>
      <w:r>
        <w:rPr>
          <w:i/>
          <w:iCs/>
        </w:rPr>
        <w:t xml:space="preserve">Numerical Analysis</w:t>
      </w:r>
      <w:r>
        <w:t xml:space="preserve">, vol. 51, no. 2, pp. 443–465, 2017.</w:t>
      </w:r>
      <w:r>
        <w:t xml:space="preserve"> </w:t>
      </w:r>
      <w:r>
        <w:t xml:space="preserve">https://doi.org/10.1051/m2an/2016025</w:t>
      </w:r>
    </w:p>
    <w:p>
      <w:pPr>
        <w:pStyle w:val="BodyText"/>
        <w:spacing w:line="240" w:lineRule="auto" w:after="80"/>
        <w:ind w:left="360" w:hanging="360"/>
      </w:pPr>
      <w:r>
        <w:t xml:space="preserve">[11] C. L. Fefferman and M. I. Weinstein, “Honeycomb lattice potentials and Dirac</w:t>
      </w:r>
      <w:r>
        <w:t xml:space="preserve"> </w:t>
      </w:r>
      <w:r>
        <w:t xml:space="preserve">points,”</w:t>
      </w:r>
      <w:r>
        <w:t xml:space="preserve"> </w:t>
      </w:r>
      <w:r>
        <w:rPr>
          <w:i/>
          <w:iCs/>
        </w:rPr>
        <w:t xml:space="preserve">Journal of the American Mathematical Society</w:t>
      </w:r>
      <w:r>
        <w:t xml:space="preserve">, vol. 25, no. 4,</w:t>
      </w:r>
      <w:r>
        <w:t xml:space="preserve"> </w:t>
      </w:r>
      <w:r>
        <w:t xml:space="preserve">pp. 1169–1220, 2012. https://doi.org/10.1090/S0894-0347-2012-00745-0</w:t>
      </w:r>
    </w:p>
    <w:p>
      <w:pPr>
        <w:pStyle w:val="BodyText"/>
        <w:spacing w:line="240" w:lineRule="auto" w:after="80"/>
        <w:ind w:left="360" w:hanging="360"/>
      </w:pPr>
      <w:r>
        <w:t xml:space="preserve">[12] B. Haasdonk, H. Kleikamp, M. Ohlberger, F. Schindler, and T. Wenzel, “A new</w:t>
      </w:r>
      <w:r>
        <w:t xml:space="preserve"> </w:t>
      </w:r>
      <w:r>
        <w:t xml:space="preserve">certified hierarchical and adaptive RB-ML-ROM surrogate model for parametrized PDEs,”</w:t>
      </w:r>
      <w:r>
        <w:t xml:space="preserve"> </w:t>
      </w:r>
      <w:r>
        <w:rPr>
          <w:i/>
          <w:iCs/>
        </w:rPr>
        <w:t xml:space="preserve">SIAM Journal on Scientific Computing</w:t>
      </w:r>
      <w:r>
        <w:t xml:space="preserve">, vol. 45, no. 3, pp. A1039–A1065, 2023.</w:t>
      </w:r>
      <w:r>
        <w:t xml:space="preserve"> </w:t>
      </w:r>
      <w:r>
        <w:t xml:space="preserve">https://doi.org/10.1137/22M1493318</w:t>
      </w:r>
    </w:p>
    <w:p>
      <w:pPr>
        <w:pStyle w:val="BodyText"/>
        <w:spacing w:line="240" w:lineRule="auto" w:after="80"/>
        <w:ind w:left="360" w:hanging="360"/>
      </w:pPr>
      <w:r>
        <w:t xml:space="preserve">[13] C. Hsu, M. Mattheakis, G. R. Schleder, and D. T. Larson, “Equation-driven neural</w:t>
      </w:r>
      <w:r>
        <w:t xml:space="preserve"> </w:t>
      </w:r>
      <w:r>
        <w:t xml:space="preserve">networks for periodic quantum systems,” NeurIPS 2024 Workshop on Machine Learning and</w:t>
      </w:r>
      <w:r>
        <w:t xml:space="preserve"> </w:t>
      </w:r>
      <w:r>
        <w:t xml:space="preserve">the Physical Sciences, 2024. https://neurips.cc/virtual/2024/99978</w:t>
      </w:r>
    </w:p>
    <w:p>
      <w:pPr>
        <w:pStyle w:val="BodyText"/>
        <w:spacing w:line="240" w:lineRule="auto" w:after="80"/>
        <w:ind w:left="360" w:hanging="360"/>
      </w:pPr>
      <w:r>
        <w:t xml:space="preserve">[14] H. Jin, M. Mattheakis, and P. Protopapas, “Physics-Informed Neural Networks for</w:t>
      </w:r>
      <w:r>
        <w:t xml:space="preserve"> </w:t>
      </w:r>
      <w:r>
        <w:t xml:space="preserve">Quantum Eigenvalue Problems,” in</w:t>
      </w:r>
      <w:r>
        <w:t xml:space="preserve"> </w:t>
      </w:r>
      <w:r>
        <w:rPr>
          <w:i/>
          <w:iCs/>
        </w:rPr>
        <w:t xml:space="preserve">2022 International Joint Conference on Neural</w:t>
      </w:r>
      <w:r>
        <w:rPr>
          <w:i/>
          <w:iCs/>
        </w:rPr>
        <w:t xml:space="preserve"> </w:t>
      </w:r>
      <w:r>
        <w:rPr>
          <w:i/>
          <w:iCs/>
        </w:rPr>
        <w:t xml:space="preserve">Networks (IJCNN)</w:t>
      </w:r>
      <w:r>
        <w:t xml:space="preserve">, 2022. https://doi.org/10.1109/IJCNN55064.2022.9891944</w:t>
      </w:r>
    </w:p>
    <w:p>
      <w:pPr>
        <w:pStyle w:val="BodyText"/>
        <w:spacing w:line="240" w:lineRule="auto" w:after="80"/>
        <w:ind w:left="360" w:hanging="360"/>
      </w:pPr>
      <w:r>
        <w:t xml:space="preserve">[15] C. Davis and W. M. Kahan, “The rotation of eigenvectors by a perturbation. III,”</w:t>
      </w:r>
      <w:r>
        <w:t xml:space="preserve"> </w:t>
      </w:r>
      <w:r>
        <w:rPr>
          <w:i/>
          <w:iCs/>
        </w:rPr>
        <w:t xml:space="preserve">SIAM Journal on Numerical Analysis</w:t>
      </w:r>
      <w:r>
        <w:t xml:space="preserve">, vol. 7, no. 1, pp. 1–46, 1970.</w:t>
      </w:r>
      <w:r>
        <w:t xml:space="preserve"> </w:t>
      </w:r>
      <w:r>
        <w:t xml:space="preserve">https://doi.org/10.1137/0707001</w:t>
      </w:r>
    </w:p>
    <w:bookmarkEnd w:id="63"/>
    <w:sectPr w:rsidR="00FC693F" w:rsidRPr="0006063C" w:rsidSect="00034616">
      <w:headerReference w:type="default" r:id="rId9"/>
      <w:footerReference w:type="default" r:id="rId10"/>
      <w:pgSz w:h="15840" w:w="12240"/>
      <w:pgMar w:bottom="1440" w:footer="648" w:gutter="0" w:header="64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color w:val="5A5A5A"/>
        <w:sz w:val="18"/>
      </w:rPr>
      <w:t>Original Article | Numerical Methods for Partial Differential Equations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480" w:lineRule="auto"/>
    </w:pPr>
    <w:rPr>
      <w:rFonts w:ascii="Times New Roman" w:hAnsi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i w:val="0"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i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Times New Roman" w:asciiTheme="majorHAnsi" w:cstheme="majorBidi" w:eastAsiaTheme="majorEastAsia" w:hAnsi="Times New Roman" w:hAnsiTheme="majorHAnsi"/>
      <w:b w:val="0"/>
      <w:bCs/>
      <w:i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i w:val="0"/>
      <w:color w:val="000000"/>
      <w:spacing w:val="5"/>
      <w:kern w:val="28"/>
      <w:sz w:val="3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  <w:jc w:val="center"/>
    </w:pPr>
    <w:rPr>
      <w:rFonts w:ascii="Times New Roman" w:asciiTheme="majorHAnsi" w:cstheme="majorBidi" w:eastAsiaTheme="majorEastAsia" w:hAnsi="Times New Roman" w:hAnsiTheme="majorHAnsi"/>
      <w:b w:val="0"/>
      <w:i/>
      <w:iCs/>
      <w:color w:val="0000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line="240" w:lineRule="auto"/>
      <w:jc w:val="center"/>
    </w:pPr>
    <w:rPr>
      <w:rFonts w:ascii="Times New Roman" w:hAnsi="Times New Roman"/>
      <w:b w:val="0"/>
      <w:bCs/>
      <w:i/>
      <w:color w:val="000000"/>
      <w:sz w:val="20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spacing w:after="60" w:line="240" w:lineRule="auto"/>
      <w:jc w:val="center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0" Type="http://schemas.openxmlformats.org/officeDocument/2006/relationships/image" Target="media/rId40.png"/><Relationship Id="rId45" Type="http://schemas.openxmlformats.org/officeDocument/2006/relationships/image" Target="media/rId45.png"/><Relationship Id="rId21" Type="http://schemas.openxmlformats.org/officeDocument/2006/relationships/image" Target="media/rId21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Basis-Invariant Neural-Augmented Rayleigh-Ritz Solver for Parametric Bloch Spectral Clusters with Eigenvalue Crossings</dc:title>
  <dc:creator>[Author Name(s)]</dc:creator>
  <dc:language>en-US</dc:language>
  <cp:keywords>neural PDE solver; parametric eigenproblem; Bloch-Schrodinger equation; spectral cluster; Rayleigh-Ritz; basis invariance; scientific machine learning</cp:keywords>
  <dcterms:created xsi:type="dcterms:W3CDTF">2026-08-27T10:07:47Z</dcterms:created>
  <dcterms:modified xsi:type="dcterms:W3CDTF">2026-08-27T10:07:47Z</dcterms:modified>
  <dc:subject>Original research manuscript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