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after="360"/>
        <w:jc w:val="center"/>
      </w:pPr>
      <w:r>
        <w:rPr>
          <w:rFonts w:ascii="黑体" w:hAnsi="黑体" w:eastAsia="黑体"/>
          <w:b/>
          <w:color w:val="000000"/>
          <w:sz w:val="36"/>
        </w:rPr>
        <w:t>Minisys FmcPGA Minecraft TFT 体素渲染系统项目报告</w:t>
      </w:r>
    </w:p>
    <w:p>
      <w:pPr>
        <w:pStyle w:val="Heading1"/>
      </w:pPr>
      <w:r>
        <w:rPr>
          <w:color w:val="000000"/>
        </w:rPr>
        <w:t>摘要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本项目完成了一个面向 Minisys FPGA 开发板的 Minecraft 风格体素渲染系统移植与工程化实现。系统以 FmcPGA 体素渲染核心为基础，保留其 VHDL 渲染管线，在外围新增 Verilog 板级顶层、TFT 显示时序、帧缓冲读取适配、RGB444 到 RGB323 颜色转换、按键与拨码交互、手持方块 HUD、蜂鸣器音频、源码级 IP 替代模块和 Vivado 自动化脚本，使原本面向 VGA/原工程环境的体素渲染器能够在 Minisys 的 800x480 TFT 屏上显示并交互运行。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 xml:space="preserve">工程目标器件为 </w:t>
      </w:r>
      <w:r>
        <w:rPr>
          <w:rFonts w:ascii="Consolas" w:hAnsi="Consolas" w:eastAsia="Consolas"/>
          <w:sz w:val="21"/>
        </w:rPr>
        <w:t>xc7a100tfgg484-1</w:t>
      </w:r>
      <w:r>
        <w:rPr>
          <w:rFonts w:ascii="宋体" w:hAnsi="宋体" w:eastAsia="宋体"/>
          <w:sz w:val="21"/>
        </w:rPr>
        <w:t>，主时钟为 100 MHz，TFT 输出为 RGB323，渲染核心帧缓冲为 320x240 RGB444。项目采用混合语言集成方案：通过 VHDL 扁平化封装模块将复杂 record 接口转化为普通端口，再由 Verilog 顶层接入 Minisys 板级资源。最终系统已经实现 3D 体素场景显示、玩家移动、视角旋转、方块选择、放置方块、挖掘方块、准星目标反馈、右下角手持方块显示、背景音乐、交互音效、JTAG 下载、SPI Flash 持久化烧录和静态检查。Vivado 实现结果显示，系统无 setup、hold、pulse width 失败端点，主要资源利用率为 LUT 43.17%、BRAM 56.67%、DSP 21.67%，能够满足课程设计演示与报告验收要求。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关键词：FPGA；Minisys；Vivado；TFT；体素渲染；Minecraft；VHDL；Verilog；硬件工程化</w:t>
      </w:r>
    </w:p>
    <w:p>
      <w:pPr>
        <w:pStyle w:val="Heading1"/>
      </w:pPr>
      <w:r>
        <w:rPr>
          <w:color w:val="000000"/>
        </w:rPr>
        <w:t>1. 绪论</w:t>
      </w:r>
    </w:p>
    <w:p>
      <w:pPr>
        <w:pStyle w:val="Heading2"/>
      </w:pPr>
      <w:r>
        <w:rPr>
          <w:color w:val="000000"/>
        </w:rPr>
        <w:t>1.1 项目背景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Minecraft 风格体素场景具有清晰的三维空间结构、方块地图、纹理采样、视角控制和交互修改等特点，适合作为 FPGA 图形系统课程设计的综合题目。相比简单彩条显示或二维图形实验，体素渲染系统需要同时处理坐标变换、射线步进、地图存储、纹理读取、颜色输出、帧缓冲和实时显示，对硬件结构、时钟、存储和时序都有较高要求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原 FmcPGA 项目已经具备 Minecraft-like 体素渲染能力，但其目标工程环境、显示接口、IP 依赖和板级资源与本课程使用的 Minisys 开发板不完全一致。因此，本项目的主要任务不是从零重写渲染算法，而是完成一次完整的工程移植：将已有渲染核心接入 Minisys 的时钟、按键、拨码、TFT 屏、LED、蜂鸣器和配置存储器，并将工程整理为可复现、可构建、可测试、可说明的课程设计项目。</w:t>
      </w:r>
    </w:p>
    <w:p>
      <w:pPr>
        <w:pStyle w:val="Heading2"/>
      </w:pPr>
      <w:r>
        <w:rPr>
          <w:color w:val="000000"/>
        </w:rPr>
        <w:t>1.2 项目目标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本项目围绕“能在实际开发板上稳定演示的 FPGA 体素渲染系统”展开，主要目标如下：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在 Minisys FPGA 开发板上实现 Minecraft 风格 3D 体素场景显示。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使用 800x480 TFT 屏显示 320x240 渲染帧缓冲，并完成居中 2 倍放大。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支持按键移动、视角旋转、方块选择、放置方块和挖掘方块。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提供手持方块 HUD、准星目标反馈、LED 调试输出和蜂鸣器音频反馈。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保留 FmcPGA VHDL 渲染核心，使用扁平化封装解决 VHDL 与 Verilog 顶层集成问题。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使用源码级 Verilog 模块替代主要 Vivado IP，提高工程可复现性。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提供 Vivado 工程创建、构建、下载、Flash 烧录和静态检查脚本。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建立需求、测试和实现之间的追踪关系，便于验收和后续维护。</w:t>
      </w:r>
    </w:p>
    <w:p>
      <w:pPr>
        <w:pStyle w:val="Heading2"/>
      </w:pPr>
      <w:r>
        <w:rPr>
          <w:color w:val="000000"/>
        </w:rPr>
        <w:t>1.3 报告结构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本文按照简化的毕业设计报告结构组织。第 2 章说明需求分析，第 3 章说明总体设计，第 4 章说明主要模块设计，第 5 章说明工程实现与约束，第 6 章说明测试与验证，第 7 章统一分析资源利用率、时序、显示性能、鲁棒性和可维护性等质量指标，第 8 章分析综合与构建速度，第 9 章进行工程审阅，第 10 章讨论 AI 辅助 vibecoding 场景下人类工程师的分析方法，第 11 章给出总结与展望。</w:t>
      </w:r>
    </w:p>
    <w:p>
      <w:pPr>
        <w:pStyle w:val="Heading1"/>
      </w:pPr>
      <w:r>
        <w:rPr>
          <w:color w:val="000000"/>
        </w:rPr>
        <w:t>2. 需求分析</w:t>
      </w:r>
    </w:p>
    <w:p>
      <w:pPr>
        <w:pStyle w:val="Heading2"/>
      </w:pPr>
      <w:r>
        <w:rPr>
          <w:color w:val="000000"/>
        </w:rPr>
        <w:t>2.1 用户角色需求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用户角色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需求说明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UR-01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玩家/演示者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上电或下载后能够直接看到 3D 场景，并通过按键和拨码完成移动、视角、放置、挖掘和音频交互。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UR-02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开发者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能够复现 Vivado 工程，完成综合、实现、bitstream 生成、JTAG 下载和 SPI Flash 烧录。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UR-03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测试者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能够使用 smoke test、静态检查、时序报告和硬件操作步骤验证系统功能。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UR-04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报告撰写者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能够清晰说明系统架构、模块分工、已完成功能、测试覆盖和工程分析结果。</w:t>
            </w:r>
          </w:p>
        </w:tc>
      </w:tr>
    </w:tbl>
    <w:p/>
    <w:p>
      <w:pPr>
        <w:pStyle w:val="Heading2"/>
      </w:pPr>
      <w:r>
        <w:rPr>
          <w:color w:val="000000"/>
        </w:rPr>
        <w:t>2.2 运行环境需求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规格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FPGA 开发板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Minisys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FPGA 器件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`xc7a100tfgg484-1`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开发工具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Vivado 2018.3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主时钟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 MHz `clk_100m`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显示设备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800x480 TFT，RGB323 输出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渲染帧缓冲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320x240，RGB444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音频输出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蜂鸣器输出端口 `BUZZER_O`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硬件描述语言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Verilog 与 VHDL 2008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资源初始化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COE 转 MEM 后由 RAM/ROM 初始化</w:t>
            </w:r>
          </w:p>
        </w:tc>
      </w:tr>
    </w:tbl>
    <w:p/>
    <w:p>
      <w:pPr>
        <w:pStyle w:val="Heading2"/>
      </w:pPr>
      <w:r>
        <w:rPr>
          <w:color w:val="000000"/>
        </w:rPr>
        <w:t>2.3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功能需求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完成情况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体素场景渲染：基于地图、纹理和纹理索引生成 320x240 RGB444 场景。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Minisys 板级顶层：连接时钟、按键、拨码、LED、TFT、蜂鸣器和渲染核心。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混合语言集成：通过 VHDL 扁平化 wrapper 接入 Verilog 顶层。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TFT 时钟与时序：产生 800x480 TFT 同步、DE 和像素坐标。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显示适配：将 320x240 源帧 2 倍放大为 640x480 并水平居中。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颜色转换：将 RGB444 转换为 TFT 所需 RGB323。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显示链路 smoke test：在不接入完整 VHDL 核心时验证 TFT 链路。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玩家移动：移动模式下 S1/S2/S3/S4 控制右移、左移、前进、后退。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视角旋转：视角模式下 S1/S2/S3/S4 控制左右和上下视角。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方块选择：使用 `sw[4:0]` 选择当前方块 ID。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放置方块：`sw[5]=0` 时按 S5 放置所选方块。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挖掘方块：`sw[5]=1` 时按 S5 挖掘准星选中方块。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动作单次触发：S5 经过去抖、同步和边沿检测后只触发一次动作。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准星与目标反馈：屏幕中心显示准星并反馈命中目标。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手持方块 HUD：右下角显示随 `sw[4:0]` 变化的方块图形。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背景音乐：蜂鸣器输出持续背景旋律。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方块操作音效：放置和挖掘触发不同短音效。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背景音乐静音：`sw[7]` 可关闭背景音乐，保留交互音效。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LED 调试显示：LED 输出 FPS、当前物品和控制状态。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源码级 IP 替代：用 Verilog 替代 PLL、RAM、ROM、divider 等 IP。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地图与纹理资源初始化：通过 MEM 文件初始化地图、纹理和索引资源。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Vivado 工程生成：脚本化创建正式混合语言工程。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自动构建和报告生成：完成综合、实现、bitstream 和报告导出。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JTAG 临时下载：通过 JTAG 将 bitstream 下载到 FPGA。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SPI Flash 持久化烧录：生成 MCS 并写入配置 Flash。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Flash 校验和启动状态检查：支持 verify 与启动状态读取。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静态一致性检查：检查源码完整性、控制映射和显示流水。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构建与设计文档：保留需求、测试、设计、构建和分析材料。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已完成</w:t>
            </w:r>
          </w:p>
        </w:tc>
      </w:tr>
    </w:tbl>
    <w:p/>
    <w:p>
      <w:pPr>
        <w:pStyle w:val="Heading2"/>
      </w:pPr>
      <w:r>
        <w:rPr>
          <w:color w:val="000000"/>
        </w:rPr>
        <w:t>2.4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非功能需求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可综合与可实现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工程应能在 Vivado 2018.3 下完成综合、实现和 bitstream 生成。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可复现性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工程应优先通过源码、MEM 文件和脚本复现，减少对 GUI 状态的依赖。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可维护性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板级顶层、显示适配、音频、IP 替代和 VHDL 核心之间保持清晰边界。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交互确定性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按键、拨码和动作触发规则明确，避免长按或模式开关造成连续误触发。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显示稳定性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TFT 时钟、同步、DE、颜色输出和 RAM 读延迟需要匹配。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资源自包含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运行时不依赖软件服务、数据库、网络或外部文件系统。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平台约束明确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目标开发板、器件、时钟、电平标准和接口固定，便于验收和定位问题。</w:t>
            </w:r>
          </w:p>
        </w:tc>
      </w:tr>
    </w:tbl>
    <w:p/>
    <w:p>
      <w:pPr>
        <w:pStyle w:val="Heading2"/>
      </w:pPr>
      <w:r>
        <w:rPr>
          <w:color w:val="000000"/>
        </w:rPr>
        <w:t>2.5 数据需求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数据项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DR-01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地图数据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保存世界中各位置的方块类型，支持放置和挖掘修改。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DR-02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纹理数据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保存方块纹理颜色。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DR-03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纹理索引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将方块 ID 映射到纹理 ID。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DR-04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玩家状态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保存位置、视角、当前物品和准星目标等运行状态。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DR-05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显示帧缓冲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保存 320x240 RGB444 双缓冲图像。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DR-06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调试状态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 LED 输出 FPS、当前物品和控制模式。</w:t>
            </w:r>
          </w:p>
        </w:tc>
      </w:tr>
    </w:tbl>
    <w:p/>
    <w:p>
      <w:pPr>
        <w:pStyle w:val="Heading1"/>
      </w:pPr>
      <w:r>
        <w:rPr>
          <w:color w:val="000000"/>
        </w:rPr>
        <w:t>3. 总体设计</w:t>
      </w:r>
    </w:p>
    <w:p>
      <w:pPr>
        <w:pStyle w:val="Heading2"/>
      </w:pPr>
      <w:r>
        <w:rPr>
          <w:color w:val="000000"/>
        </w:rPr>
        <w:t>3.1 系统总体架构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系统采用“Verilog 板级外壳 + VHDL 渲染核心”的混合语言结构。板级 Verilog 顶层负责 Minisys 外设、TFT 输出、蜂鸣器和 LED 调试；VHDL 核心负责体素场景渲染、玩家状态、地图修改、准星目标和帧缓冲写入。</w:t>
      </w:r>
    </w:p>
    <w:p>
      <w:pPr>
        <w:spacing w:after="120"/>
        <w:ind w:left="397"/>
      </w:pPr>
      <w:r>
        <w:rPr>
          <w:rFonts w:ascii="Consolas" w:hAnsi="Consolas" w:eastAsia="Consolas"/>
          <w:sz w:val="18"/>
        </w:rPr>
        <w:t>Minisys 时钟/按键/拨码/引脚</w:t>
        <w:br/>
      </w:r>
      <w:r>
        <w:rPr>
          <w:rFonts w:ascii="Consolas" w:hAnsi="Consolas" w:eastAsia="Consolas"/>
          <w:sz w:val="18"/>
        </w:rPr>
        <w:t xml:space="preserve">  -&gt; Verilog 板级顶层</w:t>
        <w:br/>
      </w:r>
      <w:r>
        <w:rPr>
          <w:rFonts w:ascii="Consolas" w:hAnsi="Consolas" w:eastAsia="Consolas"/>
          <w:sz w:val="18"/>
        </w:rPr>
        <w:t xml:space="preserve">  -&gt; TFT 时钟与 800x480 时序</w:t>
        <w:br/>
      </w:r>
      <w:r>
        <w:rPr>
          <w:rFonts w:ascii="Consolas" w:hAnsi="Consolas" w:eastAsia="Consolas"/>
          <w:sz w:val="18"/>
        </w:rPr>
        <w:t xml:space="preserve">  -&gt; 帧缓冲读地址映射</w:t>
        <w:br/>
      </w:r>
      <w:r>
        <w:rPr>
          <w:rFonts w:ascii="Consolas" w:hAnsi="Consolas" w:eastAsia="Consolas"/>
          <w:sz w:val="18"/>
        </w:rPr>
        <w:t xml:space="preserve">  -&gt; VHDL 扁平化核心封装</w:t>
        <w:br/>
      </w:r>
      <w:r>
        <w:rPr>
          <w:rFonts w:ascii="Consolas" w:hAnsi="Consolas" w:eastAsia="Consolas"/>
          <w:sz w:val="18"/>
        </w:rPr>
        <w:t xml:space="preserve">  -&gt; FmcPGA 渲染/控制/地图/纹理管线</w:t>
        <w:br/>
      </w:r>
      <w:r>
        <w:rPr>
          <w:rFonts w:ascii="Consolas" w:hAnsi="Consolas" w:eastAsia="Consolas"/>
          <w:sz w:val="18"/>
        </w:rPr>
        <w:t xml:space="preserve">  -&gt; 320x240 RGB444 双缓冲</w:t>
        <w:br/>
      </w:r>
      <w:r>
        <w:rPr>
          <w:rFonts w:ascii="Consolas" w:hAnsi="Consolas" w:eastAsia="Consolas"/>
          <w:sz w:val="18"/>
        </w:rPr>
        <w:t xml:space="preserve">  -&gt; 手持方块 HUD 叠加</w:t>
        <w:br/>
      </w:r>
      <w:r>
        <w:rPr>
          <w:rFonts w:ascii="Consolas" w:hAnsi="Consolas" w:eastAsia="Consolas"/>
          <w:sz w:val="18"/>
        </w:rPr>
        <w:t xml:space="preserve">  -&gt; RGB444 到 RGB323 转换</w:t>
        <w:br/>
      </w:r>
      <w:r>
        <w:rPr>
          <w:rFonts w:ascii="Consolas" w:hAnsi="Consolas" w:eastAsia="Consolas"/>
          <w:sz w:val="18"/>
        </w:rPr>
        <w:t xml:space="preserve">  -&gt; TFT RGB323 输出</w:t>
        <w:br/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该架构的优点是迁移风险低。FmcPGA 渲染管线包含坐标计算、射线步进、地图读取、纹理采样和颜色累积，若一次性全部重写为 Verilog，容易引入算法错误和时序问题。因此项目先保留已验证的 VHDL 核心，把与开发板相关的输入输出、显示适配和工程自动化放在外围实现。</w:t>
      </w:r>
    </w:p>
    <w:p>
      <w:pPr>
        <w:pStyle w:val="Heading2"/>
      </w:pPr>
      <w:r>
        <w:rPr>
          <w:color w:val="000000"/>
        </w:rPr>
        <w:t>3.2 数据流设计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渲染核心在管线时钟下根据玩家位置、视角、地图和纹理数据生成 320x240 RGB444 帧缓冲。TFT 像素时钟独立工作，以 800x480 扫描可视区域。读映射模块根据当前 TFT 像素坐标计算源帧缓冲地址，在有效区域内读取对应 RGB444 像素，在左右边界输出黑色。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当前显示映射规则为：</w:t>
      </w:r>
    </w:p>
    <w:p>
      <w:pPr>
        <w:spacing w:after="120"/>
        <w:ind w:left="397"/>
      </w:pPr>
      <w:r>
        <w:rPr>
          <w:rFonts w:ascii="Consolas" w:hAnsi="Consolas" w:eastAsia="Consolas"/>
          <w:sz w:val="18"/>
        </w:rPr>
        <w:t>if 80 &lt;= pix_x &lt; 720 and pix_y &lt; 480:</w:t>
        <w:br/>
      </w:r>
      <w:r>
        <w:rPr>
          <w:rFonts w:ascii="Consolas" w:hAnsi="Consolas" w:eastAsia="Consolas"/>
          <w:sz w:val="18"/>
        </w:rPr>
        <w:t xml:space="preserve">    src_x = (pix_x - 80) &gt;&gt; 1</w:t>
        <w:br/>
      </w:r>
      <w:r>
        <w:rPr>
          <w:rFonts w:ascii="Consolas" w:hAnsi="Consolas" w:eastAsia="Consolas"/>
          <w:sz w:val="18"/>
        </w:rPr>
        <w:t xml:space="preserve">    src_y = 239 - (pix_y &gt;&gt; 1)</w:t>
        <w:br/>
      </w:r>
      <w:r>
        <w:rPr>
          <w:rFonts w:ascii="Consolas" w:hAnsi="Consolas" w:eastAsia="Consolas"/>
          <w:sz w:val="18"/>
        </w:rPr>
        <w:t xml:space="preserve">    addr = src_y * 320 + src_x</w:t>
        <w:br/>
      </w:r>
      <w:r>
        <w:rPr>
          <w:rFonts w:ascii="Consolas" w:hAnsi="Consolas" w:eastAsia="Consolas"/>
          <w:sz w:val="18"/>
        </w:rPr>
        <w:t>else:</w:t>
        <w:br/>
      </w:r>
      <w:r>
        <w:rPr>
          <w:rFonts w:ascii="Consolas" w:hAnsi="Consolas" w:eastAsia="Consolas"/>
          <w:sz w:val="18"/>
        </w:rPr>
        <w:t xml:space="preserve">    output black</w:t>
        <w:br/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 xml:space="preserve">其中 </w:t>
      </w:r>
      <w:r>
        <w:rPr>
          <w:rFonts w:ascii="Consolas" w:hAnsi="Consolas" w:eastAsia="Consolas"/>
          <w:sz w:val="21"/>
        </w:rPr>
        <w:t>src_y</w:t>
      </w:r>
      <w:r>
        <w:rPr>
          <w:rFonts w:ascii="宋体" w:hAnsi="宋体" w:eastAsia="宋体"/>
          <w:sz w:val="21"/>
        </w:rPr>
        <w:t xml:space="preserve"> 采用翻转处理，用于匹配最终 TFT 显示方向。读取出的 RGB444 像素先经过手持方块 HUD 叠加，再经过 RGB323 截断输出到 TFT。</w:t>
      </w:r>
    </w:p>
    <w:p>
      <w:pPr>
        <w:pStyle w:val="Heading2"/>
      </w:pPr>
      <w:r>
        <w:rPr>
          <w:color w:val="000000"/>
        </w:rPr>
        <w:t>3.3 控制流设计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 xml:space="preserve">用户通过 Minisys 按键和拨码开关完成交互。S1-S4 在 </w:t>
      </w:r>
      <w:r>
        <w:rPr>
          <w:rFonts w:ascii="Consolas" w:hAnsi="Consolas" w:eastAsia="Consolas"/>
          <w:sz w:val="21"/>
        </w:rPr>
        <w:t>sw[6]=0</w:t>
      </w:r>
      <w:r>
        <w:rPr>
          <w:rFonts w:ascii="宋体" w:hAnsi="宋体" w:eastAsia="宋体"/>
          <w:sz w:val="21"/>
        </w:rPr>
        <w:t xml:space="preserve"> 时作为移动控制，在 </w:t>
      </w:r>
      <w:r>
        <w:rPr>
          <w:rFonts w:ascii="Consolas" w:hAnsi="Consolas" w:eastAsia="Consolas"/>
          <w:sz w:val="21"/>
        </w:rPr>
        <w:t>sw[6]=1</w:t>
      </w:r>
      <w:r>
        <w:rPr>
          <w:rFonts w:ascii="宋体" w:hAnsi="宋体" w:eastAsia="宋体"/>
          <w:sz w:val="21"/>
        </w:rPr>
        <w:t xml:space="preserve"> 时作为视角控制。S5 是动作按键，</w:t>
      </w:r>
      <w:r>
        <w:rPr>
          <w:rFonts w:ascii="Consolas" w:hAnsi="Consolas" w:eastAsia="Consolas"/>
          <w:sz w:val="21"/>
        </w:rPr>
        <w:t>sw[5]</w:t>
      </w:r>
      <w:r>
        <w:rPr>
          <w:rFonts w:ascii="宋体" w:hAnsi="宋体" w:eastAsia="宋体"/>
          <w:sz w:val="21"/>
        </w:rPr>
        <w:t xml:space="preserve"> 决定动作模式，</w:t>
      </w:r>
      <w:r>
        <w:rPr>
          <w:rFonts w:ascii="Consolas" w:hAnsi="Consolas" w:eastAsia="Consolas"/>
          <w:sz w:val="21"/>
        </w:rPr>
        <w:t>sw[4:0]</w:t>
      </w:r>
      <w:r>
        <w:rPr>
          <w:rFonts w:ascii="宋体" w:hAnsi="宋体" w:eastAsia="宋体"/>
          <w:sz w:val="21"/>
        </w:rPr>
        <w:t xml:space="preserve"> 决定放置方块类型。为了避免连续误触发，S5 在 VHDL 核心中经过按键去抖、跨时钟同步和上升沿检测，最终形成单周期动作脉冲。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控制项</w:t>
            </w:r>
          </w:p>
        </w:tc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功能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S1/S2/S3/S4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移动模式下控制右/左/前/后，视角模式下控制左右/上下视角。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S5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执行一次方块操作。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S6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复位。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`sw[4:0]`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选择方块 ID，推荐范围 0 到 23。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`sw[5]`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选择放置或挖掘。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`sw[6]`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选择移动模式或视角模式。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`sw[7]`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背景音乐静音。</w:t>
            </w:r>
          </w:p>
        </w:tc>
      </w:tr>
    </w:tbl>
    <w:p/>
    <w:p>
      <w:pPr>
        <w:pStyle w:val="Heading2"/>
      </w:pPr>
      <w:r>
        <w:rPr>
          <w:color w:val="000000"/>
        </w:rPr>
        <w:t>3.4 时钟域设计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系统主要包含三个时钟域：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时钟域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来源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`sys_clk`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Minisys 100 MHz 输入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顶层逻辑、蜂鸣器、PLL 输入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`pll_clk`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TFT PLL 输出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800x480 TFT 扫描与帧缓冲读取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`pll_clk_1`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渲染管线 PLL 输出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体素渲染管线、控制和存储访问</w:t>
            </w:r>
          </w:p>
        </w:tc>
      </w:tr>
    </w:tbl>
    <w:p/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约束文件中将这些时钟设置为异步时钟组，避免 Vivado 对不应按同步单周期分析的跨时钟路径进行错误收敛。显示双缓冲模块承担渲染写时钟和 TFT 读时钟之间的数据边界。</w:t>
      </w:r>
    </w:p>
    <w:p>
      <w:pPr>
        <w:pStyle w:val="Heading1"/>
      </w:pPr>
      <w:r>
        <w:rPr>
          <w:color w:val="000000"/>
        </w:rPr>
        <w:t>4. 主要模块设计</w:t>
      </w:r>
    </w:p>
    <w:p>
      <w:pPr>
        <w:pStyle w:val="Heading2"/>
      </w:pPr>
      <w:r>
        <w:rPr>
          <w:color w:val="000000"/>
        </w:rPr>
        <w:t>4.1 板级顶层模块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正式板级顶层负责将工程与 Minisys 硬件平台连接起来，主要职责包括：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接收 </w:t>
      </w:r>
      <w:r>
        <w:rPr>
          <w:rFonts w:ascii="Consolas" w:hAnsi="Consolas" w:eastAsia="Consolas"/>
          <w:sz w:val="21"/>
        </w:rPr>
        <w:t>clk_100m</w:t>
      </w:r>
      <w:r>
        <w:rPr>
          <w:rFonts w:ascii="宋体" w:hAnsi="宋体" w:eastAsia="宋体"/>
          <w:sz w:val="21"/>
        </w:rPr>
        <w:t xml:space="preserve">、S1-S6 和 </w:t>
      </w:r>
      <w:r>
        <w:rPr>
          <w:rFonts w:ascii="Consolas" w:hAnsi="Consolas" w:eastAsia="Consolas"/>
          <w:sz w:val="21"/>
        </w:rPr>
        <w:t>sw[23:0]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例化 TFT 时钟和时序模块。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例化 FmcPGA 扁平化 VHDL 核心。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连接帧缓冲读地址、读使能和 RGB444 数据。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例化手持方块 HUD 叠加模块。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例化 RGB444 到 RGB323 颜色转换模块。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例化蜂鸣器音频模块。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输出 TFT、LED、数码管关闭信号和蜂鸣器信号。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该模块是板级接口与核心算法之间的集成点，也是工程约束、测试映射和硬件调试的主要观察对象。</w:t>
      </w:r>
    </w:p>
    <w:p>
      <w:pPr>
        <w:pStyle w:val="Heading2"/>
      </w:pPr>
      <w:r>
        <w:rPr>
          <w:color w:val="000000"/>
        </w:rPr>
        <w:t>4.2 VHDL 核心扁平化封装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VHDL 扁平化封装模块的作用是把 FmcPGA 核心从原始顶层中抽离出来，并以简单端口暴露给 Verilog 顶层。原工程中存在 VHDL record 类型、VGA 输出、PS2 手柄接口和七段数码管接口，不适合直接作为 Verilog 顶层实例化对象。扁平化封装保留渲染、地图修改、玩家状态和显示缓冲的核心功能，去除与本开发板不匹配的接口。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该模块还实现了按键控制重映射、视角模式、动作单脉冲、放置/挖掘选择和帧缓冲读接口，是本项目移植成功的关键模块。</w:t>
      </w:r>
    </w:p>
    <w:p>
      <w:pPr>
        <w:pStyle w:val="Heading2"/>
      </w:pPr>
      <w:r>
        <w:rPr>
          <w:color w:val="000000"/>
        </w:rPr>
        <w:t>4.3 TFT 显示模块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TFT 显示链路由时钟生成、时序扫描、读地址映射和颜色转换组成。时序模块产生 800x480 扫描坐标、同步信号和视频有效信号。读映射模块将 800x480 的像素坐标映射到 320x240 源帧缓冲地址。颜色转换模块负责将 RGB444 转换为 TFT 的 8 位 RGB323 接口。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 xml:space="preserve">正式顶层对 </w:t>
      </w:r>
      <w:r>
        <w:rPr>
          <w:rFonts w:ascii="Consolas" w:hAnsi="Consolas" w:eastAsia="Consolas"/>
          <w:sz w:val="21"/>
        </w:rPr>
        <w:t>video_on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hsync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vsync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21"/>
        </w:rPr>
        <w:t>src_active</w:t>
      </w:r>
      <w:r>
        <w:rPr>
          <w:rFonts w:ascii="宋体" w:hAnsi="宋体" w:eastAsia="宋体"/>
          <w:sz w:val="21"/>
        </w:rPr>
        <w:t xml:space="preserve"> 进行寄存，用来匹配 RAM 读延迟和颜色输出时序。TFT 时钟输出采用调试后确定的相位连接方式，保证显示稳定。</w:t>
      </w:r>
    </w:p>
    <w:p>
      <w:pPr>
        <w:pStyle w:val="Heading2"/>
      </w:pPr>
      <w:r>
        <w:rPr>
          <w:color w:val="000000"/>
        </w:rPr>
        <w:t>4.4 渲染管线与存储模块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FmcPGA 渲染核心包含视口扫描、管线入口、管线处理、地图读取、纹理读取、颜色累积和帧缓冲写入。主要数据资源如下：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数据资源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实现方式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地图数据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RAM + MEM 初始化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保存世界方块类型，并支持写入修改。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纹理数据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ROM + MEM 初始化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保存方块纹理颜色。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纹理索引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ROM + MEM 初始化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将方块 ID 映射到纹理 ID。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显示帧缓冲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双缓冲 RAM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保存 320x240 RGB444 帧。</w:t>
            </w:r>
          </w:p>
        </w:tc>
      </w:tr>
    </w:tbl>
    <w:p/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 xml:space="preserve">源码级 RAM/ROM 替代原 Vivado IP，提升了工程可读性和可复现性。该方式也带来一些性能取舍，尤其是 divider 替代模块使用组合 </w:t>
      </w:r>
      <w:r>
        <w:rPr>
          <w:rFonts w:ascii="Consolas" w:hAnsi="Consolas" w:eastAsia="Consolas"/>
          <w:sz w:val="21"/>
        </w:rPr>
        <w:t>/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21"/>
        </w:rPr>
        <w:t>%</w:t>
      </w:r>
      <w:r>
        <w:rPr>
          <w:rFonts w:ascii="宋体" w:hAnsi="宋体" w:eastAsia="宋体"/>
          <w:sz w:val="21"/>
        </w:rPr>
        <w:t>，会增加综合与时序压力。</w:t>
      </w:r>
    </w:p>
    <w:p>
      <w:pPr>
        <w:pStyle w:val="Heading2"/>
      </w:pPr>
      <w:r>
        <w:rPr>
          <w:color w:val="000000"/>
        </w:rPr>
        <w:t>4.5 音频与 HUD 模块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蜂鸣器模块使用 100 MHz 主时钟产生方波音频，内部包含背景音乐节拍计数、音符选择、交互音效计数和音效优先级控制。放置和挖掘使用不同音效，放置音效还会根据方块 ID 低位产生差异。</w:t>
      </w:r>
      <w:r>
        <w:rPr>
          <w:rFonts w:ascii="Consolas" w:hAnsi="Consolas" w:eastAsia="Consolas"/>
          <w:sz w:val="21"/>
        </w:rPr>
        <w:t>sw[7]</w:t>
      </w:r>
      <w:r>
        <w:rPr>
          <w:rFonts w:ascii="宋体" w:hAnsi="宋体" w:eastAsia="宋体"/>
          <w:sz w:val="21"/>
        </w:rPr>
        <w:t xml:space="preserve"> 可关闭背景音乐，但不会关闭交互音效。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手持方块 HUD 模块在 TFT 像素坐标位于右下角区域时，用所选方块颜色覆盖原 RGB444 像素，绘制一个简化立体方块。该模块不影响核心渲染帧缓冲，只在输出阶段叠加，因此对核心管线侵入较小。</w:t>
      </w:r>
    </w:p>
    <w:p>
      <w:pPr>
        <w:pStyle w:val="Heading1"/>
      </w:pPr>
      <w:r>
        <w:rPr>
          <w:color w:val="000000"/>
        </w:rPr>
        <w:t>5. 工程实现与约束分析</w:t>
      </w:r>
    </w:p>
    <w:p>
      <w:pPr>
        <w:pStyle w:val="Heading2"/>
      </w:pPr>
      <w:r>
        <w:rPr>
          <w:color w:val="000000"/>
        </w:rPr>
        <w:t>5.1 工程结构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目录</w:t>
            </w:r>
          </w:p>
        </w:tc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`rtl/top/`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正式顶层和 smoke test 顶层。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`rtl/tft/`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TFT 时钟与时序。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`rtl/adapter/`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显示映射、颜色转换、HUD 叠加。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`rtl/audio/`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蜂鸣器音频。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`rtl/ip_replacements/`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源码级 IP 替代模块。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`rtl/vhdl/`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FmcPGA 核心扁平化封装。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`vendor/FmcPGA/`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FmcPGA VHDL 源码和资源。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`mem/`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由 COE 转换得到的 MEM 初始化文件。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`constraints/`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Minisys XDC 约束。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`scripts/`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Vivado Tcl 和 PowerShell 自动化脚本。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`docs/`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需求、测试、设计、构建和报告材料。</w:t>
            </w:r>
          </w:p>
        </w:tc>
      </w:tr>
    </w:tbl>
    <w:p/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 xml:space="preserve">正式工程创建入口为 </w:t>
      </w:r>
      <w:r>
        <w:rPr>
          <w:rFonts w:ascii="Consolas" w:hAnsi="Consolas" w:eastAsia="Consolas"/>
          <w:sz w:val="21"/>
        </w:rPr>
        <w:t>create_fmcpga_tft_project.tcl</w:t>
      </w:r>
      <w:r>
        <w:rPr>
          <w:rFonts w:ascii="宋体" w:hAnsi="宋体" w:eastAsia="宋体"/>
          <w:sz w:val="21"/>
        </w:rPr>
        <w:t xml:space="preserve">，正式构建入口为 </w:t>
      </w:r>
      <w:r>
        <w:rPr>
          <w:rFonts w:ascii="Consolas" w:hAnsi="Consolas" w:eastAsia="Consolas"/>
          <w:sz w:val="21"/>
        </w:rPr>
        <w:t>run_fmcpga_tft_build.tcl</w:t>
      </w:r>
      <w:r>
        <w:rPr>
          <w:rFonts w:ascii="宋体" w:hAnsi="宋体" w:eastAsia="宋体"/>
          <w:sz w:val="21"/>
        </w:rPr>
        <w:t>。脚本化构建使工程可复现，也便于报告验收时说明构建过程。</w:t>
      </w:r>
    </w:p>
    <w:p>
      <w:pPr>
        <w:pStyle w:val="Heading2"/>
      </w:pPr>
      <w:r>
        <w:rPr>
          <w:color w:val="000000"/>
        </w:rPr>
        <w:t>5.2 板级引脚约束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Minisys 约束文件指定目标板级接口，核心约束包括：</w:t>
      </w:r>
    </w:p>
    <w:p>
      <w:pPr>
        <w:spacing w:line="300" w:lineRule="auto" w:after="60"/>
        <w:ind w:left="420" w:hanging="0"/>
      </w:pPr>
      <w:r>
        <w:rPr>
          <w:rFonts w:ascii="Consolas" w:hAnsi="Consolas" w:eastAsia="Consolas"/>
          <w:sz w:val="21"/>
        </w:rPr>
        <w:t>clk_100m</w:t>
      </w:r>
      <w:r>
        <w:rPr>
          <w:rFonts w:ascii="宋体" w:hAnsi="宋体" w:eastAsia="宋体"/>
          <w:sz w:val="21"/>
        </w:rPr>
        <w:t xml:space="preserve"> 位于 Y18，采用 LVCMOS33，周期 10 ns。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S1-S6 分别映射到 Minisys 对应按键引脚。</w:t>
      </w:r>
    </w:p>
    <w:p>
      <w:pPr>
        <w:spacing w:line="300" w:lineRule="auto" w:after="60"/>
        <w:ind w:left="420" w:hanging="0"/>
      </w:pPr>
      <w:r>
        <w:rPr>
          <w:rFonts w:ascii="Consolas" w:hAnsi="Consolas" w:eastAsia="Consolas"/>
          <w:sz w:val="21"/>
        </w:rPr>
        <w:t>sw[23:0]</w:t>
      </w:r>
      <w:r>
        <w:rPr>
          <w:rFonts w:ascii="宋体" w:hAnsi="宋体" w:eastAsia="宋体"/>
          <w:sz w:val="21"/>
        </w:rPr>
        <w:t>、三组 LED、数码管、蜂鸣器和 TFT 信号均绑定到开发板对应引脚。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TFT 使用 RGB323、</w:t>
      </w:r>
      <w:r>
        <w:rPr>
          <w:rFonts w:ascii="Consolas" w:hAnsi="Consolas" w:eastAsia="Consolas"/>
          <w:sz w:val="21"/>
        </w:rPr>
        <w:t>TFT_CLK_O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TFT_DE_O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TFT_HSYNC_O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TFT_VSYNC_O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TFT_ADJ_O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TFT_MODE_O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全部板级普通 IO 使用 LVCMOS33。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配置电压设置为 3.3 V，</w:t>
      </w:r>
      <w:r>
        <w:rPr>
          <w:rFonts w:ascii="Consolas" w:hAnsi="Consolas" w:eastAsia="Consolas"/>
          <w:sz w:val="21"/>
        </w:rPr>
        <w:t>CFGBVS</w:t>
      </w:r>
      <w:r>
        <w:rPr>
          <w:rFonts w:ascii="宋体" w:hAnsi="宋体" w:eastAsia="宋体"/>
          <w:sz w:val="21"/>
        </w:rPr>
        <w:t xml:space="preserve"> 设置为 </w:t>
      </w:r>
      <w:r>
        <w:rPr>
          <w:rFonts w:ascii="Consolas" w:hAnsi="Consolas" w:eastAsia="Consolas"/>
          <w:sz w:val="21"/>
        </w:rPr>
        <w:t>VCCO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这些约束决定了工程只能直接运行在指定 Minisys 硬件环境上。如果更换开发板或 TFT 接口，需要重新审阅引脚、电平标准、时钟输入、TFT 时序和配置存储器型号。</w:t>
      </w:r>
    </w:p>
    <w:p>
      <w:pPr>
        <w:pStyle w:val="Heading2"/>
      </w:pPr>
      <w:r>
        <w:rPr>
          <w:color w:val="000000"/>
        </w:rPr>
        <w:t>5.3 时钟与跨时钟约束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工程创建 100 MHz 系统时钟，并将系统时钟、TFT 时钟和渲染管线时钟设置为异步时钟组。这一约束的工程含义是：三个时钟域在物理上可能有关联，但逻辑上不应按同步单周期路径进行直接分析。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跨时钟数据主要通过显示双缓冲读写边界处理。渲染管线写入帧缓冲，TFT 像素时钟读取帧缓冲。按钮输入由去抖模块在管线时钟域处理，S5 动作信号进一步同步和脉冲化。这些设计降低了跨时钟误判和亚稳态传播风险，但仍建议后续对所有跨域边界补充专门 CDC 审查。</w:t>
      </w:r>
    </w:p>
    <w:p>
      <w:pPr>
        <w:pStyle w:val="Heading2"/>
      </w:pPr>
      <w:r>
        <w:rPr>
          <w:color w:val="000000"/>
        </w:rPr>
        <w:t>5.4 工程约束的影响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工程约束对实现产生了以下影响：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显示接口固定为 800x480 RGB323，因此必须进行源帧缩放、居中和颜色截断。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片上资源有限，地图、纹理和双帧缓冲占用较多 BRAM。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目标器件为 Artix-7 系列，DSP 和 BRAM 可以支撑体素渲染，但需要关注长组合路径和乘除法代价。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Vivado 2018.3 对 VHDL 2008、混合语言和部分现代写法支持不如新版本，需要显式设置文件类型和编译顺序。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课程演示需要可复现构建，因此脚本优先从源码重建工程，这牺牲了部分增量构建速度。</w:t>
      </w:r>
    </w:p>
    <w:p>
      <w:pPr>
        <w:pStyle w:val="Heading1"/>
      </w:pPr>
      <w:r>
        <w:rPr>
          <w:color w:val="000000"/>
        </w:rPr>
        <w:t>6. 测试与验证</w:t>
      </w:r>
    </w:p>
    <w:p>
      <w:pPr>
        <w:pStyle w:val="Heading2"/>
      </w:pPr>
      <w:r>
        <w:rPr>
          <w:color w:val="000000"/>
        </w:rPr>
        <w:t>6.1 测试体系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本项目测试分为单元测试、集成测试、半自动化硬件测试和人工硬件测试四类。自动化测试用于快速检查源码、控制映射、显示流水和构建结果；人工测试用于验证必须由人眼、人耳或物理操作确认的显示、按键、音频和上电启动现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分类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典型用例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仓库已提供脚本，可直接运行并给出通过/失败结果。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源码完整性、控制映射、显示流水、构建脚本。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当前可继续补充仿真或 CI，不依赖人工观察。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RAM/ROM、divider、TFT mapper、audio testbench。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半自动化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命令可脚本化，但需要硬件连接和状态确认。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JTAG 下载、SPI Flash 烧录、Flash verify。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需要人眼、人耳、人手或断电重启操作。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TFT 画面、按键交互、蜂鸣器听感、Flash 上电启动。</w:t>
            </w:r>
          </w:p>
        </w:tc>
      </w:tr>
    </w:tbl>
    <w:p/>
    <w:p>
      <w:pPr>
        <w:pStyle w:val="Heading2"/>
      </w:pPr>
      <w:r>
        <w:rPr>
          <w:color w:val="000000"/>
        </w:rPr>
        <w:t>6.2 单元测试用例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测试对象</w:t>
            </w:r>
          </w:p>
        </w:tc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测试内容</w:t>
            </w:r>
          </w:p>
        </w:tc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覆盖需求</w:t>
            </w:r>
          </w:p>
        </w:tc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自动化属性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UT-TFT-01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TFT 时序模块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800x480 可视区、行/场计数、`video_on`、同步信号。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ER-05, FR-04, NFR-05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UT-TFT-02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TFT 时钟模块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100 MHz 输入下产生像素时钟和 `locked` 信号。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ER-04, FR-04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UT-ADP-01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显示读映射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验证左右黑边、2 倍放大、地址计算和 Y 翻转。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FR-05, DR-05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已部分自动化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UT-ADP-02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颜色转换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RGB444 到 RGB323 高位截断。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FR-06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UT-ADP-03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HUD 叠加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HUD 区域判断和不同方块 ID 的颜色显示。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FR-10, FR-15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UT-AUD-01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背景音乐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验证节拍计数、音符序列和静音控制。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FR-16, FR-18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UT-AUD-02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交互音效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S5 上升沿触发音效，且音效优先级高于背景音乐。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FR-17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UT-IP-01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 RAM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验证双端口读写和一拍读延迟。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FR-20, DR-05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UT-IP-02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地图 RAM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验证初始化、读端口、写端口和放置/挖掘写回。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FR-21, DR-01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UT-IP-03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纹理 ROM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验证纹理数据初始化和地址读出。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FR-21, DR-02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UT-IP-04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纹理索引 ROM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验证方块 ID 到纹理 ID 的索引读出。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FR-21, DR-03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UT-IP-05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divider 替代模块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验证接口协议、除法结果和边界行为。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UT-VHDL-01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去抖按键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验证毛刺过滤和稳定按下输出。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UT-VHDL-02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玩家状态更新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验证移动、视角和当前物品更新。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FR-08, FR-09, DR-04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UT-VHDL-03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地图修改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验证放置和挖掘对应的写使能、写地址和写数据。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FR-11, FR-12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UT-VHDL-04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准星目标寄存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验证目标方块、命中面和相邻放置位置。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UT-VHDL-05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扁平化核心封装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验证动作单脉冲、移动/视角模式和帧缓冲读接口。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FR-03, FR-13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已部分自动化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UT-TOP-01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正式顶层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验证顶层端口、XDC、核心、TFT、音频和 LED 接线一致。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FR-02, FR-27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UT-TOP-02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smoke test 顶层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验证不接入完整核心时显示链路可综合。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FR-07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</w:tbl>
    <w:p/>
    <w:p>
      <w:pPr>
        <w:pStyle w:val="Heading2"/>
      </w:pPr>
      <w:r>
        <w:rPr>
          <w:color w:val="000000"/>
        </w:rPr>
        <w:t>6.3 集成测试用例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测试名称</w:t>
            </w:r>
          </w:p>
        </w:tc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测试目标</w:t>
            </w:r>
          </w:p>
        </w:tc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覆盖需求</w:t>
            </w:r>
          </w:p>
        </w:tc>
        <w:tc>
          <w:tcPr>
            <w:tcW w:type="dxa" w:w="19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自动化属性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源码完整性检查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确认必要 RTL、资源、约束和脚本文件存在。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FR-20, FR-21, FR-22, FR-27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控制映射检查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确认 S1-S5、`sw[4:0]`、`sw[5]`、`sw[6]` 接线符合需求。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FR-08 至 FR-13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显示流水检查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确认 TFT 同步、DE、active 和时钟输出符合当前显示方案。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FR-04 至 FR-06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调整项检查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确认 Y 翻转、移动/视角映射等调整已经落实。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FR-05, FR-08, FR-09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smoke test 工程综合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Verilog-only TFT 链路可以综合。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FR-07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IT-AUTO-06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正式工程创建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验证混合语言 Vivado 工程可重建。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FR-22, NFR-02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IT-AUTO-07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正式工程综合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验证完整系统可综合。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FR-01 至 FR-23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IT-AUTO-08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正式工程实现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验证完整系统可布局布线。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NFR-01, NFR-07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IT-AUTO-09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bitstream 生成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验证可生成可下载配置文件。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FR-23, FR-24, FR-25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IT-AUTO-10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时序检查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验证实现后时序满足约束。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NFR-01, NFR-05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IT-HYBRID-01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JTAG 临时下载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bitstream 可通过 JTAG 下载到 FPGA。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半自动化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IT-HYBRID-02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SPI Flash 烧录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bitstream 可转换为 MCS 并写入 Flash。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半自动化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IT-HYBRID-03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SPI Flash 校验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Flash 内容与 MCS 一致。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FR-26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半自动化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TFT 正式画面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观察正式 3D 场景是否居中、放大、颜色正常。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FR-01, FR-04, FR-05, FR-06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移动模式控制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验证移动模式下 S1-S4 方向正确。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FR-08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视角模式控制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验证视角模式下 S1-S4 旋转视角。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FR-09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方块选择与 HUD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`sw[4:0]` 改变后 HUD 随之变化。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FR-10, FR-15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放置方块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`sw[5]=0` 时 S5 放置所选方块。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IT-MAN-06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挖掘方块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`sw[5]=1` 时 S5 挖掘准星选中方块。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FR-12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IT-MAN-07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动作单次触发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验证短按或长按 S5 不会连续误触发。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FR-13, NFR-04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IT-MAN-08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准星目标反馈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验证目标高亮和实际操作位置一致。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FR-14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IT-MAN-09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背景音乐与音效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验证背景音乐、交互音效和静音功能。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FR-16, FR-17, FR-18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IT-MAN-10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LED 调试显示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 LED 随 FPS、物品和控制状态变化。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FR-19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IT-MAN-11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SPI Flash 上电启动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验证断电后从 Flash 自动启动系统。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FR-25, FR-26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需人工介入</w:t>
            </w:r>
          </w:p>
        </w:tc>
      </w:tr>
    </w:tbl>
    <w:p/>
    <w:p>
      <w:pPr>
        <w:pStyle w:val="Heading2"/>
      </w:pPr>
      <w:r>
        <w:rPr>
          <w:color w:val="000000"/>
        </w:rPr>
        <w:t>6.4 人工测试步骤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需要人工介入的测试用例如下：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TFT 正式画面测试：下载 bitstream 或从 Flash 启动；观察屏幕是否显示 Minecraft 风格 3D 场景；检查画面是否水平居中、左右黑边是否约 80 像素、颜色是否正常；等待数秒确认无持续闪烁或滚屏。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移动模式测试：设置 </w:t>
      </w:r>
      <w:r>
        <w:rPr>
          <w:rFonts w:ascii="Consolas" w:hAnsi="Consolas" w:eastAsia="Consolas"/>
          <w:sz w:val="21"/>
        </w:rPr>
        <w:t>sw[6]=0</w:t>
      </w:r>
      <w:r>
        <w:rPr>
          <w:rFonts w:ascii="宋体" w:hAnsi="宋体" w:eastAsia="宋体"/>
          <w:sz w:val="21"/>
        </w:rPr>
        <w:t>；依次按 S1、S2、S3、S4；确认画面分别表现为右移、左移、前进、后退；松开按键后运动停止。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视角模式测试：设置 </w:t>
      </w:r>
      <w:r>
        <w:rPr>
          <w:rFonts w:ascii="Consolas" w:hAnsi="Consolas" w:eastAsia="Consolas"/>
          <w:sz w:val="21"/>
        </w:rPr>
        <w:t>sw[6]=1</w:t>
      </w:r>
      <w:r>
        <w:rPr>
          <w:rFonts w:ascii="宋体" w:hAnsi="宋体" w:eastAsia="宋体"/>
          <w:sz w:val="21"/>
        </w:rPr>
        <w:t xml:space="preserve">；依次按 S1、S2、S3、S4；确认视角分别向右、向左、向上、向下变化；切回 </w:t>
      </w:r>
      <w:r>
        <w:rPr>
          <w:rFonts w:ascii="Consolas" w:hAnsi="Consolas" w:eastAsia="Consolas"/>
          <w:sz w:val="21"/>
        </w:rPr>
        <w:t>sw[6]=0</w:t>
      </w:r>
      <w:r>
        <w:rPr>
          <w:rFonts w:ascii="宋体" w:hAnsi="宋体" w:eastAsia="宋体"/>
          <w:sz w:val="21"/>
        </w:rPr>
        <w:t xml:space="preserve"> 后按键恢复移动功能。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方块选择与 HUD 测试：依次设置 </w:t>
      </w:r>
      <w:r>
        <w:rPr>
          <w:rFonts w:ascii="Consolas" w:hAnsi="Consolas" w:eastAsia="Consolas"/>
          <w:sz w:val="21"/>
        </w:rPr>
        <w:t>sw[4:0]</w:t>
      </w:r>
      <w:r>
        <w:rPr>
          <w:rFonts w:ascii="宋体" w:hAnsi="宋体" w:eastAsia="宋体"/>
          <w:sz w:val="21"/>
        </w:rPr>
        <w:t xml:space="preserve"> 为 0、1、2、3、5、10、15、23；观察右下角 HUD 是否随方块 ID 改变颜色或形态；非推荐 ID 不应导致画面异常。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放置方块测试：设置 </w:t>
      </w:r>
      <w:r>
        <w:rPr>
          <w:rFonts w:ascii="Consolas" w:hAnsi="Consolas" w:eastAsia="Consolas"/>
          <w:sz w:val="21"/>
        </w:rPr>
        <w:t>sw[5]=0</w:t>
      </w:r>
      <w:r>
        <w:rPr>
          <w:rFonts w:ascii="宋体" w:hAnsi="宋体" w:eastAsia="宋体"/>
          <w:sz w:val="21"/>
        </w:rPr>
        <w:t xml:space="preserve">；将准星对准可放置位置附近的方块表面；短按 S5；观察准星附近是否新增所选方块；改变 </w:t>
      </w:r>
      <w:r>
        <w:rPr>
          <w:rFonts w:ascii="Consolas" w:hAnsi="Consolas" w:eastAsia="Consolas"/>
          <w:sz w:val="21"/>
        </w:rPr>
        <w:t>sw[4:0]</w:t>
      </w:r>
      <w:r>
        <w:rPr>
          <w:rFonts w:ascii="宋体" w:hAnsi="宋体" w:eastAsia="宋体"/>
          <w:sz w:val="21"/>
        </w:rPr>
        <w:t xml:space="preserve"> 后再次放置并比较颜色。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挖掘方块测试：设置 </w:t>
      </w:r>
      <w:r>
        <w:rPr>
          <w:rFonts w:ascii="Consolas" w:hAnsi="Consolas" w:eastAsia="Consolas"/>
          <w:sz w:val="21"/>
        </w:rPr>
        <w:t>sw[5]=1</w:t>
      </w:r>
      <w:r>
        <w:rPr>
          <w:rFonts w:ascii="宋体" w:hAnsi="宋体" w:eastAsia="宋体"/>
          <w:sz w:val="21"/>
        </w:rPr>
        <w:t>；将准星对准可见方块；短按 S5；观察该方块是否消失；切回放置模式后确认行为改变。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动作单次触发测试：短按 S5 应只产生一次动作；长按 S5 约 2 秒不应连续快速放置或挖穿多个方块；保持 </w:t>
      </w:r>
      <w:r>
        <w:rPr>
          <w:rFonts w:ascii="Consolas" w:hAnsi="Consolas" w:eastAsia="Consolas"/>
          <w:sz w:val="21"/>
        </w:rPr>
        <w:t>sw[5]</w:t>
      </w:r>
      <w:r>
        <w:rPr>
          <w:rFonts w:ascii="宋体" w:hAnsi="宋体" w:eastAsia="宋体"/>
          <w:sz w:val="21"/>
        </w:rPr>
        <w:t xml:space="preserve"> 不动但不按 S5 时不应自动执行动作。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准星目标反馈测试：观察屏幕中心准星；将准星对准实体方块并确认目标反馈；对准天空或空区域时目标反馈应消失或不指向实体；操作对象应与反馈一致。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音频测试：</w:t>
      </w:r>
      <w:r>
        <w:rPr>
          <w:rFonts w:ascii="Consolas" w:hAnsi="Consolas" w:eastAsia="Consolas"/>
          <w:sz w:val="21"/>
        </w:rPr>
        <w:t>sw[7]=0</w:t>
      </w:r>
      <w:r>
        <w:rPr>
          <w:rFonts w:ascii="宋体" w:hAnsi="宋体" w:eastAsia="宋体"/>
          <w:sz w:val="21"/>
        </w:rPr>
        <w:t xml:space="preserve"> 时等待 3 到 5 秒，确认蜂鸣器有背景音乐；按 S5 确认有短音效；切换放置/挖掘确认音效可区分；</w:t>
      </w:r>
      <w:r>
        <w:rPr>
          <w:rFonts w:ascii="Consolas" w:hAnsi="Consolas" w:eastAsia="Consolas"/>
          <w:sz w:val="21"/>
        </w:rPr>
        <w:t>sw[7]=1</w:t>
      </w:r>
      <w:r>
        <w:rPr>
          <w:rFonts w:ascii="宋体" w:hAnsi="宋体" w:eastAsia="宋体"/>
          <w:sz w:val="21"/>
        </w:rPr>
        <w:t xml:space="preserve"> 时背景音乐静音但 S5 音效仍存在。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LED 测试：观察红、绿、黄 LED；拨动 </w:t>
      </w:r>
      <w:r>
        <w:rPr>
          <w:rFonts w:ascii="Consolas" w:hAnsi="Consolas" w:eastAsia="Consolas"/>
          <w:sz w:val="21"/>
        </w:rPr>
        <w:t>sw[7]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sw[6]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sw[5]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 w:eastAsia="Consolas"/>
          <w:sz w:val="21"/>
        </w:rPr>
        <w:t>sw[3:0]</w:t>
      </w:r>
      <w:r>
        <w:rPr>
          <w:rFonts w:ascii="宋体" w:hAnsi="宋体" w:eastAsia="宋体"/>
          <w:sz w:val="21"/>
        </w:rPr>
        <w:t>，确认对应 LED 状态变化；按下 S5 时动作状态位应变化。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Flash 上电启动测试：完成 Flash 烧录和 verify；关闭开发板电源；按开发板手册设置从 SPI Flash 启动；重新上电且不执行 JTAG 下载；确认 TFT 自动显示正式系统画面，并抽测按键和音频功能。</w:t>
      </w:r>
    </w:p>
    <w:p>
      <w:pPr>
        <w:pStyle w:val="Heading2"/>
      </w:pPr>
      <w:r>
        <w:rPr>
          <w:color w:val="000000"/>
        </w:rPr>
        <w:t>6.5 测试对需求的覆盖矩阵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覆盖测试用例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UR-01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IT-MAN-01 至 IT-MAN-09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UR-02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IT-AUTO-06, IT-AUTO-09, IT-HYBRID-01, IT-HYBRID-02, IT-HYBRID-03, IT-MAN-11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UR-03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IT-AUTO-01 至 IT-AUTO-10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UR-04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FR/UT/IT 编号表、覆盖矩阵、人工测试步骤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ER-01 至 ER-03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IT-AUTO-06, IT-AUTO-07, IT-AUTO-08, IT-HYBRID-01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ER-04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UT-TFT-02, UT-IP-01, IT-AUTO-10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ER-05 至 ER-06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UT-TFT-01, UT-ADP-01, UT-ADP-02, IT-MAN-01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ER-07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UT-AUD-01, UT-AUD-02, IT-MAN-09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ER-08 至 ER-09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IT-AUTO-06, IT-AUTO-07, UT-IP-02 至 UT-IP-04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FR-01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UT-VHDL-02 至 UT-VHDL-04, IT-AUTO-07, IT-MAN-01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FR-02 至 FR-03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UT-TOP-01, UT-VHDL-05, IT-AUTO-07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FR-04 至 FR-06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UT-TFT-01, UT-TFT-02, UT-ADP-01, UT-ADP-02, IT-AUTO-03, IT-MAN-01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FR-07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UT-TOP-02, IT-AUTO-05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FR-08 至 FR-09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UT-VHDL-02, UT-VHDL-05, IT-AUTO-02, IT-AUTO-04, IT-MAN-02, IT-MAN-03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FR-10 至 FR-15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UT-ADP-03, UT-VHDL-03 至 UT-VHDL-05, IT-AUTO-02, IT-MAN-04 至 IT-MAN-08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FR-16 至 FR-18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UT-AUD-01, UT-AUD-02, IT-MAN-09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FR-19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UT-TOP-01, IT-MAN-10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FR-20 至 FR-21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UT-IP-01 至 UT-IP-05, IT-AUTO-01, IT-AUTO-07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FR-22 至 FR-23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IT-AUTO-06 至 IT-AUTO-10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FR-24 至 FR-26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IT-HYBRID-01 至 IT-HYBRID-03, IT-MAN-11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FR-27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IT-AUTO-01 至 IT-AUTO-04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FR-28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报告材料完整性审阅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NFR-01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IT-AUTO-07, IT-AUTO-08, IT-AUTO-10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NFR-02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IT-AUTO-01, IT-AUTO-06, IT-AUTO-09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NFR-03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UT-TOP-01, UT-VHDL-05, UT-IP-01 至 UT-IP-05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NFR-04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UT-VHDL-01, IT-MAN-07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NFR-05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UT-TFT-01, UT-ADP-01, IT-AUTO-03, IT-MAN-01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NFR-06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UT-IP-02 至 UT-IP-04, IT-AUTO-07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NFR-07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板级约束审阅、IT-HYBRID-01, IT-MAN-11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DR-01 至 DR-06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UT-IP-02 至 UT-IP-04, UT-VHDL-02 至 UT-VHDL-04, IT-MAN-10</w:t>
            </w:r>
          </w:p>
        </w:tc>
      </w:tr>
    </w:tbl>
    <w:p/>
    <w:p>
      <w:pPr>
        <w:pStyle w:val="Heading2"/>
      </w:pPr>
      <w:r>
        <w:rPr>
          <w:color w:val="000000"/>
        </w:rPr>
        <w:t>6.6 当前验证结果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当前静态检查脚本运行结果均为通过：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源码完整性检查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控制映射检查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显示流水检查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请求调整项检查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</w:t>
            </w:r>
          </w:p>
        </w:tc>
      </w:tr>
    </w:tbl>
    <w:p/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Vivado 构建已经生成实现阶段资源报告和时序报告。实现后 timing summary 显示 setup、hold 和 pulse width 均无失败端点。综合后报告中曾出现 hold 相关提示，但 routed 实现后已收敛，因此最终验收以实现后报告为准。</w:t>
      </w:r>
    </w:p>
    <w:p>
      <w:pPr>
        <w:pStyle w:val="Heading1"/>
      </w:pPr>
      <w:r>
        <w:rPr>
          <w:color w:val="000000"/>
        </w:rPr>
        <w:t>7. 性能与质量指标分析</w:t>
      </w:r>
    </w:p>
    <w:p>
      <w:pPr>
        <w:pStyle w:val="Heading2"/>
      </w:pPr>
      <w:r>
        <w:rPr>
          <w:color w:val="000000"/>
        </w:rPr>
        <w:t>7.1 板子资源利用率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Vivado 实现后资源利用情况如下：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资源</w:t>
            </w:r>
          </w:p>
        </w:tc>
        <w:tc>
          <w:tcPr>
            <w:tcW w:type="dxa" w:w="2436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使用量</w:t>
            </w:r>
          </w:p>
        </w:tc>
        <w:tc>
          <w:tcPr>
            <w:tcW w:type="dxa" w:w="2436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可用量</w:t>
            </w:r>
          </w:p>
        </w:tc>
        <w:tc>
          <w:tcPr>
            <w:tcW w:type="dxa" w:w="2436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利用率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Slice LUTs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27,371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63,400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43.17%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Slice Registers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5,259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126,800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4.15%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Block RAM Tile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76.5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135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56.67%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DSP48E1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21.67%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Bonded IOB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285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24.56%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BUFGCTRL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9.38%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PLLE2_ADV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33.33%</w:t>
            </w:r>
          </w:p>
        </w:tc>
      </w:tr>
    </w:tbl>
    <w:p/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从数据可以看出，主要资源压力来自 BRAM，其次是 LUT 和 DSP。BRAM 使用超过一半，主要原因是系统需要保存地图、纹理、纹理索引和双显示帧缓冲。LUT 使用约 43%，说明体素渲染中的比较、选择、坐标计算和控制逻辑规模较大。DSP 使用约 22%，主要与坐标、射线、颜色和除法相关运算有关。寄存器利用率只有 4.15%，说明当前设计并不是寄存器受限，而是存储和组合计算受限。</w:t>
      </w:r>
    </w:p>
    <w:p>
      <w:pPr>
        <w:pStyle w:val="Heading2"/>
      </w:pPr>
      <w:r>
        <w:rPr>
          <w:color w:val="000000"/>
        </w:rPr>
        <w:t>7.2 时序性能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实现后时序报告中的关键结果如下：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路径类型</w:t>
            </w:r>
          </w:p>
        </w:tc>
        <w:tc>
          <w:tcPr>
            <w:tcW w:type="dxa" w:w="4873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最差情况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 MHz 系统时钟路径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Setup 最差余量约 3.077 ns，无失败端点。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TFT 读显示相关路径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Setup 余量较大，无失败端点。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渲染管线关键路径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Setup 最差余量约 0.979 ns，无失败端点。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Hold 检查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最差余量约 0.040 ns，无失败端点。</w:t>
            </w:r>
          </w:p>
        </w:tc>
      </w:tr>
    </w:tbl>
    <w:p/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最关键的路径位于渲染核心管线处理过程，数据路径延迟约 132.544 ns，逻辑级数达到 161 级，包含大量 CARRY4、LUT 和 3 个 DSP48E1。这说明渲染管线中仍存在较长组合计算链，虽然当前约束下能够通过时序，但余量不大，后续提升频率或扩大功能时需要优先优化该部分。</w:t>
      </w:r>
    </w:p>
    <w:p>
      <w:pPr>
        <w:pStyle w:val="Heading2"/>
      </w:pPr>
      <w:r>
        <w:rPr>
          <w:color w:val="000000"/>
        </w:rPr>
        <w:t>7.3 显示性能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显示侧采用 800x480 TFT 扫描，源帧为 320x240，显示时 2 倍放大为 640x480。该方案降低了渲染核心分辨率压力，同时充分利用 TFT 的垂直方向显示高度。左右黑边虽然降低了全屏利用率，但避免了非整数缩放导致的图像畸变和复杂插值逻辑，是适合 FPGA 课程设计的工程折中。</w:t>
      </w:r>
    </w:p>
    <w:p>
      <w:pPr>
        <w:pStyle w:val="Heading2"/>
      </w:pPr>
      <w:r>
        <w:rPr>
          <w:color w:val="000000"/>
        </w:rPr>
        <w:t>7.4 鲁棒性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显示鲁棒性主要来自三个设计点：TFT 扫描独立于渲染核心运行，源帧读取区域外输出黑色，同步信号、有效信号和源像素有效标志进行寄存以匹配 RAM 读延迟。潜在风险是跨时钟读写帧缓冲时可能出现短暂撕裂，但双缓冲边界能够降低该风险。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控制鲁棒性来自按键去抖和 S5 单周期动作脉冲。S5 的动作信号经过按键去抖、跨时钟同步和上升沿检测，解决了机械抖动和长按连续触发问题。</w:t>
      </w:r>
      <w:r>
        <w:rPr>
          <w:rFonts w:ascii="Consolas" w:hAnsi="Consolas" w:eastAsia="Consolas"/>
          <w:sz w:val="21"/>
        </w:rPr>
        <w:t>sw[5]</w:t>
      </w:r>
      <w:r>
        <w:rPr>
          <w:rFonts w:ascii="宋体" w:hAnsi="宋体" w:eastAsia="宋体"/>
          <w:sz w:val="21"/>
        </w:rPr>
        <w:t xml:space="preserve"> 只决定动作模式，不直接触发写地图，因此保持 </w:t>
      </w:r>
      <w:r>
        <w:rPr>
          <w:rFonts w:ascii="Consolas" w:hAnsi="Consolas" w:eastAsia="Consolas"/>
          <w:sz w:val="21"/>
        </w:rPr>
        <w:t>sw[5]=1</w:t>
      </w:r>
      <w:r>
        <w:rPr>
          <w:rFonts w:ascii="宋体" w:hAnsi="宋体" w:eastAsia="宋体"/>
          <w:sz w:val="21"/>
        </w:rPr>
        <w:t xml:space="preserve"> 不会持续挖掘。后续可进一步为拨码开关增加同步寄存器，以提高严格 CDC 审查下的安全性。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复位鲁棒性方面，系统使用按键复位与 PLL 锁定状态共同决定复位条件，保证 PLL 未锁定时逻辑保持复位。当前仍存在较多异步 reset，后续可逐步改为同步释放复位，以提升 DSP/BRAM packing 和 retiming 空间。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数据鲁棒性方面，地图、纹理和纹理索引由 MEM 文件初始化，不依赖外部软件服务。地图修改仅在有效目标和动作脉冲同时满足时写入，降低误写风险。推荐方块 ID 为 0 到 23，高于该范围的值应在后续通过保底纹理或边界检查进一步增强。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启动鲁棒性方面，工程同时支持 JTAG 临时下载和 SPI Flash 持久化烧录。Flash 流程包含写入、verify 和启动状态读取，便于区分 Flash 内容、配置跳线、启动模式和 bitstream 本身问题。</w:t>
      </w:r>
    </w:p>
    <w:p>
      <w:pPr>
        <w:pStyle w:val="Heading2"/>
      </w:pPr>
      <w:r>
        <w:rPr>
          <w:color w:val="000000"/>
        </w:rPr>
        <w:t>7.5 可维护性与可复现性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工程可维护性体现在边界清晰：板级顶层、TFT 时序、显示适配、音频、IP 替代、VHDL 核心封装和原始渲染管线职责明确。工程可复现性体现在脚本化：工程创建、构建、下载、Flash 烧录、Flash 校验和静态检查均有命令入口。主要不足是单元 testbench 尚不完整，当前更多依赖静态检查、构建报告和人工硬件测试，后续应优先补齐纯逻辑模块和关键控制模块仿真。</w:t>
      </w:r>
    </w:p>
    <w:p>
      <w:pPr>
        <w:pStyle w:val="Heading1"/>
      </w:pPr>
      <w:r>
        <w:rPr>
          <w:color w:val="000000"/>
        </w:rPr>
        <w:t>8. 综合与构建速度分析</w:t>
      </w:r>
    </w:p>
    <w:p>
      <w:pPr>
        <w:pStyle w:val="Heading2"/>
      </w:pPr>
      <w:r>
        <w:rPr>
          <w:color w:val="000000"/>
        </w:rPr>
        <w:t>8.1 实测构建耗时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Vivado 成功构建的主要阶段耗时如下：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elapsed 耗时</w:t>
            </w:r>
          </w:p>
        </w:tc>
        <w:tc>
          <w:tcPr>
            <w:tcW w:type="dxa" w:w="3249"/>
            <w:vAlign w:val="center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`synth_design`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约 2 分 53 秒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RTL elaboration、综合优化和技术映射。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`opt_design`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约 30 秒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实现前逻辑优化。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`place_design`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约 1 分 46 秒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布局和物理综合。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`route_design`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约 2 分 27 秒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布线、时序修复和 hold 修复。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`write_bitstream`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约 29 秒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bitstream 生成。</w:t>
            </w:r>
          </w:p>
        </w:tc>
      </w:tr>
    </w:tbl>
    <w:p/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这说明工程耗时不是单纯由综合造成的，实现阶段尤其是布局和布线同样占据明显时间。</w:t>
      </w:r>
    </w:p>
    <w:p>
      <w:pPr>
        <w:pStyle w:val="Heading2"/>
      </w:pPr>
      <w:r>
        <w:rPr>
          <w:color w:val="000000"/>
        </w:rPr>
        <w:t>8.2 综合速度较慢的原因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综合和实现耗时较长主要有四类原因。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第一，构建流程偏向全量重建。脚本使用强制创建工程和重置 run 的方式保证可复现性，但无法充分利用 Vivado 的增量编译能力。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第二，设计规模本身较大。项目不是简单控制电路，而是包含地图 RAM、纹理 ROM、双帧缓冲、视角计算、射线步进、颜色混合、TFT 输出和音频模块的完整图形系统。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 xml:space="preserve">第三，部分 HDL 写法偏算法描述。组合 </w:t>
      </w:r>
      <w:r>
        <w:rPr>
          <w:rFonts w:ascii="Consolas" w:hAnsi="Consolas" w:eastAsia="Consolas"/>
          <w:sz w:val="21"/>
        </w:rPr>
        <w:t>/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%</w:t>
      </w:r>
      <w:r>
        <w:rPr>
          <w:rFonts w:ascii="宋体" w:hAnsi="宋体" w:eastAsia="宋体"/>
          <w:sz w:val="21"/>
        </w:rPr>
        <w:t>、较宽 integer、record 运算和重载函数可读性较好，但综合器需要展开为大量硬件网络。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第四，关键路径较长。渲染核心关键路径达到 161 级逻辑，包含 CARRY4、LUT 和 DSP。长组合路径会让综合器和实现器在优化、布局和布线阶段做更多搜索。</w:t>
      </w:r>
    </w:p>
    <w:p>
      <w:pPr>
        <w:pStyle w:val="Heading2"/>
      </w:pPr>
      <w:r>
        <w:rPr>
          <w:color w:val="000000"/>
        </w:rPr>
        <w:t>8.3 综合速度改进方向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后续可从工程流程和 RTL 结构两方面优化：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区分“全量可复现构建”和“日常增量构建”，日常调试时优先打开已有工程。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非必要时避免重置综合和实现 run，保留中间结果。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引入 checkpoint 或 incremental implementation，让 Vivado 复用已布局布线结果。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使用多线程构建参数明确线程策略。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将组合 divider 替换为流水化 Divider Generator 或自定义多周期除法器。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将角度转换等长条件链改为 ROM 查表。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收紧 integer 位宽，使用明确的 </w:t>
      </w:r>
      <w:r>
        <w:rPr>
          <w:rFonts w:ascii="Consolas" w:hAnsi="Consolas" w:eastAsia="Consolas"/>
          <w:sz w:val="21"/>
        </w:rPr>
        <w:t>signed/unsigned</w:t>
      </w:r>
      <w:r>
        <w:rPr>
          <w:rFonts w:ascii="宋体" w:hAnsi="宋体" w:eastAsia="宋体"/>
          <w:sz w:val="21"/>
        </w:rPr>
        <w:t xml:space="preserve"> 定点宽度。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给 DSP 相关乘法链增加输入/输出流水寄存器。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减少异步 reset，提升 DSP/BRAM packing 和 retiming 空间。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对渲染管线继续拆分和加深流水，降低单级组合逻辑深度。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这些优化会在一定程度上增加设计复杂度，但可以降低综合和实现压力，提高未来扩展分辨率或帧率时的余量。</w:t>
      </w:r>
    </w:p>
    <w:p>
      <w:pPr>
        <w:pStyle w:val="Heading1"/>
      </w:pPr>
      <w:r>
        <w:rPr>
          <w:color w:val="000000"/>
        </w:rPr>
        <w:t>9. 工程审阅分析</w:t>
      </w:r>
    </w:p>
    <w:p>
      <w:pPr>
        <w:pStyle w:val="Heading2"/>
      </w:pPr>
      <w:r>
        <w:rPr>
          <w:color w:val="000000"/>
        </w:rPr>
        <w:t>9.1 工程优点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从工程审阅角度看，本项目有以下优点：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架构边界清晰：板级顶层、显示适配、音频、IP 替代和 VHDL 核心各自职责明确。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迁移路径稳健：先保留 VHDL 核心运行，再考虑后续 Verilog 转换，降低了一次性重写风险。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脚本化程度较高：工程创建、构建、下载、Flash 烧录、Flash 校验和静态检查均有脚本。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功能演示完整：不仅有画面，还有移动、视角、方块交互、HUD、音频和持久化启动。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需求与测试可追踪：需求编号、测试用例和覆盖矩阵能够支撑课程验收。</w:t>
      </w:r>
    </w:p>
    <w:p>
      <w:pPr>
        <w:pStyle w:val="Heading2"/>
      </w:pPr>
      <w:r>
        <w:rPr>
          <w:color w:val="000000"/>
        </w:rPr>
        <w:t>9.2 风险与不足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工程仍存在一些需要关注的风险：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混合语言增加调试门槛。VHDL record、Verilog 顶层和工具编译顺序都需要谨慎处理。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组合除法和长组合路径会增加综合、布线和时序风险。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异步 reset 较多，可能影响 DSP/BRAM 优化。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拨码输入未完全做同步处理，严格 CDC 审查下仍需补强。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单元 testbench 尚不完整，当前更多依赖静态检查、构建报告和人工硬件测试。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BRAM 使用率超过一半，后续扩展地图、纹理或分辨率时空间有限。</w:t>
      </w:r>
    </w:p>
    <w:p>
      <w:pPr>
        <w:pStyle w:val="Heading2"/>
      </w:pPr>
      <w:r>
        <w:rPr>
          <w:color w:val="000000"/>
        </w:rPr>
        <w:t>9.3 审阅建议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后续工程审阅可按以下顺序展开：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先审约束：确认引脚、电平、时钟、异步时钟组和配置电压正确。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再审接口：确认顶层端口、wrapper 端口、RAM/ROM 接口宽度和时钟方向一致。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再审 CDC：检查按键、拨码、显示读写、动作脉冲和复位释放。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再审时序：重点看渲染管线长路径和 hold 修复路径。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再审资源：重点关注 BRAM、DSP、LUT 的模块来源。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最后审测试：补齐 RAM/ROM、mapper、audio、divider 和核心 wrapper 的仿真。</w:t>
      </w:r>
    </w:p>
    <w:p>
      <w:pPr>
        <w:pStyle w:val="Heading1"/>
      </w:pPr>
      <w:r>
        <w:rPr>
          <w:color w:val="000000"/>
        </w:rPr>
        <w:t>10. 人类工程师在 AI 辅助 vibecoding 中的分析方法</w:t>
      </w:r>
    </w:p>
    <w:p>
      <w:pPr>
        <w:pStyle w:val="Heading2"/>
      </w:pPr>
      <w:r>
        <w:rPr>
          <w:color w:val="000000"/>
        </w:rPr>
        <w:t>10.1 AI 辅助开发的价值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在本项目中，AI 辅助或 vibecoding 的价值主要体现在工程整理、快速迁移、脚本化和文档化方面。面对一个已有 VHDL 项目，AI 可以帮助快速识别模块边界，生成 wrapper，整理 Tcl/PowerShell 脚本，补齐 README、需求规格、测试大纲和报告材料。这些工作如果完全人工完成，会耗费大量重复劳动时间。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AI 也适合用于提出候选方案。例如：先混合语言运行还是直接全 Verilog 重写，使用 GUI IP 还是源码替代，先做 smoke test 还是直接接完整核心。这些决策可以由 AI 辅助列出取舍，再由人类工程师结合板级经验选择。</w:t>
      </w:r>
    </w:p>
    <w:p>
      <w:pPr>
        <w:pStyle w:val="Heading2"/>
      </w:pPr>
      <w:r>
        <w:rPr>
          <w:color w:val="000000"/>
        </w:rPr>
        <w:t>10.2 AI 辅助 HDL 的风险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硬件工程中的 vibecoding 不能只看“代码能不能写出来”，还必须看“综合出来是什么硬件”。本项目中一些问题很典型：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软件化表达容易生成昂贵硬件，例如组合 </w:t>
      </w:r>
      <w:r>
        <w:rPr>
          <w:rFonts w:ascii="Consolas" w:hAnsi="Consolas" w:eastAsia="Consolas"/>
          <w:sz w:val="21"/>
        </w:rPr>
        <w:t>/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%</w:t>
      </w:r>
      <w:r>
        <w:rPr>
          <w:rFonts w:ascii="宋体" w:hAnsi="宋体" w:eastAsia="宋体"/>
          <w:sz w:val="21"/>
        </w:rPr>
        <w:t>、宽 integer 和长条件链。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代码看似模块化，但如果跨时钟、复位和 RAM 延迟没有严格审查，硬件行为可能不稳定。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AI 可能倾向补齐功能，却忽略 FPGA 资源、时序、CDC 和综合速度。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文档容易写得完整，但如果没有报告数据和硬件验证支撑，会变成不可验收的说明。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因此，人类工程师不能把 vibecoding 当作替代工程判断的工具，而应把它当作加速器。真正需要人类把关的是硬件结构、时序边界、资源代价和测试证据。</w:t>
      </w:r>
    </w:p>
    <w:p>
      <w:pPr>
        <w:pStyle w:val="Heading2"/>
      </w:pPr>
      <w:r>
        <w:rPr>
          <w:color w:val="000000"/>
        </w:rPr>
        <w:t>10.3 人类工程师的分析流程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结合本项目经验，建议采用以下分析流程：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先画结构图，再看代码。确认每个模块的时钟、复位、输入输出和数据流。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先定义硬件边界，再让 AI 写代码。RAM、ROM、divider、CDC、PLL、TFT 时序这类模块必须先明确接口契约。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 xml:space="preserve">对 AI 生成的 HDL 做硬件化审查：每个 </w:t>
      </w:r>
      <w:r>
        <w:rPr>
          <w:rFonts w:ascii="Consolas" w:hAnsi="Consolas" w:eastAsia="Consolas"/>
          <w:sz w:val="21"/>
        </w:rPr>
        <w:t>/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1"/>
        </w:rPr>
        <w:t>%</w:t>
      </w:r>
      <w:r>
        <w:rPr>
          <w:rFonts w:ascii="宋体" w:hAnsi="宋体" w:eastAsia="宋体"/>
          <w:sz w:val="21"/>
        </w:rPr>
        <w:t>、乘法、大 case、for 循环、record 运算最终会变成什么硬件。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每次功能改动都看资源和时序报告，不只看综合通过。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用小 testbench 验证纯逻辑模块，用 smoke test 验证板级显示链路，再接入完整系统。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对跨时钟信号建立清单，逐个确认同步、握手或双口 RAM 边界。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保留可复现脚本和报告摘要，避免只能在当前 Vivado GUI 状态下运行。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把需求、测试和实现建立编号追踪，减少后期报告和验收遗漏。</w:t>
      </w:r>
    </w:p>
    <w:p>
      <w:pPr>
        <w:pStyle w:val="Heading2"/>
      </w:pPr>
      <w:r>
        <w:rPr>
          <w:color w:val="000000"/>
        </w:rPr>
        <w:t>10.4 对本项目的启示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本项目说明，vibecoding 可以显著提高移植和文档化速度，但硬件质量取决于后续工程审阅。若继续优化，应把 AI 用在生成候选重构方案和 testbench 上，而把关键判断留给人类工程师：是否值得把 divider 改为多周期，是否接受更深流水带来的延迟，是否为减少 BRAM 改变地图/纹理组织，是否为增量构建牺牲一部分脚本简洁性。这些都是工程取舍，不是单纯代码生成问题。</w:t>
      </w:r>
    </w:p>
    <w:p>
      <w:pPr>
        <w:pStyle w:val="Heading1"/>
      </w:pPr>
      <w:r>
        <w:rPr>
          <w:color w:val="000000"/>
        </w:rPr>
        <w:t>11. 总结与展望</w:t>
      </w:r>
    </w:p>
    <w:p>
      <w:pPr>
        <w:pStyle w:val="Heading2"/>
      </w:pPr>
      <w:r>
        <w:rPr>
          <w:color w:val="000000"/>
        </w:rPr>
        <w:t>11.1 项目总结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本项目完成了 FmcPGA Minecraft-like 体素渲染器到 Minisys TFT 平台的主要移植工作。系统实现了 3D 体素场景显示、TFT 显示适配、玩家移动、视角旋转、方块选择、放置/挖掘、准星反馈、手持方块 HUD、蜂鸣器背景音乐与交互音效、LED 调试、Vivado 自动化构建、JTAG 下载、SPI Flash 烧录和静态一致性检查。工程具备较完整的需求、测试和报告材料，能够支撑课程设计验收和后续维护。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 xml:space="preserve">从实现结果看，系统在 </w:t>
      </w:r>
      <w:r>
        <w:rPr>
          <w:rFonts w:ascii="Consolas" w:hAnsi="Consolas" w:eastAsia="Consolas"/>
          <w:sz w:val="21"/>
        </w:rPr>
        <w:t>xc7a100tfgg484-1</w:t>
      </w:r>
      <w:r>
        <w:rPr>
          <w:rFonts w:ascii="宋体" w:hAnsi="宋体" w:eastAsia="宋体"/>
          <w:sz w:val="21"/>
        </w:rPr>
        <w:t xml:space="preserve"> 上资源使用处于可接受范围：LUT 约 43%，BRAM 约 57%，DSP 约 22%，实现后时序无失败端点。主要瓶颈是 BRAM 占用和渲染管线长组合路径；主要工程问题是全量构建耗时较长、部分 HDL 写法偏软件化、单元仿真仍需补齐。</w:t>
      </w:r>
    </w:p>
    <w:p>
      <w:pPr>
        <w:pStyle w:val="Heading2"/>
      </w:pPr>
      <w:r>
        <w:rPr>
          <w:color w:val="000000"/>
        </w:rPr>
        <w:t>11.2 后续展望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后续可从以下方向继续改进：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完善单元 testbench，特别是 mapper、RAM/ROM、divider、audio 和核心封装。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引入增量构建流程，减少日常调试等待时间。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将组合 divider 替换为流水化或多周期结构。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将长条件链和近似函数改为 ROM 查表。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对核心渲染管线进一步流水化，降低关键路径逻辑级数。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将异步 reset 逐步改为同步释放，提升时序和资源优化空间。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对拨码开关和跨时钟控制信号补充同步处理。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在混合语言版本稳定后，逐步将小模块和控制模块转换为 Verilog。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优化纹理和地图资源组织，为更大场景或更多方块类型预留空间。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sz w:val="21"/>
        </w:rPr>
        <w:t>总体而言，本项目已经从“能显示的 FPGA 图形实验”推进到了“具有工程结构、脚本、测试、文档和硬件交互的完整课程设计系统”。后续优化重点不再是简单补功能，而是面向硬件质量、构建效率、可验证性和可维护性的工程深化。</w:t>
      </w:r>
    </w:p>
    <w:p>
      <w:pPr>
        <w:pStyle w:val="Heading1"/>
      </w:pPr>
      <w:r>
        <w:rPr>
          <w:color w:val="000000"/>
        </w:rPr>
        <w:t>参考资料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Minisys FPGA 开发板硬件资料。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Xilinx Vivado 2018.3 用户指南与时序分析报告说明。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FmcPGA Minecraft-like 体素渲染工程源码与资源。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本项目 RTL 源码、约束文件、构建脚本和 Vivado 实现报告。</w:t>
      </w:r>
    </w:p>
    <w:p>
      <w:pPr>
        <w:spacing w:line="300" w:lineRule="auto" w:after="60"/>
        <w:ind w:left="420" w:hanging="0"/>
      </w:pPr>
      <w:r>
        <w:rPr>
          <w:rFonts w:ascii="宋体" w:hAnsi="宋体" w:eastAsia="宋体"/>
          <w:sz w:val="21"/>
        </w:rPr>
        <w:t>本项目需求规格、测试大纲、构建记录和工程审阅材料。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Minisys FmcPGA Minecraft TFT 体素渲染系统项目报告</dc:title>
  <dc:subject>FPGA 课程设计项目报告</dc:subject>
  <dc:creator>课程设计项目组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