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998" w:rsidRDefault="00BE69A2">
      <w:pPr>
        <w:rPr>
          <w:b/>
          <w:sz w:val="36"/>
        </w:rPr>
      </w:pPr>
      <w:r>
        <w:rPr>
          <w:b/>
          <w:sz w:val="36"/>
        </w:rPr>
        <w:t>INTERPRETAZIONE DI GRAFICI E TABELLE</w:t>
      </w:r>
    </w:p>
    <w:p w:rsidR="00BE69A2" w:rsidRDefault="00BE69A2">
      <w:r>
        <w:t xml:space="preserve">Con i grafici viene valutata la capacità del candidato a interpretare, riformulare e connettere le informazioni rappresentate. </w:t>
      </w:r>
    </w:p>
    <w:p w:rsidR="00BE69A2" w:rsidRPr="00BE69A2" w:rsidRDefault="00BE69A2">
      <w:pPr>
        <w:rPr>
          <w:sz w:val="28"/>
        </w:rPr>
      </w:pPr>
      <w:r w:rsidRPr="00BE69A2">
        <w:rPr>
          <w:sz w:val="28"/>
        </w:rPr>
        <w:t>PRINCIPALI TIPOLOGIE DI GRAFICI</w:t>
      </w:r>
    </w:p>
    <w:p w:rsidR="00BE69A2" w:rsidRDefault="00BE69A2">
      <w:r>
        <w:t>Esistono diverse tipologie di grafico:</w:t>
      </w:r>
    </w:p>
    <w:p w:rsidR="00BE69A2" w:rsidRDefault="00BE69A2" w:rsidP="00BE69A2">
      <w:pPr>
        <w:pStyle w:val="Paragrafoelenco"/>
        <w:numPr>
          <w:ilvl w:val="0"/>
          <w:numId w:val="1"/>
        </w:numPr>
      </w:pPr>
      <w:r>
        <w:t xml:space="preserve">Grafico lineare: è il grafico più diffuso. Rappresenta prevalentemente come mutano le quantità nel corso del tempo. </w:t>
      </w:r>
      <w:r>
        <w:tab/>
        <w:t xml:space="preserve">     </w:t>
      </w:r>
      <w:r>
        <w:tab/>
      </w:r>
      <w:r>
        <w:tab/>
      </w:r>
      <w:r>
        <w:tab/>
      </w:r>
      <w:r>
        <w:tab/>
      </w:r>
      <w:r w:rsidRPr="00BE69A2">
        <w:t xml:space="preserve"> </w:t>
      </w:r>
      <w:r w:rsidRPr="00BE69A2">
        <w:rPr>
          <w:noProof/>
          <w:lang w:eastAsia="it-IT"/>
        </w:rPr>
        <w:drawing>
          <wp:inline distT="0" distB="0" distL="0" distR="0">
            <wp:extent cx="2628900" cy="1479739"/>
            <wp:effectExtent l="0" t="0" r="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870" cy="149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A2" w:rsidRDefault="00BE69A2" w:rsidP="00BE69A2">
      <w:pPr>
        <w:pStyle w:val="Paragrafoelenco"/>
        <w:numPr>
          <w:ilvl w:val="0"/>
          <w:numId w:val="1"/>
        </w:numPr>
      </w:pPr>
      <w:r>
        <w:t xml:space="preserve">Grafico a barre verticali o istogramma: permette il confronto di alcune variabili in tempi o luoghi differenti. In alcuni casi le barre vengono orientate orizzontalmente. </w:t>
      </w:r>
      <w:r>
        <w:tab/>
      </w:r>
      <w:r>
        <w:tab/>
      </w:r>
      <w:r>
        <w:tab/>
      </w:r>
      <w:r>
        <w:tab/>
      </w:r>
      <w:r w:rsidRPr="00BE69A2">
        <w:rPr>
          <w:noProof/>
          <w:lang w:eastAsia="it-IT"/>
        </w:rPr>
        <w:drawing>
          <wp:inline distT="0" distB="0" distL="0" distR="0">
            <wp:extent cx="2171700" cy="1142209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94" cy="11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A2" w:rsidRDefault="00BE69A2" w:rsidP="00BE69A2">
      <w:pPr>
        <w:pStyle w:val="Paragrafoelenco"/>
        <w:numPr>
          <w:ilvl w:val="0"/>
          <w:numId w:val="1"/>
        </w:numPr>
      </w:pPr>
      <w:r>
        <w:t xml:space="preserve">Grafico a torta o aerogramma: Mostra la suddivisione di un elemento nelle sue componenti. </w:t>
      </w:r>
      <w:r w:rsidRPr="00BE69A2">
        <w:rPr>
          <w:noProof/>
          <w:lang w:eastAsia="it-IT"/>
        </w:rPr>
        <w:drawing>
          <wp:inline distT="0" distB="0" distL="0" distR="0">
            <wp:extent cx="2581275" cy="1523692"/>
            <wp:effectExtent l="0" t="0" r="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430" cy="152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A2" w:rsidRDefault="00BE69A2" w:rsidP="00171FBD">
      <w:pPr>
        <w:pStyle w:val="Paragrafoelenco"/>
        <w:numPr>
          <w:ilvl w:val="0"/>
          <w:numId w:val="1"/>
        </w:numPr>
      </w:pPr>
      <w:r>
        <w:t xml:space="preserve">Grafico a barre cumulative o sovrapposte: In questi grafici le barre possono presentarsi in forma sia verticale che orizzontale. </w:t>
      </w:r>
      <w:r w:rsidR="00171FBD">
        <w:t>Per ogni variabile viene disegnato un istogramma la cui lunghezza è la sommo di tutti i componenti di una variabile</w:t>
      </w:r>
      <w:r w:rsidR="00171FBD">
        <w:tab/>
      </w:r>
      <w:r w:rsidR="00171FBD">
        <w:tab/>
      </w:r>
      <w:r w:rsidR="00171FBD">
        <w:tab/>
        <w:t xml:space="preserve">. </w:t>
      </w:r>
      <w:r w:rsidR="00171FBD" w:rsidRPr="00171FBD">
        <w:rPr>
          <w:noProof/>
          <w:lang w:eastAsia="it-IT"/>
        </w:rPr>
        <w:drawing>
          <wp:inline distT="0" distB="0" distL="0" distR="0">
            <wp:extent cx="2600325" cy="1248031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373" cy="126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FBD" w:rsidRDefault="00171FBD" w:rsidP="00171FBD">
      <w:pPr>
        <w:pStyle w:val="Paragrafoelenco"/>
        <w:numPr>
          <w:ilvl w:val="0"/>
          <w:numId w:val="1"/>
        </w:numPr>
      </w:pPr>
      <w:r>
        <w:lastRenderedPageBreak/>
        <w:t xml:space="preserve">Grafico ad aree: Molto simile al grafico a barre cumulativo con la differenza che vengono uniti i punti per ogni variabile e se ne somma l’area ottenuta di </w:t>
      </w:r>
      <w:proofErr w:type="gramStart"/>
      <w:r>
        <w:t>tutti.</w:t>
      </w:r>
      <w:r>
        <w:tab/>
      </w:r>
      <w:proofErr w:type="gramEnd"/>
      <w:r w:rsidRPr="00171FBD">
        <w:t xml:space="preserve"> </w:t>
      </w:r>
      <w:r w:rsidRPr="00171FBD">
        <w:rPr>
          <w:noProof/>
          <w:lang w:eastAsia="it-IT"/>
        </w:rPr>
        <w:drawing>
          <wp:inline distT="0" distB="0" distL="0" distR="0">
            <wp:extent cx="2628900" cy="1298002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76" cy="130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FBD" w:rsidRDefault="00171FBD" w:rsidP="00171FBD">
      <w:pPr>
        <w:pBdr>
          <w:bottom w:val="single" w:sz="12" w:space="1" w:color="auto"/>
        </w:pBdr>
      </w:pPr>
    </w:p>
    <w:p w:rsidR="00254983" w:rsidRDefault="00254983" w:rsidP="00171FBD">
      <w:pPr>
        <w:rPr>
          <w:sz w:val="28"/>
        </w:rPr>
      </w:pPr>
      <w:r>
        <w:rPr>
          <w:sz w:val="28"/>
        </w:rPr>
        <w:t>DESCRIZIONE DEGLI ESERCIZI</w:t>
      </w:r>
    </w:p>
    <w:p w:rsidR="00254983" w:rsidRDefault="00254983" w:rsidP="00171FBD">
      <w:r>
        <w:t>Gli esercizi sono introdotti da un testo che presenta i dati contenuti nel grafico o in una tabella. Questo sarà seguito da una o due domande riferite a quanto descritto prima.</w:t>
      </w:r>
    </w:p>
    <w:p w:rsidR="00254983" w:rsidRDefault="00254983" w:rsidP="00171FBD">
      <w:r>
        <w:t xml:space="preserve">Es. </w:t>
      </w:r>
    </w:p>
    <w:p w:rsidR="00254983" w:rsidRDefault="00254983" w:rsidP="00171FBD">
      <w:r w:rsidRPr="00254983">
        <w:rPr>
          <w:noProof/>
          <w:lang w:eastAsia="it-IT"/>
        </w:rPr>
        <w:drawing>
          <wp:inline distT="0" distB="0" distL="0" distR="0">
            <wp:extent cx="3867150" cy="3381541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8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2CE" w:rsidRDefault="009B62CE" w:rsidP="00171FBD">
      <w:r>
        <w:t>A mezzogiorno possiamo notare che la concentrazione dell’ormone è presente in maniera superiore negli uomini rispetto alle donne. Proprio per questo possiamo affermare che la risposta errata, e quindi quella ricercata, è la lettera “C”.</w:t>
      </w:r>
    </w:p>
    <w:p w:rsidR="009B62CE" w:rsidRDefault="009B62CE" w:rsidP="00171FBD">
      <w:r w:rsidRPr="009B62CE">
        <w:rPr>
          <w:noProof/>
          <w:lang w:eastAsia="it-IT"/>
        </w:rPr>
        <w:drawing>
          <wp:inline distT="0" distB="0" distL="0" distR="0">
            <wp:extent cx="3800475" cy="632789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33" cy="63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2CE" w:rsidRDefault="009B62CE" w:rsidP="00171FBD">
      <w:r>
        <w:t>Poiché l’unico momento della giornata in cui il valore dell’ormone nelle donne è inferiore è mezzogiorno e si vede una differenza tra i due sessi di 2 milligrammi. La donna dovrà assumere almeno tre pastiglie (Risposta “B”)</w:t>
      </w:r>
    </w:p>
    <w:p w:rsidR="009B62CE" w:rsidRDefault="009B62CE" w:rsidP="00171FBD"/>
    <w:p w:rsidR="009B62CE" w:rsidRDefault="009B62CE" w:rsidP="00171FBD">
      <w:r>
        <w:lastRenderedPageBreak/>
        <w:t>Suggerimenti:</w:t>
      </w:r>
    </w:p>
    <w:p w:rsidR="009B62CE" w:rsidRDefault="009B62CE" w:rsidP="009B62CE">
      <w:pPr>
        <w:pStyle w:val="Paragrafoelenco"/>
        <w:numPr>
          <w:ilvl w:val="0"/>
          <w:numId w:val="1"/>
        </w:numPr>
      </w:pPr>
      <w:r>
        <w:t>Leggere attentamente i titoli delle colonne nelle tabelle e le variabili presenti negli assi dei grafici</w:t>
      </w:r>
    </w:p>
    <w:p w:rsidR="009B62CE" w:rsidRDefault="009B62CE" w:rsidP="009B62CE">
      <w:pPr>
        <w:pStyle w:val="Paragrafoelenco"/>
        <w:numPr>
          <w:ilvl w:val="0"/>
          <w:numId w:val="1"/>
        </w:numPr>
      </w:pPr>
      <w:r>
        <w:t>Fare attenzione alle unità di misura</w:t>
      </w:r>
    </w:p>
    <w:p w:rsidR="009B62CE" w:rsidRDefault="009B62CE" w:rsidP="009B62CE">
      <w:pPr>
        <w:pStyle w:val="Paragrafoelenco"/>
        <w:numPr>
          <w:ilvl w:val="0"/>
          <w:numId w:val="1"/>
        </w:numPr>
      </w:pPr>
      <w:r>
        <w:t>Non confondere le percentuali con i decimali. Se in un grafico che esprime dati in percentuale troviamo 0.2 significa 0.2%</w:t>
      </w:r>
    </w:p>
    <w:p w:rsidR="009B62CE" w:rsidRDefault="009B62CE" w:rsidP="009B62CE">
      <w:pPr>
        <w:pStyle w:val="Paragrafoelenco"/>
        <w:numPr>
          <w:ilvl w:val="0"/>
          <w:numId w:val="1"/>
        </w:numPr>
      </w:pPr>
      <w:r>
        <w:t>Quando un grafico è costituito da più serie è conveniente etichettare ogni serie e rappresentare il tutto in una leggenda</w:t>
      </w:r>
    </w:p>
    <w:p w:rsidR="009B62CE" w:rsidRDefault="00E223F7" w:rsidP="009B62CE">
      <w:pPr>
        <w:pStyle w:val="Paragrafoelenco"/>
        <w:numPr>
          <w:ilvl w:val="0"/>
          <w:numId w:val="1"/>
        </w:numPr>
      </w:pPr>
      <w:r>
        <w:t>Se in un esercizio sono presenti più grafici indentificare quello che rappresenta la domanda in esame.</w:t>
      </w:r>
    </w:p>
    <w:p w:rsidR="00E223F7" w:rsidRDefault="00E223F7" w:rsidP="00E223F7">
      <w:pPr>
        <w:pBdr>
          <w:bottom w:val="single" w:sz="12" w:space="1" w:color="auto"/>
        </w:pBdr>
      </w:pPr>
    </w:p>
    <w:p w:rsidR="00E223F7" w:rsidRDefault="00E223F7" w:rsidP="00E223F7">
      <w:pPr>
        <w:rPr>
          <w:sz w:val="32"/>
        </w:rPr>
      </w:pPr>
      <w:r>
        <w:rPr>
          <w:sz w:val="32"/>
        </w:rPr>
        <w:t>CAPACITA’ DI INDIVIDUARE INFORMAZIONI RILEVANTI</w:t>
      </w:r>
    </w:p>
    <w:p w:rsidR="00E223F7" w:rsidRDefault="00E223F7" w:rsidP="00E223F7">
      <w:r>
        <w:t xml:space="preserve">Un’altra tipologia di esercizi richiede di individuare le informazioni tra più tabelle e grafici. È necessario quindi in primo luogo individuare il grafico o la tabella a cui il testo fa riferimento per poi poter rispondere alla domanda. </w:t>
      </w:r>
    </w:p>
    <w:p w:rsidR="00E223F7" w:rsidRDefault="00E223F7" w:rsidP="00E223F7">
      <w:r>
        <w:t xml:space="preserve">Es. </w:t>
      </w:r>
    </w:p>
    <w:p w:rsidR="00E223F7" w:rsidRDefault="00E223F7" w:rsidP="00E223F7">
      <w:r w:rsidRPr="00E223F7">
        <w:rPr>
          <w:noProof/>
          <w:lang w:eastAsia="it-IT"/>
        </w:rPr>
        <w:drawing>
          <wp:inline distT="0" distB="0" distL="0" distR="0">
            <wp:extent cx="3714750" cy="4433734"/>
            <wp:effectExtent l="0" t="0" r="0" b="508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14" cy="4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3F7" w:rsidRDefault="00E223F7" w:rsidP="00E223F7">
      <w:r w:rsidRPr="00E223F7">
        <w:rPr>
          <w:noProof/>
          <w:lang w:eastAsia="it-IT"/>
        </w:rPr>
        <w:lastRenderedPageBreak/>
        <w:drawing>
          <wp:inline distT="0" distB="0" distL="0" distR="0">
            <wp:extent cx="3650398" cy="1038225"/>
            <wp:effectExtent l="0" t="0" r="762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408" cy="104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3F7" w:rsidRDefault="00E223F7" w:rsidP="00E223F7">
      <w:r>
        <w:t>Delle tabelle fornite l’unica che fornisce dati per quanto riguarda l’impego nel settore pubblico è la tabella 2. Questa tuttavia presenta valori in percentuale. Proprio per il fatto che non si conoscono il numero totale degli impiegati, l’unica soluzione possibile sarà la lettera “E”</w:t>
      </w:r>
    </w:p>
    <w:p w:rsidR="00E223F7" w:rsidRDefault="0095088B" w:rsidP="00E223F7">
      <w:r w:rsidRPr="0095088B">
        <w:rPr>
          <w:noProof/>
          <w:lang w:eastAsia="it-IT"/>
        </w:rPr>
        <w:drawing>
          <wp:inline distT="0" distB="0" distL="0" distR="0">
            <wp:extent cx="4219575" cy="1179666"/>
            <wp:effectExtent l="0" t="0" r="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063" cy="119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8B" w:rsidRPr="00E223F7" w:rsidRDefault="0095088B" w:rsidP="00E223F7">
      <w:r>
        <w:t>In questo caso le informazioni necessarie per la risoluzione di questo quesito vengono fornite dal grafico 1. Sapendo che la Francia, che comprende il 27% del totale ha prodotto possiamo trovare che il totale prodotto sarà 5000. In base al grafico si rappresenta che la Germania ha prodotto il 15% del totale e quindi la produzione totale tedesca ammonta a 750 (risposta “B”).</w:t>
      </w:r>
      <w:bookmarkStart w:id="0" w:name="_GoBack"/>
      <w:bookmarkEnd w:id="0"/>
    </w:p>
    <w:sectPr w:rsidR="0095088B" w:rsidRPr="00E223F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DC7680"/>
    <w:multiLevelType w:val="hybridMultilevel"/>
    <w:tmpl w:val="61E04AA8"/>
    <w:lvl w:ilvl="0" w:tplc="B50AE6D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A2"/>
    <w:rsid w:val="00171FBD"/>
    <w:rsid w:val="00254983"/>
    <w:rsid w:val="002F5998"/>
    <w:rsid w:val="0095088B"/>
    <w:rsid w:val="009B62CE"/>
    <w:rsid w:val="00BE69A2"/>
    <w:rsid w:val="00E22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340DB6-876E-4F89-9AA5-3F76949B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E6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7D9A7-774D-4938-AEC7-DFA1DEE03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2019-02-05T17:55:00Z</dcterms:created>
  <dcterms:modified xsi:type="dcterms:W3CDTF">2019-02-05T19:01:00Z</dcterms:modified>
</cp:coreProperties>
</file>