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к приказу</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проректора по учебно-методической работе</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 ______________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Санкт-Петербургский государственный университет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ОБЩАЯ ХАРАКТЕРИСТИКА</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основной образовательной программы высшего образования</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Математика, алгоритмы и анализ данных</w:t>
      </w: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Mathematics, algorithms and data analysis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уровню бакалавриат</w:t>
      </w: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направлению подготовки (специальности)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02.03.01 </w:t>
      </w:r>
      <w:r>
        <w:rPr>
          <w:rFonts w:ascii="Times New Roman" w:hAnsi="Times New Roman" w:cs="Times New Roman" w:eastAsia="Times New Roman"/>
          <w:color w:val="auto"/>
          <w:spacing w:val="0"/>
          <w:position w:val="0"/>
          <w:sz w:val="24"/>
          <w:shd w:fill="auto" w:val="clear"/>
        </w:rPr>
        <w:t xml:space="preserve">Математика и компьютерные науки</w:t>
      </w: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профилю (профилям)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w:t>
      </w:r>
    </w:p>
    <w:p>
      <w:pPr>
        <w:spacing w:before="120" w:after="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Форма(ы) обучения: очная</w:t>
      </w:r>
    </w:p>
    <w:p>
      <w:pPr>
        <w:spacing w:before="60" w:after="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Язык(и) обучения: русский</w:t>
      </w:r>
    </w:p>
    <w:p>
      <w:pPr>
        <w:spacing w:before="60" w:after="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Срок(и) обучения: 4 года</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Образовательная программа реализуется в соответствии с образовательным стандартом Санкт-Петербургского государственного университета.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Регистрационный номер стандарта: ____СВ/02.03.01/1___________________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Аннотация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Программа ставит себе задачей совместить фундаментальное математическое образование со всесторонним изучением современных областей информатики. </w:t>
      </w:r>
      <w:r>
        <w:rPr>
          <w:rFonts w:ascii="Times New Roman" w:hAnsi="Times New Roman" w:cs="Times New Roman" w:eastAsia="Times New Roman"/>
          <w:color w:val="auto"/>
          <w:spacing w:val="0"/>
          <w:position w:val="0"/>
          <w:sz w:val="24"/>
          <w:shd w:fill="auto" w:val="clear"/>
        </w:rPr>
        <w:t xml:space="preserve">Программа разработана с учётом современных достижений математики и информатики</w:t>
      </w:r>
      <w:r>
        <w:rPr>
          <w:rFonts w:ascii="Times New Roman" w:hAnsi="Times New Roman" w:cs="Times New Roman" w:eastAsia="Times New Roman"/>
          <w:color w:val="000000"/>
          <w:spacing w:val="0"/>
          <w:position w:val="0"/>
          <w:sz w:val="24"/>
          <w:shd w:fill="auto" w:val="clear"/>
        </w:rPr>
        <w:t xml:space="preserve">. Курсы теоретической информатики сочетаются с обучением программированию, причём особое внимание уделяется математическим и алгоритмическим вопросам работы с большими объёмами данных, а также фундаментальным основам машинного обучения. </w:t>
      </w:r>
      <w:r>
        <w:rPr>
          <w:rFonts w:ascii="Times New Roman" w:hAnsi="Times New Roman" w:cs="Times New Roman" w:eastAsia="Times New Roman"/>
          <w:color w:val="auto"/>
          <w:spacing w:val="0"/>
          <w:position w:val="0"/>
          <w:sz w:val="24"/>
          <w:shd w:fill="auto" w:val="clear"/>
        </w:rPr>
        <w:t xml:space="preserve">Обучающиеся вовлекаются в научную работу и получают возможность участвовать в российских и зарубежных научных школах и конференциях.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is aimed to combine a fundamental mathematical education with a comprehensive set of courses in modern areas of computer science. The program is designed according to the modern achievements of mathematics and computer science. Courses in theoretical computer science are given in conjunction with classes in programming, and special attention is given to mathematical and algorithmic methods of large-scale data processing, as well as to the foundations of machine learning. Students are involved in research work and get the opportunity to participate in Russian and foreign scientific schools and conferences.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Миссия образовательной программы (стратегия развития)</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Задача программы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подготовить специалистов, глубоко понимающих математические идеи, лежащие в основе информатики, владеющих принципами современных технологий обработки информации и способных создавать новые принципы для технологий будущего. Программа разработана с целью привить </w:t>
      </w:r>
      <w:r>
        <w:rPr>
          <w:rFonts w:ascii="Times New Roman" w:hAnsi="Times New Roman" w:cs="Times New Roman" w:eastAsia="Times New Roman"/>
          <w:color w:val="00000A"/>
          <w:spacing w:val="0"/>
          <w:position w:val="0"/>
          <w:sz w:val="24"/>
          <w:shd w:fill="auto" w:val="clear"/>
        </w:rPr>
        <w:t xml:space="preserve">обучающимся профессиональные навыки научного поиска и исследования, умение работать в научном или производственном коллективе, эффективно использовать достижения современной науки для решения промышленных задач обработки данных и развития цифровой экономики.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Educational programme mission (development strategy)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the program is to train professionals with a deep understanding of the underlying mathematical ideas of computer science, proficient in modern information processing technologies, and capable of creating new principles for technologies of the future. The program is designed to cultivate professional skills of scientific research, of working in a scientific or industrial team, and of effectively using the achievements of modern science to solve industrial problems of data processing and to develop digital economy.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Характеристика профессиональной деятельности выпускников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Образовательная программа разработана с учётом профессиональных стандартов (при наличии) и (или) мнения работодателей (профессиональных сообществ) о соотносимости компетенций выпускников и трудовых функций в области профессиональной деятельности.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t>
      </w:r>
      <w:r>
        <w:rPr>
          <w:rFonts w:ascii="Times New Roman" w:hAnsi="Times New Roman" w:cs="Times New Roman" w:eastAsia="Times New Roman"/>
          <w:color w:val="auto"/>
          <w:spacing w:val="0"/>
          <w:position w:val="0"/>
          <w:sz w:val="24"/>
          <w:shd w:fill="auto" w:val="clear"/>
        </w:rPr>
        <w:t xml:space="preserve">Квалификация, присваиваемая выпускникам</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w:t>
      </w:r>
      <w:r>
        <w:rPr>
          <w:rFonts w:ascii="Times New Roman" w:hAnsi="Times New Roman" w:cs="Times New Roman" w:eastAsia="Times New Roman"/>
          <w:color w:val="auto"/>
          <w:spacing w:val="0"/>
          <w:position w:val="0"/>
          <w:sz w:val="24"/>
          <w:shd w:fill="auto" w:val="clear"/>
        </w:rPr>
        <w:t xml:space="preserve">Бакалавр_____________________________________</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указать в соответствии с лицензией СПбГУ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t>
      </w:r>
      <w:r>
        <w:rPr>
          <w:rFonts w:ascii="Times New Roman" w:hAnsi="Times New Roman" w:cs="Times New Roman" w:eastAsia="Times New Roman"/>
          <w:color w:val="auto"/>
          <w:spacing w:val="0"/>
          <w:position w:val="0"/>
          <w:sz w:val="24"/>
          <w:shd w:fill="auto" w:val="clear"/>
        </w:rPr>
        <w:t xml:space="preserve">Области (сферы) профессиональной деятельности выпускников</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 </w:t>
      </w:r>
      <w:r>
        <w:rPr>
          <w:rFonts w:ascii="Times New Roman" w:hAnsi="Times New Roman" w:cs="Times New Roman" w:eastAsia="Times New Roman"/>
          <w:color w:val="auto"/>
          <w:spacing w:val="0"/>
          <w:position w:val="0"/>
          <w:sz w:val="24"/>
          <w:shd w:fill="auto" w:val="clear"/>
        </w:rPr>
        <w:t xml:space="preserve">Образование и наука (в сфере дошкольного, начального общего, основного общего, среднего общего образования, профессионального обучения, профессионального образования, дополнительного образования, в сфере научных исследований),</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 </w:t>
      </w:r>
      <w:r>
        <w:rPr>
          <w:rFonts w:ascii="Times New Roman" w:hAnsi="Times New Roman" w:cs="Times New Roman" w:eastAsia="Times New Roman"/>
          <w:color w:val="auto"/>
          <w:spacing w:val="0"/>
          <w:position w:val="0"/>
          <w:sz w:val="24"/>
          <w:shd w:fill="auto" w:val="clear"/>
        </w:rPr>
        <w:t xml:space="preserve">Связь, информационные и коммуникационные технологии (в сфере разработки и тестирования программного обеспечения; создания, поддержки и администрирования информационно-коммуникационных систем и баз данных, управления информационными ресурсами в сети Интернет),</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w:t>
      </w:r>
      <w:r>
        <w:rPr>
          <w:rFonts w:ascii="Times New Roman" w:hAnsi="Times New Roman" w:cs="Times New Roman" w:eastAsia="Times New Roman"/>
          <w:color w:val="auto"/>
          <w:spacing w:val="0"/>
          <w:position w:val="0"/>
          <w:sz w:val="24"/>
          <w:shd w:fill="auto" w:val="clear"/>
        </w:rPr>
        <w:t xml:space="preserve">Сквозные виды профессиональной деятельности в промышленности (в сфере разработки автоматизированных систем управления производством).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Объекты профессиональной деятельности выпускников</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Объектами профессиональной деятельности выпускников, освоивших программу бакалавриата, являются информационные системы, обрабатывающие большие объемы данных, системы искусственного интеллекта, математические модели в технологии, в естествознании и в общественных науках, а также понятия, гипотезы, теоремы и методы математики и теоретической информатики.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w:t>
      </w:r>
      <w:r>
        <w:rPr>
          <w:rFonts w:ascii="Times New Roman" w:hAnsi="Times New Roman" w:cs="Times New Roman" w:eastAsia="Times New Roman"/>
          <w:color w:val="auto"/>
          <w:spacing w:val="0"/>
          <w:position w:val="0"/>
          <w:sz w:val="24"/>
          <w:shd w:fill="auto" w:val="clear"/>
        </w:rPr>
        <w:t xml:space="preserve">Виды профессиональной деятельности выпускников (с указанием видов экономической деятельности, к которым они относятся, согласно ОКВЭД)</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Научно-исследовательская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72.19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Научные исследования и разработки в области естественных и технических наук прочие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Проектно-аналитическая деятельность:</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62.0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Разработка компьютерного программного обеспечения, консультационные услуги в данной области и другие сопутствующие услуги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63.11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Деятельность по обработке данных, предоставление услуг по размещению информации и связанная с этим деятельность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Организационно-управленческая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74.90.9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Деятельность в области защиты информации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Педагогическая деятельность:</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85.13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Образование основное общее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85.14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Образование среднее общее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ОКВЭД 85.41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Образование дополнительное детей и взрослых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Задачи профессиональной деятельности выпускников</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Научно-исследовательская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применение методов математического и алгоритмического моделирования</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анализе прикладных проблем;</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использование базовых математических задач и математических методов в</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научных исследованиях;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участие в работе научно-исследовательских семинаров, конференций,</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симпозиумов, представление собственных научных достижений, подготовка</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научных статей, научно-технических отчетов;</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контекстная обработка общенаучной и научно-технической информации,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приведение ее к проблемно-задачной форме, анализ и синтез информации;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решение прикладных задач в области защищенных информационных 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телекоммуникационных технологий и систем;</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Производственно-технологическая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применение численных методов при решении математических задач,</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возникающих в производственной и технологической деятельности;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использование технологий и компьютерных систем управления объектами;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сбор и обработка данных с использованием современных методов анализа информации и вычислительной техники (в том числе для нужд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цифровой экономики</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Организационно-управленческая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применение математических методов экономики, актуарно-финансового анализа и защиты информации;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создание эффективных систем внедрения в практику результатов научно-исследовательских и опытно-конструкторских работ;</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применение методов теории вероятностей и математической статистики для принятия решений в условиях неопределенности;</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Педагогическая деятельность:</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преподавание информатики и физико-математических дисциплин в общеобразовательных и профессиональных образовательных организациях;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разработка методического обеспечения учебного процесса в общеобразовательных и профессиональных образовательных организациях.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w:t>
      </w:r>
      <w:r>
        <w:rPr>
          <w:rFonts w:ascii="Times New Roman" w:hAnsi="Times New Roman" w:cs="Times New Roman" w:eastAsia="Times New Roman"/>
          <w:color w:val="auto"/>
          <w:spacing w:val="0"/>
          <w:position w:val="0"/>
          <w:sz w:val="24"/>
          <w:shd w:fill="auto" w:val="clear"/>
        </w:rPr>
        <w:t xml:space="preserve">Перечень применяемых профессиональных стандартов в области профессиональной деятельности выпускников (дополняемый) и (или) перечень обобщенных трудовых функций, трудовых функций, умений, навыков по мнению потенциальных работодателей (с указанием уровня квалификации, соотносимым с уровнем образования, согласно приказу Минтруда России)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01.001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Педагог (педагогическая деятельность в сфере дошкольного, начального общего, основного общего, среднего общего образования) (воспитатель, учитель)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Минтруда России от 18.10.2013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544</w:t>
      </w:r>
      <w:r>
        <w:rPr>
          <w:rFonts w:ascii="Times New Roman" w:hAnsi="Times New Roman" w:cs="Times New Roman" w:eastAsia="Times New Roman"/>
          <w:color w:val="auto"/>
          <w:spacing w:val="0"/>
          <w:position w:val="0"/>
          <w:sz w:val="24"/>
          <w:shd w:fill="auto" w:val="clear"/>
        </w:rPr>
        <w:t xml:space="preserve">н (с изм. от 25.12.2014 и 05.08.2016)) (Зарегистрировано в Минюсте России 06.12.2013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30550)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01.003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Педагог дополнительного образования детей и взрослых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Минтруда России от 08.09.2015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613</w:t>
      </w:r>
      <w:r>
        <w:rPr>
          <w:rFonts w:ascii="Times New Roman" w:hAnsi="Times New Roman" w:cs="Times New Roman" w:eastAsia="Times New Roman"/>
          <w:color w:val="auto"/>
          <w:spacing w:val="0"/>
          <w:position w:val="0"/>
          <w:sz w:val="24"/>
          <w:shd w:fill="auto" w:val="clear"/>
        </w:rPr>
        <w:t xml:space="preserve">н) (Зарегистрировано в Минюсте России 24.09.2015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38994)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01.004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Педагог профессионального обучения, профессионального образования и дополнительного профессионального образования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Минтруда России от 08.09.2015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608</w:t>
      </w:r>
      <w:r>
        <w:rPr>
          <w:rFonts w:ascii="Times New Roman" w:hAnsi="Times New Roman" w:cs="Times New Roman" w:eastAsia="Times New Roman"/>
          <w:color w:val="auto"/>
          <w:spacing w:val="0"/>
          <w:position w:val="0"/>
          <w:sz w:val="24"/>
          <w:shd w:fill="auto" w:val="clear"/>
        </w:rPr>
        <w:t xml:space="preserve">н) (Зарегистрировано в Минюсте России 24.09.2015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38993)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06.001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Программист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Минтруда России от 18.11.2013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679</w:t>
      </w:r>
      <w:r>
        <w:rPr>
          <w:rFonts w:ascii="Times New Roman" w:hAnsi="Times New Roman" w:cs="Times New Roman" w:eastAsia="Times New Roman"/>
          <w:color w:val="auto"/>
          <w:spacing w:val="0"/>
          <w:position w:val="0"/>
          <w:sz w:val="24"/>
          <w:shd w:fill="auto" w:val="clear"/>
        </w:rPr>
        <w:t xml:space="preserve">н (с изм. от 12.12.2016)) (Зарегистрировано в Минюсте России 18.12.2013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30635)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06.022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Системный аналитик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Министерства труда и социальной защиты Российской Федерации от 28 октября 2014 г.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809</w:t>
      </w:r>
      <w:r>
        <w:rPr>
          <w:rFonts w:ascii="Times New Roman" w:hAnsi="Times New Roman" w:cs="Times New Roman" w:eastAsia="Times New Roman"/>
          <w:color w:val="auto"/>
          <w:spacing w:val="0"/>
          <w:position w:val="0"/>
          <w:sz w:val="24"/>
          <w:shd w:fill="auto" w:val="clear"/>
        </w:rPr>
        <w:t xml:space="preserve">н (зарегистрирован Министерством юстиции Российской Федерации 24 ноября 2014 г., регистрационный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34882), </w:t>
      </w:r>
      <w:r>
        <w:rPr>
          <w:rFonts w:ascii="Times New Roman" w:hAnsi="Times New Roman" w:cs="Times New Roman" w:eastAsia="Times New Roman"/>
          <w:color w:val="auto"/>
          <w:spacing w:val="0"/>
          <w:position w:val="0"/>
          <w:sz w:val="24"/>
          <w:shd w:fill="auto" w:val="clear"/>
        </w:rPr>
        <w:t xml:space="preserve">с изменениями, внесенными приказами Министерства труда и социальной защиты Российской Федерации от 12 декабря 2016 г.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727</w:t>
      </w:r>
      <w:r>
        <w:rPr>
          <w:rFonts w:ascii="Times New Roman" w:hAnsi="Times New Roman" w:cs="Times New Roman" w:eastAsia="Times New Roman"/>
          <w:color w:val="auto"/>
          <w:spacing w:val="0"/>
          <w:position w:val="0"/>
          <w:sz w:val="24"/>
          <w:shd w:fill="auto" w:val="clear"/>
        </w:rPr>
        <w:t xml:space="preserve">н (зарегистрирован Министерством юстиции Российской Федерации 13 января 2017 г., регистрационный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45230)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Код 40.011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Специалист по научно-исследовательским и опытно-конструкторским разработкам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Приказ Минтруда России от 04.03.2014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121</w:t>
      </w:r>
      <w:r>
        <w:rPr>
          <w:rFonts w:ascii="Times New Roman" w:hAnsi="Times New Roman" w:cs="Times New Roman" w:eastAsia="Times New Roman"/>
          <w:color w:val="auto"/>
          <w:spacing w:val="0"/>
          <w:position w:val="0"/>
          <w:sz w:val="24"/>
          <w:shd w:fill="auto" w:val="clear"/>
        </w:rPr>
        <w:t xml:space="preserve">н (с изм. от 12.12.2016)) (Зарегистрировано в Минюсте России 21.03.2014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31692)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w:t>
      </w:r>
      <w:r>
        <w:rPr>
          <w:rFonts w:ascii="Times New Roman" w:hAnsi="Times New Roman" w:cs="Times New Roman" w:eastAsia="Times New Roman"/>
          <w:color w:val="auto"/>
          <w:spacing w:val="0"/>
          <w:position w:val="0"/>
          <w:sz w:val="24"/>
          <w:shd w:fill="auto" w:val="clear"/>
        </w:rPr>
        <w:t xml:space="preserve">Сведения о работодателях/ профессиональных сообществах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Общество с ограниченной ответственностью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Яндекс</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Общество с ограниченной ответственностью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ИнтеллиДжей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Лабс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Федеральное государственное бюджетное учреждение науки Санкт-Петербургское отделение Математического института им. В.А.Стеклова Российской академии наук</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Планируемые результаты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w:t>
      </w:r>
      <w:r>
        <w:rPr>
          <w:rFonts w:ascii="Times New Roman" w:hAnsi="Times New Roman" w:cs="Times New Roman" w:eastAsia="Times New Roman"/>
          <w:color w:val="auto"/>
          <w:spacing w:val="0"/>
          <w:position w:val="0"/>
          <w:sz w:val="24"/>
          <w:shd w:fill="auto" w:val="clear"/>
        </w:rPr>
        <w:t xml:space="preserve">Универсальные  компетенции, предусмотренные Образовательным стандартом СПбГУ (УК).</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Выпускник,    освоивший     программу,     должен     обладать     следующими универсальными компетенциями (УК).</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УК-1. Способен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т.ч. финансовых, участвовать в разработке и реализации проектов, в т.ч. предпринимательских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УК-3. Способен устанавливать и поддерживать взаимоотношения в социальной и профессиональной сфере, понимать, осуществлять социально-ответственное взаимодействие и эффективно реализовывать свою роль в команде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УК-4. Способен осуществлять деловую профессионально ориентированную коммуникацию в устной и письменной формах на иностранном (ых) языке (ах)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УК-5. Способен осуществлять деловую коммуникацию в сферах обязательного использования государственного языка РФ в устной и письменной формах, с учетом особенностей различных стилей языка</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УК-6. Способен воспринимать межкультурное разнообразие общества в социально-историческом, этическом и философском контекстах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УК-7. Способен управлять своим временем, выстраивать и реализовывать траекторию саморазвития на основе принципов образования в течение всей жизни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УК-8. Способен поддерживать должный уровень физической подготовленности для обеспечения полноценной социальной и профессиональной деятельности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УК-9. Способен создавать и поддерживать безопасные условия жизнедеятельности, в том числе при возникновении чрезвычайных ситуаций</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УК-10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в области цифровой экономики и принципов информационной безопасности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Cyr" w:hAnsi="Times New Roman Cyr" w:cs="Times New Roman Cyr" w:eastAsia="Times New Roman Cyr"/>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w:t>
      </w:r>
      <w:r>
        <w:rPr>
          <w:rFonts w:ascii="Times New Roman" w:hAnsi="Times New Roman" w:cs="Times New Roman" w:eastAsia="Times New Roman"/>
          <w:b/>
          <w:color w:val="auto"/>
          <w:spacing w:val="0"/>
          <w:position w:val="0"/>
          <w:sz w:val="24"/>
          <w:shd w:fill="auto" w:val="clear"/>
        </w:rPr>
        <w:t xml:space="preserve"> </w:t>
      </w:r>
      <w:r>
        <w:rPr>
          <w:rFonts w:ascii="Times New Roman Cyr" w:hAnsi="Times New Roman Cyr" w:cs="Times New Roman Cyr" w:eastAsia="Times New Roman Cyr"/>
          <w:b/>
          <w:color w:val="auto"/>
          <w:spacing w:val="0"/>
          <w:position w:val="0"/>
          <w:sz w:val="24"/>
          <w:shd w:fill="auto" w:val="clear"/>
        </w:rPr>
        <w:t xml:space="preserve">Общепрофессиональные компетенции, предусмотренные ФГОС ВО </w:t>
      </w:r>
    </w:p>
    <w:p>
      <w:pPr>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 бакалавриат по направлению подготовки 02.03.01 Математика и компьютерные науки (приказ Министерства образования и науки Российский Федерации от 23.08.2017 № 807, зарегистрирован Министерством юстиции Российской Федерации 14.09.2017, регистрационный № 48183):</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Теоретические и практические основы профессиональной деятельности:</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ОПК-1. Способен консультировать и использовать фундаментальные знания в области математического анализа, комплексного и функционального анализа, алгебры, 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математической статистики и случайных процессов, численных методов, теоретической механики в профессиональной деятельности.</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ОПК-2. Способен проводить под научным руководством исследование на основе существующих методов в конкретной области профессиональной деятельности.</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ОПК-3. Способен самостоятельно представлять научные результаты, составлять научные документы и отчеты.</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ОПК-4. Способен находить, анализировать, реализовывать программно и использовать на практике математические алгоритмы, в том числе с применением современных вычислительных систем.</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Информационно-коммуникационные технологии для профессиональной деятельности:</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ОПК-5.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в том числе отечественного производителя, и с учетом основных требований информационной безопасности</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Финансовая и правовая грамотность:</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ОПК-6. Способен использовать основы экономических знаний в различных сферах жизнедеятельности.</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ОПК-7. Способен использовать основы правовых знаний в различных сферах жизнедеятельности.</w:t>
      </w:r>
    </w:p>
    <w:p>
      <w:pPr>
        <w:spacing w:before="100" w:after="100" w:line="240"/>
        <w:ind w:right="0" w:left="0" w:firstLine="0"/>
        <w:jc w:val="left"/>
        <w:rPr>
          <w:rFonts w:ascii="Times New Roman Cyr" w:hAnsi="Times New Roman Cyr" w:cs="Times New Roman Cyr" w:eastAsia="Times New Roman Cyr"/>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Cyr" w:hAnsi="Times New Roman Cyr" w:cs="Times New Roman Cyr" w:eastAsia="Times New Roman Cyr"/>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3</w:t>
      </w:r>
      <w:r>
        <w:rPr>
          <w:rFonts w:ascii="Times New Roman Cyr" w:hAnsi="Times New Roman Cyr" w:cs="Times New Roman Cyr" w:eastAsia="Times New Roman Cyr"/>
          <w:b/>
          <w:color w:val="auto"/>
          <w:spacing w:val="0"/>
          <w:position w:val="0"/>
          <w:sz w:val="24"/>
          <w:shd w:fill="auto" w:val="clear"/>
        </w:rPr>
        <w:t xml:space="preserve"> Перечень профессиональных компетенций, формирующих академическую составляющую результатов освоения программы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ПКА-1. Способен использовать фундаментальные знания в области теоретической информатики в профессиональной деятельности.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ПКА-2. Способен использовать знания о принципах программирования</w:t>
      </w:r>
      <w:r>
        <w:rPr>
          <w:rFonts w:ascii="Times New Roman" w:hAnsi="Times New Roman" w:cs="Times New Roman" w:eastAsia="Times New Roman"/>
          <w:color w:val="auto"/>
          <w:spacing w:val="0"/>
          <w:position w:val="0"/>
          <w:sz w:val="24"/>
          <w:shd w:fill="auto" w:val="clear"/>
        </w:rPr>
        <w:t xml:space="preserve">, языках программирования и компиляторах, архитектуре компьютерных систем, базах данных и параллельных вычислениях в профессиональной деятельности.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ПКА-3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Способен преподавать математику и информатику в средней школе, средних специальных и высших учебных заведениях на основе полученного фундаментального образования, научного мировоззрения и всестороннего владения методами обработки информации.</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Cyr" w:hAnsi="Times New Roman Cyr" w:cs="Times New Roman Cyr" w:eastAsia="Times New Roman Cyr"/>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Cyr" w:hAnsi="Times New Roman Cyr" w:cs="Times New Roman Cyr" w:eastAsia="Times New Roman Cyr"/>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4</w:t>
      </w:r>
      <w:r>
        <w:rPr>
          <w:rFonts w:ascii="Times New Roman Cyr" w:hAnsi="Times New Roman Cyr" w:cs="Times New Roman Cyr" w:eastAsia="Times New Roman Cyr"/>
          <w:b/>
          <w:color w:val="auto"/>
          <w:spacing w:val="0"/>
          <w:position w:val="0"/>
          <w:sz w:val="24"/>
          <w:shd w:fill="auto" w:val="clear"/>
        </w:rPr>
        <w:t xml:space="preserve"> Перечень профессиональных компетенций, формирующих практическую составляющую результатов освоения программы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ПКП-1. Способен использовать математические методы обработки информации, полученной в результате экспериментальных исследований или производственной деятельности.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ПКП-2. Способен разрабатывать и использовать информационные системы, работающие с большими объёмами данных.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ПКП-3. Способен разрабатывать и использовать системы искусственного интеллекта, основанные на различных методах машинного обучения.</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ПКП-4. Способен применять теоретические знания о сложности вычислений, моделях вычислений, разрешимых и неразрешимых задачах в производственной деятельности.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Сопоставление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Ind w:w="10" w:type="dxa"/>
      </w:tblPr>
      <w:tblGrid>
        <w:gridCol w:w="3180"/>
        <w:gridCol w:w="6130"/>
        <w:gridCol w:w="200"/>
      </w:tblGrid>
      <w:tr>
        <w:trPr>
          <w:trHeight w:val="89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Перечень компетенций</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Обобщенные трудовые функции, трудовые функции в соответствии с профессиональным стандартом (с указанием реквизитов профессионального стандарта)</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7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ОПК-1</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01.001 B </w:t>
            </w:r>
            <w:r>
              <w:rPr>
                <w:rFonts w:ascii="Times New Roman" w:hAnsi="Times New Roman" w:cs="Times New Roman" w:eastAsia="Times New Roman"/>
                <w:color w:val="auto"/>
                <w:spacing w:val="0"/>
                <w:position w:val="0"/>
                <w:sz w:val="24"/>
                <w:shd w:fill="auto" w:val="clear"/>
              </w:rPr>
              <w:t xml:space="preserve">Педагогическая деятельность по проектированию и реализации основных общеобразовательных программ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01.003 B </w:t>
            </w:r>
            <w:r>
              <w:rPr>
                <w:rFonts w:ascii="Times New Roman" w:hAnsi="Times New Roman" w:cs="Times New Roman" w:eastAsia="Times New Roman"/>
                <w:color w:val="auto"/>
                <w:spacing w:val="0"/>
                <w:position w:val="0"/>
                <w:sz w:val="24"/>
                <w:shd w:fill="auto" w:val="clear"/>
              </w:rPr>
              <w:t xml:space="preserve">Организационно-методическое обеспечение реализции дополнительных общеобразовательных программ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01.004 B </w:t>
            </w:r>
            <w:r>
              <w:rPr>
                <w:rFonts w:ascii="Times New Roman" w:hAnsi="Times New Roman" w:cs="Times New Roman" w:eastAsia="Times New Roman"/>
                <w:color w:val="auto"/>
                <w:spacing w:val="0"/>
                <w:position w:val="0"/>
                <w:sz w:val="24"/>
                <w:shd w:fill="auto" w:val="clear"/>
              </w:rPr>
              <w:t xml:space="preserve">Организация и проведение учебно-производственного процесса при реализации образовательных программ различного уровня и направленности</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ОПК-</w:t>
            </w:r>
            <w:r>
              <w:rPr>
                <w:rFonts w:ascii="Calibri" w:hAnsi="Calibri" w:cs="Calibri" w:eastAsia="Calibri"/>
                <w:color w:val="auto"/>
                <w:spacing w:val="0"/>
                <w:position w:val="0"/>
                <w:sz w:val="22"/>
                <w:shd w:fill="auto" w:val="clear"/>
              </w:rPr>
              <w:t xml:space="preserve">2</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ОПК-3</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01.004 B </w:t>
            </w:r>
            <w:r>
              <w:rPr>
                <w:rFonts w:ascii="Times New Roman" w:hAnsi="Times New Roman" w:cs="Times New Roman" w:eastAsia="Times New Roman"/>
                <w:color w:val="auto"/>
                <w:spacing w:val="0"/>
                <w:position w:val="0"/>
                <w:sz w:val="24"/>
                <w:shd w:fill="auto" w:val="clear"/>
              </w:rPr>
              <w:t xml:space="preserve">Организация и проведение учебно-производственного процесса при реализации образовательных программ различного уровня и направленности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ОПК-4</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ОПК-5</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ОПК-6</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ОПК-</w:t>
            </w:r>
            <w:r>
              <w:rPr>
                <w:rFonts w:ascii="Times New Roman" w:hAnsi="Times New Roman" w:cs="Times New Roman" w:eastAsia="Times New Roman"/>
                <w:color w:val="auto"/>
                <w:spacing w:val="0"/>
                <w:position w:val="0"/>
                <w:sz w:val="24"/>
                <w:shd w:fill="auto" w:val="clear"/>
              </w:rPr>
              <w:t xml:space="preserve">7</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01.004 B </w:t>
            </w:r>
            <w:r>
              <w:rPr>
                <w:rFonts w:ascii="Times New Roman" w:hAnsi="Times New Roman" w:cs="Times New Roman" w:eastAsia="Times New Roman"/>
                <w:color w:val="auto"/>
                <w:spacing w:val="0"/>
                <w:position w:val="0"/>
                <w:sz w:val="24"/>
                <w:shd w:fill="auto" w:val="clear"/>
              </w:rPr>
              <w:t xml:space="preserve">Организация и проведение учебно-производственного процесса при реализации образовательных программ различного уровня и направленности</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ОПК-6</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01.004 B </w:t>
            </w:r>
            <w:r>
              <w:rPr>
                <w:rFonts w:ascii="Times New Roman" w:hAnsi="Times New Roman" w:cs="Times New Roman" w:eastAsia="Times New Roman"/>
                <w:color w:val="auto"/>
                <w:spacing w:val="0"/>
                <w:position w:val="0"/>
                <w:sz w:val="24"/>
                <w:shd w:fill="auto" w:val="clear"/>
              </w:rPr>
              <w:t xml:space="preserve">Организация и проведение учебно-производственного процесса при реализации образовательных программ различного уровня и направленности</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ПКА-1</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6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ПКА-</w:t>
            </w:r>
            <w:r>
              <w:rPr>
                <w:rFonts w:ascii="Times New Roman" w:hAnsi="Times New Roman" w:cs="Times New Roman" w:eastAsia="Times New Roman"/>
                <w:color w:val="auto"/>
                <w:spacing w:val="0"/>
                <w:position w:val="0"/>
                <w:sz w:val="24"/>
                <w:shd w:fill="auto" w:val="clear"/>
              </w:rPr>
              <w:t xml:space="preserve">2</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8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ПКА-</w:t>
            </w:r>
            <w:r>
              <w:rPr>
                <w:rFonts w:ascii="Times New Roman" w:hAnsi="Times New Roman" w:cs="Times New Roman" w:eastAsia="Times New Roman"/>
                <w:color w:val="auto"/>
                <w:spacing w:val="0"/>
                <w:position w:val="0"/>
                <w:sz w:val="24"/>
                <w:shd w:fill="auto" w:val="clear"/>
              </w:rPr>
              <w:t xml:space="preserve">3</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01.001 B </w:t>
            </w:r>
            <w:r>
              <w:rPr>
                <w:rFonts w:ascii="Times New Roman" w:hAnsi="Times New Roman" w:cs="Times New Roman" w:eastAsia="Times New Roman"/>
                <w:color w:val="auto"/>
                <w:spacing w:val="0"/>
                <w:position w:val="0"/>
                <w:sz w:val="24"/>
                <w:shd w:fill="auto" w:val="clear"/>
              </w:rPr>
              <w:t xml:space="preserve">Педагогическая деятельность по проектированию и реализации основных общеобразовательных программ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01.003 B </w:t>
            </w:r>
            <w:r>
              <w:rPr>
                <w:rFonts w:ascii="Times New Roman" w:hAnsi="Times New Roman" w:cs="Times New Roman" w:eastAsia="Times New Roman"/>
                <w:color w:val="auto"/>
                <w:spacing w:val="0"/>
                <w:position w:val="0"/>
                <w:sz w:val="24"/>
                <w:shd w:fill="auto" w:val="clear"/>
              </w:rPr>
              <w:t xml:space="preserve">Организационно-методическое обеспечение реализции дополнительных общеобразовательных программ</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01.004 B </w:t>
            </w:r>
            <w:r>
              <w:rPr>
                <w:rFonts w:ascii="Times New Roman" w:hAnsi="Times New Roman" w:cs="Times New Roman" w:eastAsia="Times New Roman"/>
                <w:color w:val="auto"/>
                <w:spacing w:val="0"/>
                <w:position w:val="0"/>
                <w:sz w:val="24"/>
                <w:shd w:fill="auto" w:val="clear"/>
              </w:rPr>
              <w:t xml:space="preserve">Организация и проведение учебно-производственного процесса при реализации образовательных программ различного уровня и направленности</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6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ПКП-1</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6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ПКП-2</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6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ПКП-3</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40.011 A </w:t>
            </w:r>
            <w:r>
              <w:rPr>
                <w:rFonts w:ascii="Times New Roman" w:hAnsi="Times New Roman" w:cs="Times New Roman" w:eastAsia="Times New Roman"/>
                <w:color w:val="auto"/>
                <w:spacing w:val="0"/>
                <w:position w:val="0"/>
                <w:sz w:val="24"/>
                <w:shd w:fill="auto" w:val="clear"/>
              </w:rPr>
              <w:t xml:space="preserve">Проведение научно-исследовательских и опытно-конструкторских разработок по отдельным разделам темы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60" w:hRule="auto"/>
          <w:jc w:val="left"/>
        </w:trPr>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ПКП-4</w:t>
            </w:r>
          </w:p>
        </w:tc>
        <w:tc>
          <w:tcPr>
            <w:tcW w:w="6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06.001 D </w:t>
            </w:r>
            <w:r>
              <w:rPr>
                <w:rFonts w:ascii="Times New Roman" w:hAnsi="Times New Roman" w:cs="Times New Roman" w:eastAsia="Times New Roman"/>
                <w:color w:val="auto"/>
                <w:spacing w:val="0"/>
                <w:position w:val="0"/>
                <w:sz w:val="24"/>
                <w:shd w:fill="auto" w:val="clear"/>
              </w:rPr>
              <w:t xml:space="preserve">Разработка требований и проектирование программного обеспечения</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06.022 C </w:t>
            </w:r>
            <w:r>
              <w:rPr>
                <w:rFonts w:ascii="Times New Roman" w:hAnsi="Times New Roman" w:cs="Times New Roman" w:eastAsia="Times New Roman"/>
                <w:color w:val="auto"/>
                <w:spacing w:val="0"/>
                <w:position w:val="0"/>
                <w:sz w:val="24"/>
                <w:shd w:fill="auto" w:val="clear"/>
              </w:rPr>
              <w:t xml:space="preserve">Концептуальное, функциональное и логическое проектирование систем среднего и крупного масштаба и сложности </w:t>
            </w:r>
          </w:p>
        </w:tc>
        <w:tc>
          <w:tcPr>
            <w:tcW w:w="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Порядок формирования компетенций</w:t>
      </w:r>
    </w:p>
    <w:p>
      <w:pPr>
        <w:spacing w:before="0" w:after="0" w:line="240"/>
        <w:ind w:right="0" w:left="0" w:firstLine="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Выпускник владеет навыками использования делового русского языка, публичной устной и письменной речи, понимает значение русского языка как государственного.</w:t>
      </w:r>
    </w:p>
    <w:p>
      <w:pPr>
        <w:spacing w:before="0" w:after="0" w:line="240"/>
        <w:ind w:right="0" w:left="0" w:firstLine="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Выпускник владеет английским языком на уровне, сопоставимом с B2 CEFR.</w:t>
      </w:r>
    </w:p>
    <w:p>
      <w:pPr>
        <w:spacing w:before="0" w:after="0" w:line="240"/>
        <w:ind w:right="0" w:left="0" w:firstLine="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Иностранный обучающийся может изучать русский язык как иностранный вместо английского; в этом случае выпускник владеет русским языком на уровне, сопоставимом с ТРКИ-2.</w:t>
      </w:r>
    </w:p>
    <w:p>
      <w:pPr>
        <w:spacing w:before="0" w:after="0" w:line="240"/>
        <w:ind w:right="0" w:left="0" w:firstLine="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Выпускник владеет навыками академического письма на английском языке.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Описание обязательных требований к поступающим на обучение (при их наличии)</w:t>
      </w:r>
    </w:p>
    <w:p>
      <w:pPr>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В соответствии с Порядком приема на обучение по образовательным программам высшего образования программам бакалавриата, специалитета, программам магистратуры (утвержден приказом Минобрнауки России от 14.10.2015 №1147, с дополнениями).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shd w:fill="auto" w:val="clear"/>
        </w:rPr>
        <w:t xml:space="preserve">Описание способов и вариантов индивидуализации обучения, правил формирования индивидуальных образовательных траекторий, обеспечивающих выполнение учебного плана (при их наличии)</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Особенностью программы является большое количество элективных дисциплин: около половины курсов третьего года обучения и почти все курсы четвертого года обучения являются курсами по выбору. Преподавание элективных дисциплин проводится высококвалифицированными специалистами, которые рекомендуются Советом программы.</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w:t>
      </w:r>
      <w:r>
        <w:rPr>
          <w:rFonts w:ascii="Times New Roman" w:hAnsi="Times New Roman" w:cs="Times New Roman" w:eastAsia="Times New Roman"/>
          <w:b/>
          <w:color w:val="auto"/>
          <w:spacing w:val="0"/>
          <w:position w:val="0"/>
          <w:sz w:val="24"/>
          <w:shd w:fill="auto" w:val="clear"/>
        </w:rPr>
        <w:t xml:space="preserve">Сведения о кадровом обеспечении реализации образовательной программы</w:t>
      </w:r>
    </w:p>
    <w:p>
      <w:pPr>
        <w:tabs>
          <w:tab w:val="left" w:pos="993" w:leader="none"/>
          <w:tab w:val="left" w:pos="1134" w:leader="none"/>
        </w:tabs>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Кадровое обеспечение образовательной программы базируется на участии в образовательной деятельности ведущих ученых, привлечении молодых ученых, признанных специалистов-практиков, интернационализации научно-педагогического коллектива. Квалификация научно-педагогических работников оценивается на основе анализа их актуальных достижений в научной, педагогической и экспертной областях деятельности.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w:t>
      </w:r>
      <w:r>
        <w:rPr>
          <w:rFonts w:ascii="Times New Roman" w:hAnsi="Times New Roman" w:cs="Times New Roman" w:eastAsia="Times New Roman"/>
          <w:b/>
          <w:color w:val="auto"/>
          <w:spacing w:val="0"/>
          <w:position w:val="0"/>
          <w:sz w:val="24"/>
          <w:shd w:fill="auto" w:val="clear"/>
        </w:rPr>
        <w:t xml:space="preserve">Сведения об условиях реализации образовательной программы</w:t>
      </w:r>
    </w:p>
    <w:p>
      <w:pPr>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Условия реализации образовательной программы обеспечиваются материально-технической базой и всеми ресурсами Университета, соответствующими действующим правилам и нормам, с учетом потребностей всех видов учебной деятельности, предусмотренных образовательной программой, в том числе: </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Научным парком СПбГУ;</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Научной библиотекой им. М.Горького (информационно-библиотечным комплексом СПбГУ);</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ресурсами Университетской клиники СПбГУ;</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коллекциями СПбГУ;</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доступом в электронную информационно-образовательную среду СПбГУ посредством информационно-коммуникационных технологий;</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необходимым лицензионным программным обеспечением;</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базами практик, в т.ч. на основании договоров с организациями;</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учебными лабораториями;</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аудиторным фондом и иными помещениями;</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оборудованием и техническим средствами обучения;</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иными ресурсами.</w:t>
      </w:r>
    </w:p>
    <w:p>
      <w:pPr>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При реализации образовательной программы в СПбГУ:</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осуществляется с использованием единой электронной информационно-образовательной среды для образовательной, научной, экспертной деятельности Университета, обеспечения доступа обучающихся и научно-педагогических работников к информационно-образовательным ресурсам СПбГУ. </w:t>
      </w:r>
    </w:p>
    <w:p>
      <w:pPr>
        <w:spacing w:before="0" w:after="0" w:line="240"/>
        <w:ind w:right="0" w:left="1080" w:hanging="371"/>
        <w:jc w:val="both"/>
        <w:rPr>
          <w:rFonts w:ascii="Times New Roman Cyr" w:hAnsi="Times New Roman Cyr" w:cs="Times New Roman Cyr" w:eastAsia="Times New Roman Cyr"/>
          <w:color w:val="auto"/>
          <w:spacing w:val="0"/>
          <w:position w:val="0"/>
          <w:sz w:val="24"/>
          <w:shd w:fill="auto" w:val="clear"/>
        </w:rPr>
      </w:pPr>
      <w:r>
        <w:rPr>
          <w:rFonts w:ascii="Symbol" w:hAnsi="Symbol" w:cs="Symbol" w:eastAsia="Symbol"/>
          <w:color w:val="auto"/>
          <w:spacing w:val="0"/>
          <w:position w:val="0"/>
          <w:sz w:val="24"/>
          <w:shd w:fill="auto" w:val="clear"/>
        </w:rPr>
        <w:t xml:space="preserve">·</w:t>
        <w:tab/>
      </w:r>
      <w:r>
        <w:rPr>
          <w:rFonts w:ascii="Times New Roman Cyr" w:hAnsi="Times New Roman Cyr" w:cs="Times New Roman Cyr" w:eastAsia="Times New Roman Cyr"/>
          <w:color w:val="auto"/>
          <w:spacing w:val="0"/>
          <w:position w:val="0"/>
          <w:sz w:val="24"/>
          <w:shd w:fill="auto" w:val="clear"/>
        </w:rPr>
        <w:t xml:space="preserve">применяется электронное обучение, дистанционные и современные цифровые образовательные технологии, в том числе онлайн-курсы СПбГУ. Для обучающихся предусмотрена возможность зачета результатов освоения онлайн-курсов других образовательных организаций в установленном в СПбГУ порядке.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w:t>
      </w:r>
      <w:r>
        <w:rPr>
          <w:rFonts w:ascii="Times New Roman" w:hAnsi="Times New Roman" w:cs="Times New Roman" w:eastAsia="Times New Roman"/>
          <w:b/>
          <w:color w:val="auto"/>
          <w:spacing w:val="0"/>
          <w:position w:val="0"/>
          <w:sz w:val="24"/>
          <w:shd w:fill="auto" w:val="clear"/>
        </w:rPr>
        <w:t xml:space="preserve">Особенности реализации образовательной программы для обучения инвалидов и лиц с ограниченными возможностями здоровья</w:t>
      </w:r>
    </w:p>
    <w:p>
      <w:pPr>
        <w:spacing w:before="0" w:after="0" w:line="240"/>
        <w:ind w:right="0" w:left="0" w:firstLine="0"/>
        <w:jc w:val="both"/>
        <w:rPr>
          <w:rFonts w:ascii="Times New Roman Cyr" w:hAnsi="Times New Roman Cyr" w:cs="Times New Roman Cyr" w:eastAsia="Times New Roman Cyr"/>
          <w:color w:val="auto"/>
          <w:spacing w:val="0"/>
          <w:position w:val="0"/>
          <w:sz w:val="24"/>
          <w:shd w:fill="auto" w:val="clear"/>
        </w:rPr>
      </w:pPr>
      <w:r>
        <w:rPr>
          <w:rFonts w:ascii="Times New Roman Cyr" w:hAnsi="Times New Roman Cyr" w:cs="Times New Roman Cyr" w:eastAsia="Times New Roman Cyr"/>
          <w:color w:val="auto"/>
          <w:spacing w:val="0"/>
          <w:position w:val="0"/>
          <w:sz w:val="24"/>
          <w:shd w:fill="auto" w:val="clear"/>
        </w:rPr>
        <w:t xml:space="preserve">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 индивидуальных возможностей и состояния здоровья для удовлетворения их образовательных потребностей и интересов. Электронное обучение, 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w:t>
      </w:r>
      <w:r>
        <w:rPr>
          <w:rFonts w:ascii="Times New Roman" w:hAnsi="Times New Roman" w:cs="Times New Roman" w:eastAsia="Times New Roman"/>
          <w:b/>
          <w:color w:val="auto"/>
          <w:spacing w:val="0"/>
          <w:position w:val="0"/>
          <w:sz w:val="24"/>
          <w:shd w:fill="auto" w:val="clear"/>
        </w:rPr>
        <w:t xml:space="preserve">Дополнительная информация об образовательной программе</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ООО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Яндекс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ПАО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Газпром нефть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направили в СПбГУ письма в поддержку открытия Программы.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