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pPr>
      <w:r>
        <w:rPr>
          <w:rFonts w:ascii="Arial" w:cs="Arial" w:eastAsia="Arial" w:hAnsi="Arial"/>
          <w:b/>
          <w:bCs/>
          <w:color w:val="0F172A"/>
          <w:sz w:val="88"/>
          <w:szCs w:val="88"/>
        </w:rPr>
        <w:t xml:space="preserve">Analyt</w:t>
      </w:r>
      <w:r>
        <w:rPr>
          <w:rFonts w:ascii="Arial" w:cs="Arial" w:eastAsia="Arial" w:hAnsi="Arial"/>
          <w:b/>
          <w:bCs/>
          <w:color w:val="2563EB"/>
          <w:sz w:val="88"/>
          <w:szCs w:val="88"/>
        </w:rPr>
        <w:t xml:space="preserve">IQ</w:t>
      </w:r>
    </w:p>
    <w:p>
      <w:pPr>
        <w:pBdr>
          <w:bottom w:val="single" w:color="2563EB" w:sz="24" w:space="10"/>
        </w:pBdr>
        <w:spacing w:after="480"/>
      </w:pPr>
      <w:r>
        <w:rPr>
          <w:rFonts w:ascii="Arial" w:cs="Arial" w:eastAsia="Arial" w:hAnsi="Arial"/>
          <w:color w:val="334155"/>
          <w:sz w:val="40"/>
          <w:szCs w:val="40"/>
        </w:rPr>
        <w:t xml:space="preserve">BUSINESS PLAN</w:t>
      </w:r>
    </w:p>
    <w:p>
      <w:pPr>
        <w:spacing w:after="2000" w:before="0" w:line="300" w:lineRule="auto"/>
      </w:pPr>
      <w:r>
        <w:rPr>
          <w:rFonts w:ascii="Arial" w:cs="Arial" w:eastAsia="Arial" w:hAnsi="Arial"/>
          <w:i/>
          <w:iCs/>
          <w:color w:val="64748B"/>
          <w:sz w:val="26"/>
          <w:szCs w:val="26"/>
        </w:rPr>
        <w:t xml:space="preserve">Agentic self-service analytics — ask a business question in plain English and receive a governed, backtested, shareable predictive dashboard.</w:t>
      </w:r>
    </w:p>
    <w:p>
      <w:pPr>
        <w:spacing w:after="60" w:before="0" w:line="300" w:lineRule="auto"/>
      </w:pPr>
      <w:r>
        <w:rPr>
          <w:rFonts w:ascii="Arial" w:cs="Arial" w:eastAsia="Arial" w:hAnsi="Arial"/>
          <w:color w:val="64748B"/>
          <w:sz w:val="20"/>
          <w:szCs w:val="20"/>
        </w:rPr>
        <w:t xml:space="preserve">Prepared by</w:t>
      </w:r>
    </w:p>
    <w:p>
      <w:pPr>
        <w:spacing w:after="300" w:before="0" w:line="300" w:lineRule="auto"/>
      </w:pPr>
      <w:r>
        <w:rPr>
          <w:rFonts w:ascii="Arial" w:cs="Arial" w:eastAsia="Arial" w:hAnsi="Arial"/>
          <w:b/>
          <w:bCs/>
          <w:color w:val="0F172A"/>
          <w:sz w:val="24"/>
          <w:szCs w:val="24"/>
        </w:rPr>
        <w:t xml:space="preserve">Leo Carrico — Founder &amp; Chief Executive Officer</w:t>
      </w:r>
    </w:p>
    <w:p>
      <w:pPr>
        <w:spacing w:after="60" w:before="0" w:line="300" w:lineRule="auto"/>
      </w:pPr>
      <w:r>
        <w:rPr>
          <w:rFonts w:ascii="Arial" w:cs="Arial" w:eastAsia="Arial" w:hAnsi="Arial"/>
          <w:color w:val="334155"/>
          <w:sz w:val="21"/>
          <w:szCs w:val="21"/>
        </w:rPr>
        <w:t xml:space="preserve">AnalytIQ, Inc. (assumed Delaware C-Corporation — see Open Items)</w:t>
      </w:r>
    </w:p>
    <w:p>
      <w:pPr>
        <w:spacing w:after="60" w:before="0" w:line="300" w:lineRule="auto"/>
      </w:pPr>
      <w:r>
        <w:rPr>
          <w:rFonts w:ascii="Arial" w:cs="Arial" w:eastAsia="Arial" w:hAnsi="Arial"/>
          <w:color w:val="334155"/>
          <w:sz w:val="21"/>
          <w:szCs w:val="21"/>
        </w:rPr>
        <w:t xml:space="preserve">Remote-first company · Registered office (placeholder): 1209 Orange Street, Wilmington, DE 19801</w:t>
      </w:r>
    </w:p>
    <w:p>
      <w:pPr>
        <w:spacing w:after="60" w:before="0" w:line="300" w:lineRule="auto"/>
      </w:pPr>
      <w:r>
        <w:rPr>
          <w:rFonts w:ascii="Arial" w:cs="Arial" w:eastAsia="Arial" w:hAnsi="Arial"/>
          <w:color w:val="334155"/>
          <w:sz w:val="21"/>
          <w:szCs w:val="21"/>
        </w:rPr>
        <w:t xml:space="preserve">Telephone: to be assigned (placeholder) · E-mail: lcarrico827@gmail.com</w:t>
      </w:r>
    </w:p>
    <w:p>
      <w:pPr>
        <w:spacing w:after="400" w:before="0" w:line="300" w:lineRule="auto"/>
      </w:pPr>
      <w:r>
        <w:rPr>
          <w:rFonts w:ascii="Arial" w:cs="Arial" w:eastAsia="Arial" w:hAnsi="Arial"/>
          <w:color w:val="334155"/>
          <w:sz w:val="21"/>
          <w:szCs w:val="21"/>
        </w:rPr>
        <w:t xml:space="preserve">July 5, 2026</w:t>
      </w:r>
    </w:p>
    <w:p>
      <w:pPr>
        <w:spacing w:after="200" w:before="0" w:line="300" w:lineRule="auto"/>
      </w:pPr>
      <w:r>
        <w:rPr>
          <w:rFonts w:ascii="Arial" w:cs="Arial" w:eastAsia="Arial" w:hAnsi="Arial"/>
          <w:b/>
          <w:bCs/>
          <w:color w:val="64748B"/>
          <w:sz w:val="18"/>
          <w:szCs w:val="18"/>
        </w:rPr>
        <w:t xml:space="preserve">CONFIDENTIAL — </w:t>
      </w:r>
      <w:r>
        <w:rPr>
          <w:rFonts w:ascii="Arial" w:cs="Arial" w:eastAsia="Arial" w:hAnsi="Arial"/>
          <w:color w:val="64748B"/>
          <w:sz w:val="18"/>
          <w:szCs w:val="18"/>
        </w:rPr>
        <w:t xml:space="preserve">This document contains proprietary information and forward-looking projections based on stated assumptions. It is provided for evaluation purposes only.</w:t>
      </w:r>
    </w:p>
    <w:p>
      <w:pPr>
        <w:pageBreakBefore/>
        <w:spacing w:after="240"/>
      </w:pPr>
      <w:r>
        <w:rPr>
          <w:rFonts w:ascii="Arial" w:cs="Arial" w:eastAsia="Arial" w:hAnsi="Arial"/>
          <w:b/>
          <w:bCs/>
          <w:color w:val="0F172A"/>
          <w:sz w:val="36"/>
          <w:szCs w:val="36"/>
        </w:rPr>
        <w:t xml:space="preserve">Table of Contents</w:t>
      </w:r>
    </w:p>
    <w:p>
      <w:pPr>
        <w:tabs>
          <w:tab w:val="right" w:pos="9026" w:leader="dot"/>
        </w:tabs>
        <w:spacing w:after="200" w:line="300" w:lineRule="auto"/>
      </w:pPr>
      <w:r>
        <w:rPr>
          <w:rFonts w:ascii="Arial" w:cs="Arial" w:eastAsia="Arial" w:hAnsi="Arial"/>
          <w:color w:val="0F172A"/>
          <w:sz w:val="24"/>
          <w:szCs w:val="24"/>
        </w:rPr>
        <w:t xml:space="preserve">1.  Executive Summary</w:t>
      </w:r>
      <w:r>
        <w:rPr>
          <w:sz w:val="24"/>
          <w:szCs w:val="24"/>
        </w:rPr>
        <w:t xml:space="preserve">	</w:t>
      </w:r>
      <w:r>
        <w:rPr>
          <w:rFonts w:ascii="Arial" w:cs="Arial" w:eastAsia="Arial" w:hAnsi="Arial"/>
          <w:color w:val="64748B"/>
          <w:sz w:val="24"/>
          <w:szCs w:val="24"/>
        </w:rPr>
        <w:t xml:space="preserve">3</w:t>
      </w:r>
    </w:p>
    <w:p>
      <w:pPr>
        <w:tabs>
          <w:tab w:val="right" w:pos="9026" w:leader="dot"/>
        </w:tabs>
        <w:spacing w:after="200" w:line="300" w:lineRule="auto"/>
      </w:pPr>
      <w:r>
        <w:rPr>
          <w:rFonts w:ascii="Arial" w:cs="Arial" w:eastAsia="Arial" w:hAnsi="Arial"/>
          <w:color w:val="0F172A"/>
          <w:sz w:val="24"/>
          <w:szCs w:val="24"/>
        </w:rPr>
        <w:t xml:space="preserve">2.  General Company Description</w:t>
      </w:r>
      <w:r>
        <w:rPr>
          <w:sz w:val="24"/>
          <w:szCs w:val="24"/>
        </w:rPr>
        <w:t xml:space="preserve">	</w:t>
      </w:r>
      <w:r>
        <w:rPr>
          <w:rFonts w:ascii="Arial" w:cs="Arial" w:eastAsia="Arial" w:hAnsi="Arial"/>
          <w:color w:val="64748B"/>
          <w:sz w:val="24"/>
          <w:szCs w:val="24"/>
        </w:rPr>
        <w:t xml:space="preserve">4</w:t>
      </w:r>
    </w:p>
    <w:p>
      <w:pPr>
        <w:tabs>
          <w:tab w:val="right" w:pos="9026" w:leader="dot"/>
        </w:tabs>
        <w:spacing w:after="200" w:line="300" w:lineRule="auto"/>
      </w:pPr>
      <w:r>
        <w:rPr>
          <w:rFonts w:ascii="Arial" w:cs="Arial" w:eastAsia="Arial" w:hAnsi="Arial"/>
          <w:color w:val="0F172A"/>
          <w:sz w:val="24"/>
          <w:szCs w:val="24"/>
        </w:rPr>
        <w:t xml:space="preserve">3.  Products and Services</w:t>
      </w:r>
      <w:r>
        <w:rPr>
          <w:sz w:val="24"/>
          <w:szCs w:val="24"/>
        </w:rPr>
        <w:t xml:space="preserve">	</w:t>
      </w:r>
      <w:r>
        <w:rPr>
          <w:rFonts w:ascii="Arial" w:cs="Arial" w:eastAsia="Arial" w:hAnsi="Arial"/>
          <w:color w:val="64748B"/>
          <w:sz w:val="24"/>
          <w:szCs w:val="24"/>
        </w:rPr>
        <w:t xml:space="preserve">6</w:t>
      </w:r>
    </w:p>
    <w:p>
      <w:pPr>
        <w:tabs>
          <w:tab w:val="right" w:pos="9026" w:leader="dot"/>
        </w:tabs>
        <w:spacing w:after="200" w:line="300" w:lineRule="auto"/>
      </w:pPr>
      <w:r>
        <w:rPr>
          <w:rFonts w:ascii="Arial" w:cs="Arial" w:eastAsia="Arial" w:hAnsi="Arial"/>
          <w:color w:val="0F172A"/>
          <w:sz w:val="24"/>
          <w:szCs w:val="24"/>
        </w:rPr>
        <w:t xml:space="preserve">4.  Marketing Plan</w:t>
      </w:r>
      <w:r>
        <w:rPr>
          <w:sz w:val="24"/>
          <w:szCs w:val="24"/>
        </w:rPr>
        <w:t xml:space="preserve">	</w:t>
      </w:r>
      <w:r>
        <w:rPr>
          <w:rFonts w:ascii="Arial" w:cs="Arial" w:eastAsia="Arial" w:hAnsi="Arial"/>
          <w:color w:val="64748B"/>
          <w:sz w:val="24"/>
          <w:szCs w:val="24"/>
        </w:rPr>
        <w:t xml:space="preserve">8</w:t>
      </w:r>
    </w:p>
    <w:p>
      <w:pPr>
        <w:tabs>
          <w:tab w:val="right" w:pos="9026" w:leader="dot"/>
        </w:tabs>
        <w:spacing w:after="200" w:line="300" w:lineRule="auto"/>
      </w:pPr>
      <w:r>
        <w:rPr>
          <w:rFonts w:ascii="Arial" w:cs="Arial" w:eastAsia="Arial" w:hAnsi="Arial"/>
          <w:color w:val="0F172A"/>
          <w:sz w:val="24"/>
          <w:szCs w:val="24"/>
        </w:rPr>
        <w:t xml:space="preserve">5.  Operational Plan</w:t>
      </w:r>
      <w:r>
        <w:rPr>
          <w:sz w:val="24"/>
          <w:szCs w:val="24"/>
        </w:rPr>
        <w:t xml:space="preserve">	</w:t>
      </w:r>
      <w:r>
        <w:rPr>
          <w:rFonts w:ascii="Arial" w:cs="Arial" w:eastAsia="Arial" w:hAnsi="Arial"/>
          <w:color w:val="64748B"/>
          <w:sz w:val="24"/>
          <w:szCs w:val="24"/>
        </w:rPr>
        <w:t xml:space="preserve">15</w:t>
      </w:r>
    </w:p>
    <w:p>
      <w:pPr>
        <w:tabs>
          <w:tab w:val="right" w:pos="9026" w:leader="dot"/>
        </w:tabs>
        <w:spacing w:after="200" w:line="300" w:lineRule="auto"/>
      </w:pPr>
      <w:r>
        <w:rPr>
          <w:rFonts w:ascii="Arial" w:cs="Arial" w:eastAsia="Arial" w:hAnsi="Arial"/>
          <w:color w:val="0F172A"/>
          <w:sz w:val="24"/>
          <w:szCs w:val="24"/>
        </w:rPr>
        <w:t xml:space="preserve">6.  Management and Organization</w:t>
      </w:r>
      <w:r>
        <w:rPr>
          <w:sz w:val="24"/>
          <w:szCs w:val="24"/>
        </w:rPr>
        <w:t xml:space="preserve">	</w:t>
      </w:r>
      <w:r>
        <w:rPr>
          <w:rFonts w:ascii="Arial" w:cs="Arial" w:eastAsia="Arial" w:hAnsi="Arial"/>
          <w:color w:val="64748B"/>
          <w:sz w:val="24"/>
          <w:szCs w:val="24"/>
        </w:rPr>
        <w:t xml:space="preserve">18</w:t>
      </w:r>
    </w:p>
    <w:p>
      <w:pPr>
        <w:tabs>
          <w:tab w:val="right" w:pos="9026" w:leader="dot"/>
        </w:tabs>
        <w:spacing w:after="200" w:line="300" w:lineRule="auto"/>
      </w:pPr>
      <w:r>
        <w:rPr>
          <w:rFonts w:ascii="Arial" w:cs="Arial" w:eastAsia="Arial" w:hAnsi="Arial"/>
          <w:color w:val="0F172A"/>
          <w:sz w:val="24"/>
          <w:szCs w:val="24"/>
        </w:rPr>
        <w:t xml:space="preserve">7.  Personal Financial Statement</w:t>
      </w:r>
      <w:r>
        <w:rPr>
          <w:sz w:val="24"/>
          <w:szCs w:val="24"/>
        </w:rPr>
        <w:t xml:space="preserve">	</w:t>
      </w:r>
      <w:r>
        <w:rPr>
          <w:rFonts w:ascii="Arial" w:cs="Arial" w:eastAsia="Arial" w:hAnsi="Arial"/>
          <w:color w:val="64748B"/>
          <w:sz w:val="24"/>
          <w:szCs w:val="24"/>
        </w:rPr>
        <w:t xml:space="preserve">19</w:t>
      </w:r>
    </w:p>
    <w:p>
      <w:pPr>
        <w:tabs>
          <w:tab w:val="right" w:pos="9026" w:leader="dot"/>
        </w:tabs>
        <w:spacing w:after="200" w:line="300" w:lineRule="auto"/>
      </w:pPr>
      <w:r>
        <w:rPr>
          <w:rFonts w:ascii="Arial" w:cs="Arial" w:eastAsia="Arial" w:hAnsi="Arial"/>
          <w:color w:val="0F172A"/>
          <w:sz w:val="24"/>
          <w:szCs w:val="24"/>
        </w:rPr>
        <w:t xml:space="preserve">8.  Startup Expenses and Capitalization</w:t>
      </w:r>
      <w:r>
        <w:rPr>
          <w:sz w:val="24"/>
          <w:szCs w:val="24"/>
        </w:rPr>
        <w:t xml:space="preserve">	</w:t>
      </w:r>
      <w:r>
        <w:rPr>
          <w:rFonts w:ascii="Arial" w:cs="Arial" w:eastAsia="Arial" w:hAnsi="Arial"/>
          <w:color w:val="64748B"/>
          <w:sz w:val="24"/>
          <w:szCs w:val="24"/>
        </w:rPr>
        <w:t xml:space="preserve">20</w:t>
      </w:r>
    </w:p>
    <w:p>
      <w:pPr>
        <w:tabs>
          <w:tab w:val="right" w:pos="9026" w:leader="dot"/>
        </w:tabs>
        <w:spacing w:after="200" w:line="300" w:lineRule="auto"/>
      </w:pPr>
      <w:r>
        <w:rPr>
          <w:rFonts w:ascii="Arial" w:cs="Arial" w:eastAsia="Arial" w:hAnsi="Arial"/>
          <w:color w:val="0F172A"/>
          <w:sz w:val="24"/>
          <w:szCs w:val="24"/>
        </w:rPr>
        <w:t xml:space="preserve">9.  Financial Plan</w:t>
      </w:r>
      <w:r>
        <w:rPr>
          <w:sz w:val="24"/>
          <w:szCs w:val="24"/>
        </w:rPr>
        <w:t xml:space="preserve">	</w:t>
      </w:r>
      <w:r>
        <w:rPr>
          <w:rFonts w:ascii="Arial" w:cs="Arial" w:eastAsia="Arial" w:hAnsi="Arial"/>
          <w:color w:val="64748B"/>
          <w:sz w:val="24"/>
          <w:szCs w:val="24"/>
        </w:rPr>
        <w:t xml:space="preserve">22</w:t>
      </w:r>
    </w:p>
    <w:p>
      <w:pPr>
        <w:tabs>
          <w:tab w:val="right" w:pos="9026" w:leader="dot"/>
        </w:tabs>
        <w:spacing w:after="200" w:line="300" w:lineRule="auto"/>
      </w:pPr>
      <w:r>
        <w:rPr>
          <w:rFonts w:ascii="Arial" w:cs="Arial" w:eastAsia="Arial" w:hAnsi="Arial"/>
          <w:color w:val="0F172A"/>
          <w:sz w:val="24"/>
          <w:szCs w:val="24"/>
        </w:rPr>
        <w:t xml:space="preserve">10.  Appendices</w:t>
      </w:r>
      <w:r>
        <w:rPr>
          <w:sz w:val="24"/>
          <w:szCs w:val="24"/>
        </w:rPr>
        <w:t xml:space="preserve">	</w:t>
      </w:r>
      <w:r>
        <w:rPr>
          <w:rFonts w:ascii="Arial" w:cs="Arial" w:eastAsia="Arial" w:hAnsi="Arial"/>
          <w:color w:val="64748B"/>
          <w:sz w:val="24"/>
          <w:szCs w:val="24"/>
        </w:rPr>
        <w:t xml:space="preserve">25</w:t>
      </w:r>
    </w:p>
    <w:p>
      <w:pPr>
        <w:tabs>
          <w:tab w:val="right" w:pos="9026" w:leader="dot"/>
        </w:tabs>
        <w:spacing w:after="200" w:line="300" w:lineRule="auto"/>
      </w:pPr>
      <w:r>
        <w:rPr>
          <w:rFonts w:ascii="Arial" w:cs="Arial" w:eastAsia="Arial" w:hAnsi="Arial"/>
          <w:color w:val="0F172A"/>
          <w:sz w:val="24"/>
          <w:szCs w:val="24"/>
        </w:rPr>
        <w:t xml:space="preserve">11.  Open Items — Questions for the Owner</w:t>
      </w:r>
      <w:r>
        <w:rPr>
          <w:sz w:val="24"/>
          <w:szCs w:val="24"/>
        </w:rPr>
        <w:t xml:space="preserve">	</w:t>
      </w:r>
      <w:r>
        <w:rPr>
          <w:rFonts w:ascii="Arial" w:cs="Arial" w:eastAsia="Arial" w:hAnsi="Arial"/>
          <w:color w:val="64748B"/>
          <w:sz w:val="24"/>
          <w:szCs w:val="24"/>
        </w:rPr>
        <w:t xml:space="preserve">26</w:t>
      </w:r>
    </w:p>
    <w:p>
      <w:pPr>
        <w:pStyle w:val="Heading1"/>
        <w:pageBreakBefore/>
        <w:pBdr>
          <w:bottom w:val="single" w:color="2563EB" w:sz="12" w:space="6"/>
        </w:pBdr>
        <w:spacing w:after="280" w:before="0"/>
      </w:pPr>
      <w:r>
        <w:t xml:space="preserve">1.  Executive Summary</w:t>
      </w:r>
    </w:p>
    <w:p>
      <w:pPr>
        <w:spacing w:after="200" w:before="0" w:line="300" w:lineRule="auto"/>
      </w:pPr>
      <w:r>
        <w:rPr>
          <w:rFonts w:ascii="Arial" w:cs="Arial" w:eastAsia="Arial" w:hAnsi="Arial"/>
          <w:color w:val="334155"/>
          <w:sz w:val="22"/>
          <w:szCs w:val="22"/>
        </w:rPr>
        <w:t xml:space="preserve">AnalytIQ is an agentic self-service analytics platform. A user types a business question in plain English — “predict net revenue for the next 14 days by location” — and the platform plans the analysis, curates a governed gold-layer table, trains and backtests a predictive model, and delivers a self-contained, shareable dashboard artifact. No SQL, no Python, and no data-engineering prerequisite. Our mission: enable any knowledge worker to go from a business question to a validated, deployed predictive dashboard in a single conversation.</w:t>
      </w:r>
    </w:p>
    <w:p>
      <w:pPr>
        <w:spacing w:after="200" w:before="0" w:line="300" w:lineRule="auto"/>
      </w:pPr>
      <w:r>
        <w:rPr>
          <w:rFonts w:ascii="Arial" w:cs="Arial" w:eastAsia="Arial" w:hAnsi="Arial"/>
          <w:color w:val="334155"/>
          <w:sz w:val="22"/>
          <w:szCs w:val="22"/>
        </w:rPr>
        <w:t xml:space="preserve">The product exists today. A demo-grade, full-stack implementation (React front end, Python API, 40-plus-table schema) is developed under a spec-driven, test-first program and currently holds 440 green backend tests and 153 green UI tests. Two authoritative specification documents — PRD v1.0.0 and Comprehensive System Architecture v2.1 with an evolution roadmap — define the path from today’s build to the commercial product. Thirty-two of sixty-four stories in the final UI parity program are complete; general availability is assumed for January 2027.</w:t>
      </w:r>
    </w:p>
    <w:p>
      <w:pPr>
        <w:spacing w:after="200" w:before="0" w:line="300" w:lineRule="auto"/>
      </w:pPr>
      <w:r>
        <w:rPr>
          <w:rFonts w:ascii="Arial" w:cs="Arial" w:eastAsia="Arial" w:hAnsi="Arial"/>
          <w:color w:val="334155"/>
          <w:sz w:val="22"/>
          <w:szCs w:val="22"/>
        </w:rPr>
        <w:t xml:space="preserve">The opportunity is the gap between two unsatisfying categories: BI tools that are genuinely self-service but only descriptive (Tableau, Power BI, Metabase), and ML platforms that are predictive but demand data-science expertise (Databricks, SageMaker). Industry analysts size the augmented-analytics market at roughly $25–30 billion in 2026, growing at a 22–30% compound annual rate. AnalytIQ’s differentiation is trust engineering: one canonical definition per metric, deterministic quality gates at every pipeline stage, walk-forward backtesting (never optimistic random splits on time-series), full lineage on every artifact, and portable single-file dashboards that recipients can open without an account or license.</w:t>
      </w:r>
    </w:p>
    <w:p>
      <w:pPr>
        <w:spacing w:after="200" w:before="0" w:line="300" w:lineRule="auto"/>
      </w:pPr>
      <w:r>
        <w:rPr>
          <w:rFonts w:ascii="Arial" w:cs="Arial" w:eastAsia="Arial" w:hAnsi="Arial"/>
          <w:color w:val="334155"/>
          <w:sz w:val="22"/>
          <w:szCs w:val="22"/>
        </w:rPr>
        <w:t xml:space="preserve">We operate a product-led model: a free Starter tier, self-serve Team ($149/month) and Business ($499/month) plans, and sales-assisted Enterprise contracts (assumed average $2,500/month). Token metering aligns our largest variable cost — AI inference — with revenue. The plan projects approximately $274,000 in first-year revenue, reaching about $56,000 in monthly recurring revenue by Month 12, with break-even at approximately $105,000 MRR expected in Year 2.</w:t>
      </w:r>
    </w:p>
    <w:p>
      <w:pPr>
        <w:spacing w:after="200" w:before="0" w:line="300" w:lineRule="auto"/>
      </w:pPr>
      <w:r>
        <w:rPr>
          <w:rFonts w:ascii="Arial" w:cs="Arial" w:eastAsia="Arial" w:hAnsi="Arial"/>
          <w:color w:val="334155"/>
          <w:sz w:val="22"/>
          <w:szCs w:val="22"/>
        </w:rPr>
        <w:t xml:space="preserve">Funding: we are seeking $1,500,000 in seed capital (assumed SAFE instrument) alongside a $50,000 founder contribution. Proceeds fund a six-person team, SOC 2 certification, and go-to-market execution, covering the projected Year-1 operating loss of roughly $659,000 while preserving more than twelve months of additional runway at the Year-1 exit burn rate. The money makes the business stronger by converting a finished, tested codebase into a certified, commercially launched product — the highest-leverage dollar this company will ever spend.</w:t>
      </w:r>
    </w:p>
    <w:p>
      <w:pPr>
        <w:pStyle w:val="Heading1"/>
        <w:pageBreakBefore/>
        <w:pBdr>
          <w:bottom w:val="single" w:color="2563EB" w:sz="12" w:space="6"/>
        </w:pBdr>
        <w:spacing w:after="280" w:before="0"/>
      </w:pPr>
      <w:r>
        <w:t xml:space="preserve">2.  General Company Description</w:t>
      </w:r>
    </w:p>
    <w:p>
      <w:pPr>
        <w:pStyle w:val="Heading2"/>
        <w:spacing w:after="160" w:before="320"/>
      </w:pPr>
      <w:r>
        <w:t xml:space="preserve">2.1  What business we are in</w:t>
      </w:r>
    </w:p>
    <w:p>
      <w:pPr>
        <w:spacing w:after="200" w:before="0" w:line="300" w:lineRule="auto"/>
      </w:pPr>
      <w:r>
        <w:rPr>
          <w:rFonts w:ascii="Arial" w:cs="Arial" w:eastAsia="Arial" w:hAnsi="Arial"/>
          <w:color w:val="334155"/>
          <w:sz w:val="22"/>
          <w:szCs w:val="22"/>
        </w:rPr>
        <w:t xml:space="preserve">AnalytIQ builds and operates a cloud software-as-a-service platform for conversational, governed, predictive analytics. Customers connect their existing data warehouse (Snowflake, BigQuery, Databricks, Redshift, Postgres, MySQL, DuckDB) or upload files; the platform profiles and governs the data automatically, then turns natural-language questions into production-grade dashboard artifacts backed by validated machine-learning models.</w:t>
      </w:r>
    </w:p>
    <w:p>
      <w:pPr>
        <w:pStyle w:val="Heading2"/>
        <w:spacing w:after="160" w:before="320"/>
      </w:pPr>
      <w:r>
        <w:t xml:space="preserve">2.2  Mission statement</w:t>
      </w:r>
    </w:p>
    <w:p>
      <w:pPr>
        <w:spacing w:after="200" w:before="0" w:line="300" w:lineRule="auto"/>
      </w:pPr>
      <w:r>
        <w:rPr>
          <w:rFonts w:ascii="Arial" w:cs="Arial" w:eastAsia="Arial" w:hAnsi="Arial"/>
          <w:i/>
          <w:iCs/>
          <w:color w:val="0F172A"/>
          <w:sz w:val="22"/>
          <w:szCs w:val="22"/>
        </w:rPr>
        <w:t xml:space="preserve">“Enable any knowledge worker to go from a business question to a validated, deployed predictive dashboard in a single conversation — with zero SQL, zero Python, and zero data engineering prerequisite.”</w:t>
      </w:r>
    </w:p>
    <w:p>
      <w:pPr>
        <w:pStyle w:val="Heading2"/>
        <w:spacing w:after="160" w:before="320"/>
      </w:pPr>
      <w:r>
        <w:t xml:space="preserve">2.3  Goals and objectives</w:t>
      </w:r>
    </w:p>
    <w:p>
      <w:pPr>
        <w:spacing w:after="200" w:before="0" w:line="300" w:lineRule="auto"/>
      </w:pPr>
      <w:r>
        <w:rPr>
          <w:rFonts w:ascii="Arial" w:cs="Arial" w:eastAsia="Arial" w:hAnsi="Arial"/>
          <w:color w:val="334155"/>
          <w:sz w:val="22"/>
          <w:szCs w:val="22"/>
        </w:rPr>
        <w:t xml:space="preserve">Goal: become the trusted standard for AI-generated analytics — the product teams reach for when a dashboard must be right, not merely fast. Objectives on the way there: complete the remaining 32 stories of the UI parity program and reach general availability by January 2027; convert 25 design-partner workspaces to paid plans in the first two quarters; finish Year 1 at approximately $56,000 MRR across roughly 176 paying workspaces; achieve SOC 2 Type I in Year 1 and Type II in Year 2; and maintain the engineering discipline of 100% green test suites on every release.</w:t>
      </w:r>
    </w:p>
    <w:p>
      <w:pPr>
        <w:pStyle w:val="Heading2"/>
        <w:spacing w:after="160" w:before="320"/>
      </w:pPr>
      <w:r>
        <w:t xml:space="preserve">2.4  Business philosophy</w:t>
      </w:r>
    </w:p>
    <w:p>
      <w:pPr>
        <w:spacing w:after="200" w:before="0" w:line="300" w:lineRule="auto"/>
      </w:pPr>
      <w:r>
        <w:rPr>
          <w:rFonts w:ascii="Arial" w:cs="Arial" w:eastAsia="Arial" w:hAnsi="Arial"/>
          <w:color w:val="334155"/>
          <w:sz w:val="22"/>
          <w:szCs w:val="22"/>
        </w:rPr>
        <w:t xml:space="preserve">Three beliefs run through the product and the company. First, trust is the product: an analytics answer that cannot show its lineage, definitions, and validation is a liability, so every stage of our pipeline is gated by deterministic validators rather than AI self-grading. Second, honesty in engineering: the codebase enforces an “honest-UI” rule — features are never faked to pass tests, and unsupported affordances ship disabled with an explanation. Third, portability over lock-in: sharing a dashboard must never require the recipient to buy a seat.</w:t>
      </w:r>
    </w:p>
    <w:p>
      <w:pPr>
        <w:pStyle w:val="Heading2"/>
        <w:spacing w:after="160" w:before="320"/>
      </w:pPr>
      <w:r>
        <w:t xml:space="preserve">2.5  Target market (summary)</w:t>
      </w:r>
    </w:p>
    <w:p>
      <w:pPr>
        <w:spacing w:after="200" w:before="0" w:line="300" w:lineRule="auto"/>
      </w:pPr>
      <w:r>
        <w:rPr>
          <w:rFonts w:ascii="Arial" w:cs="Arial" w:eastAsia="Arial" w:hAnsi="Arial"/>
          <w:color w:val="334155"/>
          <w:sz w:val="22"/>
          <w:szCs w:val="22"/>
        </w:rPr>
        <w:t xml:space="preserve">Mid-market, data-mature organizations (roughly 50–2,000 employees) that already run a cloud data warehouse but whose analysts are drowning in dashboard requests. Initial verticals: retail and e-commerce, B2B SaaS, logistics and operations, and financial services. Buyer personas mirror the product’s solutions pages: executives, data teams, operations, finance, sales, and customer success. Section 4 develops this fully.</w:t>
      </w:r>
    </w:p>
    <w:p>
      <w:pPr>
        <w:pStyle w:val="Heading2"/>
        <w:spacing w:after="160" w:before="320"/>
      </w:pPr>
      <w:r>
        <w:t xml:space="preserve">2.6  Industry description and outlook</w:t>
      </w:r>
    </w:p>
    <w:p>
      <w:pPr>
        <w:spacing w:after="200" w:before="0" w:line="300" w:lineRule="auto"/>
      </w:pPr>
      <w:r>
        <w:rPr>
          <w:rFonts w:ascii="Arial" w:cs="Arial" w:eastAsia="Arial" w:hAnsi="Arial"/>
          <w:color w:val="334155"/>
          <w:sz w:val="22"/>
          <w:szCs w:val="22"/>
        </w:rPr>
        <w:t xml:space="preserve">We compete in augmented analytics — the intersection of business intelligence and applied AI. Third-party estimates place the 2026 market between roughly $20 billion and $32 billion with forecast growth of 22–30% annually through 2030–2033, driven by LLM adoption, warehouse-native architectures, and executive pressure to make AI investments pay. Short term, we expect a wave of “chat with your data” features from incumbents that answer questions but do not govern them; long term, we expect procurement to demand exactly the audit trail, metric governance, and validation evidence AnalytIQ produces by construction. The company is positioned to benefit from both: the incumbents will educate the market on conversational analytics, and their trust gaps are our wedge.</w:t>
      </w:r>
    </w:p>
    <w:p>
      <w:pPr>
        <w:pStyle w:val="Heading2"/>
        <w:spacing w:after="160" w:before="320"/>
      </w:pPr>
      <w:r>
        <w:t xml:space="preserve">2.7  Core strengths and competencies</w:t>
      </w:r>
    </w:p>
    <w:p>
      <w:pPr>
        <w:spacing w:after="200" w:before="0" w:line="300" w:lineRule="auto"/>
      </w:pPr>
      <w:r>
        <w:rPr>
          <w:rFonts w:ascii="Arial" w:cs="Arial" w:eastAsia="Arial" w:hAnsi="Arial"/>
          <w:color w:val="334155"/>
          <w:sz w:val="22"/>
          <w:szCs w:val="22"/>
        </w:rPr>
        <w:t xml:space="preserve">The company’s strengths are (a) an architecture that treats governance as load-bearing — the five “non-negotiables” (one metric, one definition; no raw data to the LLM; deterministic validation gates; full provenance; portability) are structural, not marketing; (b) an unusually disciplined engineering system — spec-driven development with release plans, per-story regression, and a living parity scoreboard — which lets a small team ship enterprise-grade surface area; and (c) speed born of the zero-key local mode: the entire platform boots with no external services, making demos, trials, and development friction-free. The founder brings full-stack product and data-platform engineering experience and has personally driven the program from specification to a 593-test, demo-complete build (assumed background — see Open Items).</w:t>
      </w:r>
    </w:p>
    <w:p>
      <w:pPr>
        <w:pStyle w:val="Heading2"/>
        <w:spacing w:after="160" w:before="320"/>
      </w:pPr>
      <w:r>
        <w:t xml:space="preserve">2.8  Legal form of ownership</w:t>
      </w:r>
    </w:p>
    <w:p>
      <w:pPr>
        <w:spacing w:after="200" w:before="0" w:line="300" w:lineRule="auto"/>
      </w:pPr>
      <w:r>
        <w:rPr>
          <w:rFonts w:ascii="Arial" w:cs="Arial" w:eastAsia="Arial" w:hAnsi="Arial"/>
          <w:color w:val="334155"/>
          <w:sz w:val="22"/>
          <w:szCs w:val="22"/>
        </w:rPr>
        <w:t xml:space="preserve">Assumed: AnalytIQ, Inc., a Delaware C-Corporation, founder-owned at formation with a standard 10% employee option pool created at the seed round. The C-Corp form is selected because the company intends to raise institutional venture capital, grant stock options, and preserve the ability to retain earnings for growth — the standard structure investors expect. (Formation status, state, and cap table are placeholders to confirm; see Open Items.)</w:t>
      </w:r>
    </w:p>
    <w:p>
      <w:pPr>
        <w:pStyle w:val="Heading1"/>
        <w:pageBreakBefore/>
        <w:pBdr>
          <w:bottom w:val="single" w:color="2563EB" w:sz="12" w:space="6"/>
        </w:pBdr>
        <w:spacing w:after="280" w:before="0"/>
      </w:pPr>
      <w:r>
        <w:t xml:space="preserve">3.  Products and Services</w:t>
      </w:r>
    </w:p>
    <w:p>
      <w:pPr>
        <w:pStyle w:val="Heading2"/>
        <w:spacing w:after="160" w:before="320"/>
      </w:pPr>
      <w:r>
        <w:t xml:space="preserve">3.1  The product</w:t>
      </w:r>
    </w:p>
    <w:p>
      <w:pPr>
        <w:spacing w:after="200" w:before="0" w:line="300" w:lineRule="auto"/>
      </w:pPr>
      <w:r>
        <w:rPr>
          <w:rFonts w:ascii="Arial" w:cs="Arial" w:eastAsia="Arial" w:hAnsi="Arial"/>
          <w:color w:val="334155"/>
          <w:sz w:val="22"/>
          <w:szCs w:val="22"/>
        </w:rPr>
        <w:t xml:space="preserve">AnalytIQ is a single integrated platform organized as a governed pipeline of eight stages (expanded to ten in Architecture v2.1), each executed by a dedicated AI agent and each guarded by deterministic data-quality gates: (0) integration ingestion and automated governance — cataloging, profiling, health scoring, PII scanning, and a versioned governance manifest; (1) semantic layer construction — every metric defined exactly once, with join paths, hierarchies, and explores; (2) conversational session planning — intent classification with confidence thresholds and plain-English confirmation; (3) data modeling and feature engineering — gold tables with grain, fan-out, and leakage protection; (4) model training with mandatory walk-forward backtesting, trials, and model cards; (5) gold-layer persistence of predictions and forecasts; (6) artifact generation — a self-contained HTML dashboard under 250 KB with eight standard panels; and (7) workspace sharing — roles, signed embed tokens, public links, scheduled refresh, and drift monitoring.</w:t>
      </w:r>
    </w:p>
    <w:p>
      <w:pPr>
        <w:spacing w:after="200" w:before="0" w:line="300" w:lineRule="auto"/>
      </w:pPr>
      <w:r>
        <w:rPr>
          <w:rFonts w:ascii="Arial" w:cs="Arial" w:eastAsia="Arial" w:hAnsi="Arial"/>
          <w:color w:val="334155"/>
          <w:sz w:val="22"/>
          <w:szCs w:val="22"/>
        </w:rPr>
        <w:t xml:space="preserve">Supporting capabilities include a visual field picker for power users, persistent derived tables, dbt project import, proactive insight detection, natural-language annotations that feed back into model features, metric alert subscriptions, champion/challenger model management, and an append-only audit log of every governance and sharing event. A public template gallery and marketing site funnel prospects into a free tier.</w:t>
      </w:r>
    </w:p>
    <w:p>
      <w:pPr>
        <w:pStyle w:val="Heading2"/>
        <w:spacing w:after="160" w:before="320"/>
      </w:pPr>
      <w:r>
        <w:t xml:space="preserve">3.2  Competitive advantages</w:t>
      </w:r>
    </w:p>
    <w:p>
      <w:pPr>
        <w:spacing w:after="200" w:before="0" w:line="300" w:lineRule="auto"/>
      </w:pPr>
      <w:r>
        <w:rPr>
          <w:rFonts w:ascii="Arial" w:cs="Arial" w:eastAsia="Arial" w:hAnsi="Arial"/>
          <w:color w:val="334155"/>
          <w:sz w:val="22"/>
          <w:szCs w:val="22"/>
        </w:rPr>
        <w:t xml:space="preserve">Every dashboard AnalytIQ produces carries provenance back to source tables, governance-manifest version, semantic-layer version, feature-manifest version, and model identifier — competitors produce answers, we produce evidence. Walk-forward backtesting is enforced on all temporal predictions, eliminating the inflated accuracy claims endemic to AutoML tools. Artifacts are portable single files that fetch live data through scoped tokens, so sharing requires no recipient license. And the platform boots with zero external API keys, which collapses the evaluation cycle from weeks to minutes.</w:t>
      </w:r>
    </w:p>
    <w:p>
      <w:pPr>
        <w:pStyle w:val="Heading2"/>
        <w:spacing w:after="160" w:before="320"/>
      </w:pPr>
      <w:r>
        <w:t xml:space="preserve">3.3  Competitive disadvantages</w:t>
      </w:r>
    </w:p>
    <w:p>
      <w:pPr>
        <w:spacing w:after="200" w:before="0" w:line="300" w:lineRule="auto"/>
      </w:pPr>
      <w:r>
        <w:rPr>
          <w:rFonts w:ascii="Arial" w:cs="Arial" w:eastAsia="Arial" w:hAnsi="Arial"/>
          <w:color w:val="334155"/>
          <w:sz w:val="22"/>
          <w:szCs w:val="22"/>
        </w:rPr>
        <w:t xml:space="preserve">Honestly stated: we are a new company without brand trust, references, or a compliance portfolio (SOC 2 is planned, not held); the demo build today simulates warehouse execution and model training deterministically rather than calling live LLMs and warehouses at production scale (closing this is the core of the GA roadmap); and incumbents can bundle “good enough” AI features into contracts customers already pay for. Our mitigation is focus: win the trust-sensitive buyer with verifiable governance, and price low enough that a team can adopt us without a procurement battle.</w:t>
      </w:r>
    </w:p>
    <w:p>
      <w:pPr>
        <w:pStyle w:val="Heading2"/>
        <w:spacing w:after="160" w:before="320"/>
      </w:pPr>
      <w:r>
        <w:t xml:space="preserve">3.4  Pricing and fee structure</w:t>
      </w:r>
    </w:p>
    <w:p>
      <w:pPr>
        <w:spacing w:after="200" w:before="0" w:line="300" w:lineRule="auto"/>
      </w:pPr>
      <w:r>
        <w:rPr>
          <w:rFonts w:ascii="Arial" w:cs="Arial" w:eastAsia="Arial" w:hAnsi="Arial"/>
          <w:color w:val="334155"/>
          <w:sz w:val="22"/>
          <w:szCs w:val="22"/>
        </w:rPr>
        <w:t xml:space="preserve">Pricing is workspace-based subscription plus metered AI tokens — tokens meter the AI planning work (understanding questions, planning dashboards, writing narratives); viewing, filtering, and scheduled refreshes are free. Annual billing carries a 20% discount. Plan data below is taken from the product’s pricing specification and marketing build.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800"/>
        <w:gridCol w:w="2760"/>
      </w:tblGrid>
      <w:tr>
        <w:tc>
          <w:tcPr>
            <w:tcW w:type="dxa" w:w="150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Plan</w:t>
            </w:r>
          </w:p>
        </w:tc>
        <w:tc>
          <w:tcPr>
            <w:tcW w:type="dxa" w:w="130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Price / mo</w:t>
            </w:r>
          </w:p>
        </w:tc>
        <w:tc>
          <w:tcPr>
            <w:tcW w:type="dxa" w:w="380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Included</w:t>
            </w:r>
          </w:p>
        </w:tc>
        <w:tc>
          <w:tcPr>
            <w:tcW w:type="dxa" w:w="276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Key limits &amp; notes</w:t>
            </w:r>
          </w:p>
        </w:tc>
      </w:tr>
      <w:tr>
        <w:tc>
          <w:tcPr>
            <w:tcW w:type="dxa" w:w="150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Starter</w:t>
            </w:r>
          </w:p>
        </w:tc>
        <w:tc>
          <w:tcPr>
            <w:tcW w:type="dxa" w:w="130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$0</w:t>
            </w:r>
          </w:p>
        </w:tc>
        <w:tc>
          <w:tcPr>
            <w:tcW w:type="dxa" w:w="380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3 seats · 1 data source · 5 artifacts · 100K tokens/mo</w:t>
            </w:r>
          </w:p>
        </w:tc>
        <w:tc>
          <w:tcPr>
            <w:tcW w:type="dxa" w:w="27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No predictive models; no public share links. “Try the loop on one dataset.”</w:t>
            </w:r>
          </w:p>
        </w:tc>
      </w:tr>
      <w:tr>
        <w:tc>
          <w:tcPr>
            <w:tcW w:type="dxa" w:w="150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Team</w:t>
            </w:r>
          </w:p>
        </w:tc>
        <w:tc>
          <w:tcPr>
            <w:tcW w:type="dxa" w:w="130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$149</w:t>
            </w:r>
          </w:p>
        </w:tc>
        <w:tc>
          <w:tcPr>
            <w:tcW w:type="dxa" w:w="380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10 seats · 3 sources · unlimited artifacts · 500K tokens/mo</w:t>
            </w:r>
          </w:p>
        </w:tc>
        <w:tc>
          <w:tcPr>
            <w:tcW w:type="dxa" w:w="27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Signed public links only. “For teams shipping weekly answers.”</w:t>
            </w:r>
          </w:p>
        </w:tc>
      </w:tr>
      <w:tr>
        <w:tc>
          <w:tcPr>
            <w:tcW w:type="dxa" w:w="150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Business</w:t>
            </w:r>
          </w:p>
        </w:tc>
        <w:tc>
          <w:tcPr>
            <w:tcW w:type="dxa" w:w="130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$499</w:t>
            </w:r>
          </w:p>
        </w:tc>
        <w:tc>
          <w:tcPr>
            <w:tcW w:type="dxa" w:w="380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SSO · row-level security · full audit log · embeds + public links · priority support · 2M tokens/mo</w:t>
            </w:r>
          </w:p>
        </w:tc>
        <w:tc>
          <w:tcPr>
            <w:tcW w:type="dxa" w:w="27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Token overage $8 per 100K. Most-popular tier. “Governance for the whole org.”</w:t>
            </w:r>
          </w:p>
        </w:tc>
      </w:tr>
      <w:tr>
        <w:tc>
          <w:tcPr>
            <w:tcW w:type="dxa" w:w="150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Enterprise</w:t>
            </w:r>
          </w:p>
        </w:tc>
        <w:tc>
          <w:tcPr>
            <w:tcW w:type="dxa" w:w="130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Custom</w:t>
            </w:r>
          </w:p>
        </w:tc>
        <w:tc>
          <w:tcPr>
            <w:tcW w:type="dxa" w:w="380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Unlimited seats &amp; sources · custom token pools · VPC / private link · 99.9% SLA · DPA · SOC 2 reports · dedicated success engineer</w:t>
            </w:r>
          </w:p>
        </w:tc>
        <w:tc>
          <w:tcPr>
            <w:tcW w:type="dxa" w:w="27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Assumed average contract $2,500/mo ($30K ACV) for planning purposes.</w:t>
            </w:r>
          </w:p>
        </w:tc>
      </w:tr>
    </w:tbl>
    <w:p>
      <w:pPr>
        <w:spacing w:after="120"/>
      </w:pPr>
    </w:p>
    <w:p>
      <w:pPr>
        <w:spacing w:after="240" w:before="0" w:line="300" w:lineRule="auto"/>
      </w:pPr>
      <w:r>
        <w:rPr>
          <w:rFonts w:ascii="Arial" w:cs="Arial" w:eastAsia="Arial" w:hAnsi="Arial"/>
          <w:b/>
          <w:bCs/>
          <w:i/>
          <w:iCs/>
          <w:color w:val="64748B"/>
          <w:sz w:val="20"/>
          <w:szCs w:val="20"/>
        </w:rPr>
        <w:t xml:space="preserve">Assumptions &amp; sources:  </w:t>
      </w:r>
      <w:r>
        <w:rPr>
          <w:rFonts w:ascii="Arial" w:cs="Arial" w:eastAsia="Arial" w:hAnsi="Arial"/>
          <w:i/>
          <w:iCs/>
          <w:color w:val="64748B"/>
          <w:sz w:val="20"/>
          <w:szCs w:val="20"/>
        </w:rPr>
        <w:t xml:space="preserve">Tier contents from the pricing-page specification (specs/prd-package, “02 — Pricing Page Diff”) and the implemented marketing page ($0 / $149 / $499 / Custom). Enterprise average contract value is a planning assumption — no source document states it.</w:t>
      </w:r>
    </w:p>
    <w:p>
      <w:pPr>
        <w:pStyle w:val="Heading2"/>
        <w:spacing w:after="160" w:before="320"/>
      </w:pPr>
      <w:r>
        <w:t xml:space="preserve">3.5  After-sale services</w:t>
      </w:r>
    </w:p>
    <w:p>
      <w:pPr>
        <w:spacing w:after="200" w:before="0" w:line="300" w:lineRule="auto"/>
      </w:pPr>
      <w:r>
        <w:rPr>
          <w:rFonts w:ascii="Arial" w:cs="Arial" w:eastAsia="Arial" w:hAnsi="Arial"/>
          <w:color w:val="334155"/>
          <w:sz w:val="22"/>
          <w:szCs w:val="22"/>
        </w:rPr>
        <w:t xml:space="preserve">All plans include in-app and e-mail support, documentation, and scheduled artifact refresh with drift monitoring and one-click retrain. Business adds priority support; Enterprise adds a dedicated success engineer, onboarding assistance, and contractual SLAs. Refund policy (assumed): full refund within 30 days on monthly plans; annual plans refundable pro-rata in the first 60 days.</w:t>
      </w:r>
    </w:p>
    <w:p>
      <w:pPr>
        <w:pStyle w:val="Heading1"/>
        <w:pageBreakBefore/>
        <w:pBdr>
          <w:bottom w:val="single" w:color="2563EB" w:sz="12" w:space="6"/>
        </w:pBdr>
        <w:spacing w:after="280" w:before="0"/>
      </w:pPr>
      <w:r>
        <w:t xml:space="preserve">4.  Marketing Plan</w:t>
      </w:r>
    </w:p>
    <w:p>
      <w:pPr>
        <w:pStyle w:val="Heading2"/>
        <w:spacing w:after="160" w:before="320"/>
      </w:pPr>
      <w:r>
        <w:t xml:space="preserve">4.1  Market research</w:t>
      </w:r>
    </w:p>
    <w:p>
      <w:pPr>
        <w:spacing w:after="200" w:before="0" w:line="300" w:lineRule="auto"/>
      </w:pPr>
      <w:r>
        <w:rPr>
          <w:rFonts w:ascii="Arial" w:cs="Arial" w:eastAsia="Arial" w:hAnsi="Arial"/>
          <w:color w:val="334155"/>
          <w:sz w:val="22"/>
          <w:szCs w:val="22"/>
        </w:rPr>
        <w:t xml:space="preserve">Secondary research draws on published market studies and the competitive analysis embedded in PRD v1.0.0. Third-party sizings of the augmented-analytics market in 2026 range from about $20 billion (Fortune Business Insights) to $31–32 billion (Research and Markets; Fundamental Business Insights), with forecast growth of 22–30% CAGR (Mordor Intelligence projects 28.1% to $102.8 billion by 2030). Primary research to date is the product program itself: mockup-driven design against six buyer personas, and (assumed) interviews with 15–20 design-partner candidates during the pilot phase specified in the PRD roadmap. We treat our three pilot workspaces (per the Phase-1 roadmap) as a rolling primary-research panel.</w:t>
      </w:r>
    </w:p>
    <w:p>
      <w:pPr>
        <w:spacing w:after="240" w:before="0" w:line="300" w:lineRule="auto"/>
      </w:pPr>
      <w:r>
        <w:rPr>
          <w:rFonts w:ascii="Arial" w:cs="Arial" w:eastAsia="Arial" w:hAnsi="Arial"/>
          <w:b/>
          <w:bCs/>
          <w:i/>
          <w:iCs/>
          <w:color w:val="64748B"/>
          <w:sz w:val="20"/>
          <w:szCs w:val="20"/>
        </w:rPr>
        <w:t xml:space="preserve">Assumptions &amp; sources:  </w:t>
      </w:r>
      <w:r>
        <w:rPr>
          <w:rFonts w:ascii="Arial" w:cs="Arial" w:eastAsia="Arial" w:hAnsi="Arial"/>
          <w:i/>
          <w:iCs/>
          <w:color w:val="64748B"/>
          <w:sz w:val="20"/>
          <w:szCs w:val="20"/>
        </w:rPr>
        <w:t xml:space="preserve">Market figures: TechSci, Fortune Business Insights, Research and Markets, Mordor Intelligence, MarketsandMarkets (searched July 2026). Design-partner interview count is an assumption.</w:t>
      </w:r>
    </w:p>
    <w:p>
      <w:pPr>
        <w:pStyle w:val="Heading2"/>
        <w:spacing w:after="160" w:before="320"/>
      </w:pPr>
      <w:r>
        <w:t xml:space="preserve">4.2  Economics — size, demand, and our share</w:t>
      </w:r>
    </w:p>
    <w:p>
      <w:pPr>
        <w:spacing w:after="200" w:before="0" w:line="300" w:lineRule="auto"/>
      </w:pPr>
      <w:r>
        <w:rPr>
          <w:rFonts w:ascii="Arial" w:cs="Arial" w:eastAsia="Arial" w:hAnsi="Arial"/>
          <w:color w:val="334155"/>
          <w:sz w:val="22"/>
          <w:szCs w:val="22"/>
        </w:rPr>
        <w:t xml:space="preserve">Serviceable market: we estimate roughly 200,000 mid-market companies in North America and Europe run a cloud data warehouse suitable for AnalytIQ (assumption derived from published Snowflake/BigQuery/Databricks customer counts and mid-market firmographics). At our Year-1 target of ~176 paying workspaces we hold well under 0.1% of the serviceable market — growth is constrained by execution, not demand. Current demand signals: warehouse vendors report double-digit customer growth, and “AI analyst” features are the top-billed roadmap item across the BI category.</w:t>
      </w:r>
    </w:p>
    <w:p>
      <w:pPr>
        <w:spacing w:after="200" w:before="0" w:line="300" w:lineRule="auto"/>
      </w:pPr>
      <w:r>
        <w:rPr>
          <w:rFonts w:ascii="Arial" w:cs="Arial" w:eastAsia="Arial" w:hAnsi="Arial"/>
          <w:color w:val="334155"/>
          <w:sz w:val="22"/>
          <w:szCs w:val="22"/>
        </w:rPr>
        <w:t xml:space="preserve">Barriers to entry we face, and how we overcome them: high capital cost of AI inference (mitigated by token metering that passes cost through to price, and by cost-aware orchestration on the evolution roadmap); customer trust and brand recognition (mitigated by verifiable governance — every artifact carries its own audit evidence — plus SOC 2 certification and design-partner references); technology depth (a ten-stage gated pipeline is genuinely hard to replicate; our spec-driven test discipline is itself a moat); and switching costs in BI (mitigated because AnalytIQ sits alongside existing BI rather than replacing it on day one — portable artifacts create value without rip-and-replace). Barriers that protect us once established: the semantic layer accumulates organization-specific definitions, annotations feed models, and the evolution engine learns from every dashboard generated — data network effects that compound.</w:t>
      </w:r>
    </w:p>
    <w:p>
      <w:pPr>
        <w:spacing w:after="200" w:before="0" w:line="300" w:lineRule="auto"/>
      </w:pPr>
      <w:r>
        <w:rPr>
          <w:rFonts w:ascii="Arial" w:cs="Arial" w:eastAsia="Arial" w:hAnsi="Arial"/>
          <w:color w:val="334155"/>
          <w:sz w:val="22"/>
          <w:szCs w:val="22"/>
        </w:rPr>
        <w:t xml:space="preserve">Sensitivity to change: a technology shift (cheaper, better LLMs) lowers our costs and raises incumbent competition simultaneously — net favorable to a governance-differentiated product. Regulation (EU AI Act, state privacy laws) increases demand for exactly our audit posture. A weak economy pressures seat-based BI budgets, which favors our usage-based, no-per-seat-viewer model; a severe downturn would slow all software purchasing and push our break-even out — the capitalization plan holds a 12-month buffer against this.</w:t>
      </w:r>
    </w:p>
    <w:p>
      <w:pPr>
        <w:pStyle w:val="Heading2"/>
        <w:spacing w:after="160" w:before="320"/>
      </w:pPr>
      <w:r>
        <w:t xml:space="preserve">4.3  Product from the customer’s view — features and benefits</w:t>
      </w:r>
    </w:p>
    <w:p>
      <w:pPr>
        <w:spacing w:after="200" w:before="0" w:line="300" w:lineRule="auto"/>
      </w:pPr>
      <w:r>
        <w:rPr>
          <w:rFonts w:ascii="Arial" w:cs="Arial" w:eastAsia="Arial" w:hAnsi="Arial"/>
          <w:color w:val="334155"/>
          <w:sz w:val="22"/>
          <w:szCs w:val="22"/>
        </w:rPr>
        <w:t xml:space="preserve">What we sell is not “dashboards”; it is answers that survive scrutiny. The features/benefits pairing: conversational sessions (feature) mean anyone can ask, so analysts stop being a ticket queue (benefit). Automated governance and one-definition metrics mean the CFO and the sales VP stop arguing about whose revenue number is right. Walk-forward backtesting and model cards mean forecasts come with honest error bars, so decisions carry defensible risk. Portable artifacts mean a board member opens the dashboard from a link — no license, no login friction. Lineage and audit logs mean compliance reviews take minutes, not days. After-sale, the artifact keeps working: scheduled refresh, drift alerts, and one-click retrain protect the answer’s shelf life.</w:t>
      </w:r>
    </w:p>
    <w:p>
      <w:pPr>
        <w:pStyle w:val="Heading2"/>
        <w:spacing w:after="160" w:before="320"/>
      </w:pPr>
      <w:r>
        <w:t xml:space="preserve">4.4  Customers</w:t>
      </w:r>
    </w:p>
    <w:p>
      <w:pPr>
        <w:spacing w:after="200" w:before="0" w:line="300" w:lineRule="auto"/>
      </w:pPr>
      <w:r>
        <w:rPr>
          <w:rFonts w:ascii="Arial" w:cs="Arial" w:eastAsia="Arial" w:hAnsi="Arial"/>
          <w:color w:val="334155"/>
          <w:sz w:val="22"/>
          <w:szCs w:val="22"/>
        </w:rPr>
        <w:t xml:space="preserve">Primary customer groups, in priority order. (1) Data and analytics teams at mid-market companies — Head of Data/Analytics, 2–15 analysts, warehouse in place; they buy to multiply their capacity and to stop metric disputes; located in US/Canada first, UK/EU second. (2) Operating executives and line-of-business leaders (operations, finance, sales, customer success) at the same companies — they consume artifacts, subscribe to alerts, and drive expansion from Team to Business. (3) Later (Year 2+): agencies and consultancies that deliver analytics to clients and value white-labeled, portable artifacts. Business-customer profile: industries — retail/e-commerce, B2B SaaS, logistics, financial services; size — 50–2,000 employees, $10M–$500M revenue; technology posture — cloud warehouse, often dbt; price preference — expense-able monthly plans below procurement thresholds; quality preference — auditability outranks novelty.</w:t>
      </w:r>
    </w:p>
    <w:p>
      <w:pPr>
        <w:pStyle w:val="Heading2"/>
        <w:spacing w:after="160" w:before="320"/>
      </w:pPr>
      <w:r>
        <w:t xml:space="preserve">4.5  Competition</w:t>
      </w:r>
    </w:p>
    <w:p>
      <w:pPr>
        <w:spacing w:after="200" w:before="0" w:line="300" w:lineRule="auto"/>
      </w:pPr>
      <w:r>
        <w:rPr>
          <w:rFonts w:ascii="Arial" w:cs="Arial" w:eastAsia="Arial" w:hAnsi="Arial"/>
          <w:color w:val="334155"/>
          <w:sz w:val="22"/>
          <w:szCs w:val="22"/>
        </w:rPr>
        <w:t xml:space="preserve">Direct and adjacent competitors, from the PRD’s competitive landscape: ThoughtSpot / SpotIQ (search-driven insights; partial conversational, insights-only ML, no gold layer, no portable artifacts); Hex (notebook-first; ML via notebooks — requires expertise; app-style sharing); Databricks Genie + AutoML (strong ML, partial conversational; platform-bound outputs; requires the Databricks estate); Obviously AI (conversational and predictive, but no gold layer, portability, or governance); and Looker/LookML (strong governance via its semantic layer, but no conversational or predictive capability). Indirect competition: staying with Tableau/Power BI plus manual analyst work, ChatGPT-style ad-hoc analysis on exported CSVs, and internal “chat with data” builds — all of which lack governance, validation, or both.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1340"/>
        <w:gridCol w:w="1340"/>
        <w:gridCol w:w="1340"/>
        <w:gridCol w:w="1340"/>
        <w:gridCol w:w="1340"/>
      </w:tblGrid>
      <w:tr>
        <w:tc>
          <w:tcPr>
            <w:tcW w:type="dxa" w:w="266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Capability</w:t>
            </w:r>
          </w:p>
        </w:tc>
        <w:tc>
          <w:tcPr>
            <w:tcW w:type="dxa" w:w="134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AnalytIQ</w:t>
            </w:r>
          </w:p>
        </w:tc>
        <w:tc>
          <w:tcPr>
            <w:tcW w:type="dxa" w:w="134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Thought Spot</w:t>
            </w:r>
          </w:p>
        </w:tc>
        <w:tc>
          <w:tcPr>
            <w:tcW w:type="dxa" w:w="134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Hex</w:t>
            </w:r>
          </w:p>
        </w:tc>
        <w:tc>
          <w:tcPr>
            <w:tcW w:type="dxa" w:w="134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Databricks</w:t>
            </w:r>
          </w:p>
        </w:tc>
        <w:tc>
          <w:tcPr>
            <w:tcW w:type="dxa" w:w="134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Obviously AI</w:t>
            </w:r>
          </w:p>
        </w:tc>
      </w:tr>
      <w:tr>
        <w:tc>
          <w:tcPr>
            <w:tcW w:type="dxa" w:w="26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Conversational interface</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Full</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Partial</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Partial</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Partial</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Yes</w:t>
            </w:r>
          </w:p>
        </w:tc>
      </w:tr>
      <w:tr>
        <w:tc>
          <w:tcPr>
            <w:tcW w:type="dxa" w:w="26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Predictive ML + backtest</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Full + walk-forward</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Insights only</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Via notebooks</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Yes</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Yes (no gold layer)</w:t>
            </w:r>
          </w:p>
        </w:tc>
      </w:tr>
      <w:tr>
        <w:tc>
          <w:tcPr>
            <w:tcW w:type="dxa" w:w="26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Automated gold layer</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Yes</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No</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No</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Partial</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No</w:t>
            </w:r>
          </w:p>
        </w:tc>
      </w:tr>
      <w:tr>
        <w:tc>
          <w:tcPr>
            <w:tcW w:type="dxa" w:w="26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Portable artifact</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Yes — single HTML file</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No</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App share</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No</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No</w:t>
            </w:r>
          </w:p>
        </w:tc>
      </w:tr>
      <w:tr>
        <w:tc>
          <w:tcPr>
            <w:tcW w:type="dxa" w:w="26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Governance &amp; lineage</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Full + versioned</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Partial</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No</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Partial</w:t>
            </w:r>
          </w:p>
        </w:tc>
        <w:tc>
          <w:tcPr>
            <w:tcW w:type="dxa" w:w="1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No</w:t>
            </w:r>
          </w:p>
        </w:tc>
      </w:tr>
    </w:tbl>
    <w:p>
      <w:pPr>
        <w:spacing w:after="200"/>
      </w:pPr>
    </w:p>
    <w:p>
      <w:pPr>
        <w:spacing w:after="200" w:before="0" w:line="300" w:lineRule="auto"/>
      </w:pPr>
      <w:r>
        <w:rPr>
          <w:rFonts w:ascii="Arial" w:cs="Arial" w:eastAsia="Arial" w:hAnsi="Arial"/>
          <w:b/>
          <w:bCs/>
          <w:color w:val="0F172A"/>
          <w:sz w:val="22"/>
          <w:szCs w:val="22"/>
        </w:rPr>
        <w:t xml:space="preserve">Competitive analysis (template Table 1).</w:t>
      </w:r>
      <w:r>
        <w:rPr>
          <w:rFonts w:ascii="Arial" w:cs="Arial" w:eastAsia="Arial" w:hAnsi="Arial"/>
          <w:color w:val="334155"/>
          <w:sz w:val="22"/>
          <w:szCs w:val="22"/>
        </w:rPr>
        <w:t xml:space="preserve">  AnalytIQ versus its two most important competitors, with the factor’s importance to the customer (1 = critical, 5 = minor).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0"/>
        <w:gridCol w:w="1960"/>
        <w:gridCol w:w="1180"/>
        <w:gridCol w:w="1820"/>
        <w:gridCol w:w="1820"/>
        <w:gridCol w:w="840"/>
      </w:tblGrid>
      <w:tr>
        <w:tc>
          <w:tcPr>
            <w:tcW w:type="dxa" w:w="174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Factor</w:t>
            </w:r>
          </w:p>
        </w:tc>
        <w:tc>
          <w:tcPr>
            <w:tcW w:type="dxa" w:w="196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AnalytIQ (Me)</w:t>
            </w:r>
          </w:p>
        </w:tc>
        <w:tc>
          <w:tcPr>
            <w:tcW w:type="dxa" w:w="118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S / W</w:t>
            </w:r>
          </w:p>
        </w:tc>
        <w:tc>
          <w:tcPr>
            <w:tcW w:type="dxa" w:w="182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ThoughtSpot</w:t>
            </w:r>
          </w:p>
        </w:tc>
        <w:tc>
          <w:tcPr>
            <w:tcW w:type="dxa" w:w="182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Databricks Genie</w:t>
            </w:r>
          </w:p>
        </w:tc>
        <w:tc>
          <w:tcPr>
            <w:tcW w:type="dxa" w:w="84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Imp.</w:t>
            </w:r>
          </w:p>
        </w:tc>
      </w:tr>
      <w:tr>
        <w:tc>
          <w:tcPr>
            <w:tcW w:type="dxa" w:w="17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Products</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End-to-end question→validated dashboard</w:t>
            </w:r>
          </w:p>
        </w:tc>
        <w:tc>
          <w:tcPr>
            <w:tcW w:type="dxa" w:w="11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Search analytics, insights</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ML platform + chat</w:t>
            </w:r>
          </w:p>
        </w:tc>
        <w:tc>
          <w:tcPr>
            <w:tcW w:type="dxa" w:w="8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w:t>
            </w:r>
          </w:p>
        </w:tc>
      </w:tr>
      <w:tr>
        <w:tc>
          <w:tcPr>
            <w:tcW w:type="dxa" w:w="17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Price</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$0–$499/mo, usage-metered</w:t>
            </w:r>
          </w:p>
        </w:tc>
        <w:tc>
          <w:tcPr>
            <w:tcW w:type="dxa" w:w="11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Enterprise-priced</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Consumption, high floor</w:t>
            </w:r>
          </w:p>
        </w:tc>
        <w:tc>
          <w:tcPr>
            <w:tcW w:type="dxa" w:w="8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w:t>
            </w:r>
          </w:p>
        </w:tc>
      </w:tr>
      <w:tr>
        <w:tc>
          <w:tcPr>
            <w:tcW w:type="dxa" w:w="17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Quality (trust)</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Gated pipeline, lineage, backtests</w:t>
            </w:r>
          </w:p>
        </w:tc>
        <w:tc>
          <w:tcPr>
            <w:tcW w:type="dxa" w:w="11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Mature, insights unvalidated</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Strong ML, platform-bound</w:t>
            </w:r>
          </w:p>
        </w:tc>
        <w:tc>
          <w:tcPr>
            <w:tcW w:type="dxa" w:w="8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w:t>
            </w:r>
          </w:p>
        </w:tc>
      </w:tr>
      <w:tr>
        <w:tc>
          <w:tcPr>
            <w:tcW w:type="dxa" w:w="17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Selection (breadth)</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Analytics only, deep</w:t>
            </w:r>
          </w:p>
        </w:tc>
        <w:tc>
          <w:tcPr>
            <w:tcW w:type="dxa" w:w="11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W</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Broad BI suite</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Full data platform</w:t>
            </w:r>
          </w:p>
        </w:tc>
        <w:tc>
          <w:tcPr>
            <w:tcW w:type="dxa" w:w="8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3</w:t>
            </w:r>
          </w:p>
        </w:tc>
      </w:tr>
      <w:tr>
        <w:tc>
          <w:tcPr>
            <w:tcW w:type="dxa" w:w="17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Service</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Founder-led, fast; thin team</w:t>
            </w:r>
          </w:p>
        </w:tc>
        <w:tc>
          <w:tcPr>
            <w:tcW w:type="dxa" w:w="11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W</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Established support org</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Large support org</w:t>
            </w:r>
          </w:p>
        </w:tc>
        <w:tc>
          <w:tcPr>
            <w:tcW w:type="dxa" w:w="8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w:t>
            </w:r>
          </w:p>
        </w:tc>
      </w:tr>
      <w:tr>
        <w:tc>
          <w:tcPr>
            <w:tcW w:type="dxa" w:w="17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Reliability</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593 automated tests, young product</w:t>
            </w:r>
          </w:p>
        </w:tc>
        <w:tc>
          <w:tcPr>
            <w:tcW w:type="dxa" w:w="11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W→S</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Proven at scale</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Proven at scale</w:t>
            </w:r>
          </w:p>
        </w:tc>
        <w:tc>
          <w:tcPr>
            <w:tcW w:type="dxa" w:w="8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w:t>
            </w:r>
          </w:p>
        </w:tc>
      </w:tr>
      <w:tr>
        <w:tc>
          <w:tcPr>
            <w:tcW w:type="dxa" w:w="17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Stability</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Seed-stage</w:t>
            </w:r>
          </w:p>
        </w:tc>
        <w:tc>
          <w:tcPr>
            <w:tcW w:type="dxa" w:w="11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W</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Public-company scale</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Public-company scale</w:t>
            </w:r>
          </w:p>
        </w:tc>
        <w:tc>
          <w:tcPr>
            <w:tcW w:type="dxa" w:w="8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3</w:t>
            </w:r>
          </w:p>
        </w:tc>
      </w:tr>
      <w:tr>
        <w:tc>
          <w:tcPr>
            <w:tcW w:type="dxa" w:w="17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Expertise</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Governance-first AI pipeline</w:t>
            </w:r>
          </w:p>
        </w:tc>
        <w:tc>
          <w:tcPr>
            <w:tcW w:type="dxa" w:w="11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Search/BI expertise</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ML/platform expertise</w:t>
            </w:r>
          </w:p>
        </w:tc>
        <w:tc>
          <w:tcPr>
            <w:tcW w:type="dxa" w:w="8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w:t>
            </w:r>
          </w:p>
        </w:tc>
      </w:tr>
      <w:tr>
        <w:tc>
          <w:tcPr>
            <w:tcW w:type="dxa" w:w="17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Reputation</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None yet — must earn</w:t>
            </w:r>
          </w:p>
        </w:tc>
        <w:tc>
          <w:tcPr>
            <w:tcW w:type="dxa" w:w="11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W</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Recognized brand</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Recognized brand</w:t>
            </w:r>
          </w:p>
        </w:tc>
        <w:tc>
          <w:tcPr>
            <w:tcW w:type="dxa" w:w="8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w:t>
            </w:r>
          </w:p>
        </w:tc>
      </w:tr>
      <w:tr>
        <w:tc>
          <w:tcPr>
            <w:tcW w:type="dxa" w:w="17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Location</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Remote/cloud — irrelevant</w:t>
            </w:r>
          </w:p>
        </w:tc>
        <w:tc>
          <w:tcPr>
            <w:tcW w:type="dxa" w:w="11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Global</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Global</w:t>
            </w:r>
          </w:p>
        </w:tc>
        <w:tc>
          <w:tcPr>
            <w:tcW w:type="dxa" w:w="8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5</w:t>
            </w:r>
          </w:p>
        </w:tc>
      </w:tr>
      <w:tr>
        <w:tc>
          <w:tcPr>
            <w:tcW w:type="dxa" w:w="17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Appearance (UX)</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Mockup-driven, modern, vocab-gated</w:t>
            </w:r>
          </w:p>
        </w:tc>
        <w:tc>
          <w:tcPr>
            <w:tcW w:type="dxa" w:w="11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Dated in places</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Technical UX</w:t>
            </w:r>
          </w:p>
        </w:tc>
        <w:tc>
          <w:tcPr>
            <w:tcW w:type="dxa" w:w="8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w:t>
            </w:r>
          </w:p>
        </w:tc>
      </w:tr>
      <w:tr>
        <w:tc>
          <w:tcPr>
            <w:tcW w:type="dxa" w:w="17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Sales method</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Product-led + founder sales</w:t>
            </w:r>
          </w:p>
        </w:tc>
        <w:tc>
          <w:tcPr>
            <w:tcW w:type="dxa" w:w="11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Enterprise field sales</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Enterprise field sales</w:t>
            </w:r>
          </w:p>
        </w:tc>
        <w:tc>
          <w:tcPr>
            <w:tcW w:type="dxa" w:w="8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3</w:t>
            </w:r>
          </w:p>
        </w:tc>
      </w:tr>
      <w:tr>
        <w:tc>
          <w:tcPr>
            <w:tcW w:type="dxa" w:w="17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Credit policies</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Card self-serve; net-30 enterprise</w:t>
            </w:r>
          </w:p>
        </w:tc>
        <w:tc>
          <w:tcPr>
            <w:tcW w:type="dxa" w:w="11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Annual contracts</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Annual commits</w:t>
            </w:r>
          </w:p>
        </w:tc>
        <w:tc>
          <w:tcPr>
            <w:tcW w:type="dxa" w:w="8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4</w:t>
            </w:r>
          </w:p>
        </w:tc>
      </w:tr>
      <w:tr>
        <w:tc>
          <w:tcPr>
            <w:tcW w:type="dxa" w:w="17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Advertising</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Content/community, small budget</w:t>
            </w:r>
          </w:p>
        </w:tc>
        <w:tc>
          <w:tcPr>
            <w:tcW w:type="dxa" w:w="11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W</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Large budget</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Large budget</w:t>
            </w:r>
          </w:p>
        </w:tc>
        <w:tc>
          <w:tcPr>
            <w:tcW w:type="dxa" w:w="8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3</w:t>
            </w:r>
          </w:p>
        </w:tc>
      </w:tr>
      <w:tr>
        <w:tc>
          <w:tcPr>
            <w:tcW w:type="dxa" w:w="17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Image</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“The governed AI analyst”</w:t>
            </w:r>
          </w:p>
        </w:tc>
        <w:tc>
          <w:tcPr>
            <w:tcW w:type="dxa" w:w="11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“Search your data”</w:t>
            </w:r>
          </w:p>
        </w:tc>
        <w:tc>
          <w:tcPr>
            <w:tcW w:type="dxa" w:w="18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“The data platform”</w:t>
            </w:r>
          </w:p>
        </w:tc>
        <w:tc>
          <w:tcPr>
            <w:tcW w:type="dxa" w:w="8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w:t>
            </w:r>
          </w:p>
        </w:tc>
      </w:tr>
    </w:tbl>
    <w:p>
      <w:pPr>
        <w:spacing w:after="120"/>
      </w:pPr>
    </w:p>
    <w:p>
      <w:pPr>
        <w:spacing w:after="200" w:before="0" w:line="300" w:lineRule="auto"/>
      </w:pPr>
      <w:r>
        <w:rPr>
          <w:rFonts w:ascii="Arial" w:cs="Arial" w:eastAsia="Arial" w:hAnsi="Arial"/>
          <w:color w:val="334155"/>
          <w:sz w:val="22"/>
          <w:szCs w:val="22"/>
        </w:rPr>
        <w:t xml:space="preserve">Net position: we win where trust, portability, and time-to-answer are decisive, and where the buyer lacks (or refuses to spend) data-science headcount. We lose platform-consolidation deals inside existing Databricks estates and global enterprise standardizations — deliberately conceded until Year 2+.</w:t>
      </w:r>
    </w:p>
    <w:p>
      <w:pPr>
        <w:pStyle w:val="Heading2"/>
        <w:spacing w:after="160" w:before="320"/>
      </w:pPr>
      <w:r>
        <w:t xml:space="preserve">4.6  Niche</w:t>
      </w:r>
    </w:p>
    <w:p>
      <w:pPr>
        <w:spacing w:after="200" w:before="0" w:line="300" w:lineRule="auto"/>
      </w:pPr>
      <w:r>
        <w:rPr>
          <w:rFonts w:ascii="Arial" w:cs="Arial" w:eastAsia="Arial" w:hAnsi="Arial"/>
          <w:color w:val="0F172A"/>
          <w:sz w:val="22"/>
          <w:szCs w:val="22"/>
        </w:rPr>
        <w:t xml:space="preserve">AnalytIQ owns the space between BI and ML: </w:t>
      </w:r>
      <w:r>
        <w:rPr>
          <w:rFonts w:ascii="Arial" w:cs="Arial" w:eastAsia="Arial" w:hAnsi="Arial"/>
          <w:i/>
          <w:iCs/>
          <w:color w:val="0F172A"/>
          <w:sz w:val="22"/>
          <w:szCs w:val="22"/>
        </w:rPr>
        <w:t xml:space="preserve">governed, validated, predictive analytics generated from conversation — for mid-market teams that need answers they can defend, delivered as artifacts anyone can open. </w:t>
      </w:r>
      <w:r>
        <w:rPr>
          <w:rFonts w:ascii="Arial" w:cs="Arial" w:eastAsia="Arial" w:hAnsi="Arial"/>
          <w:color w:val="334155"/>
          <w:sz w:val="22"/>
          <w:szCs w:val="22"/>
        </w:rPr>
        <w:t xml:space="preserve">Incumbent BI is descriptive; AutoML is unaccountable; we are the auditable middle.</w:t>
      </w:r>
    </w:p>
    <w:p>
      <w:pPr>
        <w:pStyle w:val="Heading2"/>
        <w:spacing w:after="160" w:before="320"/>
      </w:pPr>
      <w:r>
        <w:t xml:space="preserve">4.7  Marketing strategy and promotion</w:t>
      </w:r>
    </w:p>
    <w:p>
      <w:pPr>
        <w:spacing w:after="200" w:before="0" w:line="300" w:lineRule="auto"/>
      </w:pPr>
      <w:r>
        <w:rPr>
          <w:rFonts w:ascii="Arial" w:cs="Arial" w:eastAsia="Arial" w:hAnsi="Arial"/>
          <w:color w:val="334155"/>
          <w:sz w:val="22"/>
          <w:szCs w:val="22"/>
        </w:rPr>
        <w:t xml:space="preserve">Product-led growth does the heavy lifting: the free Starter tier plus a public template gallery and sample dashboards make the product its own advertisement, and every shared artifact carries tasteful attribution — each dashboard a customer sends is a demo we did not pay for. Content marketing targets the trust wound: teardown posts (“why your AutoML accuracy is a lie — walk-forward backtesting explained”), the metric-consistency problem, and lineage explainers, distributed through data-community channels (dbt Slack, LinkedIn, practitioner newsletters). Launch motions: Product Hunt and Hacker News at GA, webinar series with design partners, and conference presence at one flagship data event (assumed Coalesce or Data Council) in Year 1. Paid spend is deliberately small — search ads on high-intent queries only. Founder-led outbound covers the Business/Enterprise pipeline: 20 targeted accounts per quarter. Image: precise, honest, engineer-credible — the brand promise is “answers with evidence,” reflected in a clean visual identity (IBM Plex typography, restrained palette) already defined in the design system. Repeat-customer system: in-product lifecycle e-mail, quarterly usage reviews for Business+, and an annual-plan upgrade campaign at renewal.</w:t>
      </w:r>
    </w:p>
    <w:p>
      <w:pPr>
        <w:pStyle w:val="Heading2"/>
        <w:spacing w:after="160" w:before="320"/>
      </w:pPr>
      <w:r>
        <w:t xml:space="preserve">4.8  Promotional budget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Item</w:t>
            </w:r>
          </w:p>
        </w:tc>
        <w:tc>
          <w:tcPr>
            <w:tcW w:type="dxa" w:w="234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Pre-launch (one-time)</w:t>
            </w:r>
          </w:p>
        </w:tc>
        <w:tc>
          <w:tcPr>
            <w:tcW w:type="dxa" w:w="234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Ongoing (monthly avg.)</w:t>
            </w:r>
          </w:p>
        </w:tc>
      </w:tr>
      <w:tr>
        <w:tc>
          <w:tcPr>
            <w:tcW w:type="dxa" w:w="46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Content production &amp; SEO</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$3,000</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$1,500</w:t>
            </w:r>
          </w:p>
        </w:tc>
      </w:tr>
      <w:tr>
        <w:tc>
          <w:tcPr>
            <w:tcW w:type="dxa" w:w="46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Launch events (PH/HN, webinars)</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$2,000</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$300</w:t>
            </w:r>
          </w:p>
        </w:tc>
      </w:tr>
      <w:tr>
        <w:tc>
          <w:tcPr>
            <w:tcW w:type="dxa" w:w="46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Paid search (high-intent only)</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$1,000</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$1,200</w:t>
            </w:r>
          </w:p>
        </w:tc>
      </w:tr>
      <w:tr>
        <w:tc>
          <w:tcPr>
            <w:tcW w:type="dxa" w:w="46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Community &amp; sponsorships</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$1,500</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$700</w:t>
            </w:r>
          </w:p>
        </w:tc>
      </w:tr>
      <w:tr>
        <w:tc>
          <w:tcPr>
            <w:tcW w:type="dxa" w:w="46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Conference (1 event, Year 1)</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$2,500</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$300</w:t>
            </w:r>
          </w:p>
        </w:tc>
      </w:tr>
      <w:tr>
        <w:tc>
          <w:tcPr>
            <w:tcW w:type="dxa" w:w="46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Total</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$10,000</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$4,000 (ramping $2,000→$6,000)</w:t>
            </w:r>
          </w:p>
        </w:tc>
      </w:tr>
    </w:tbl>
    <w:p>
      <w:pPr>
        <w:spacing w:after="120"/>
      </w:pPr>
    </w:p>
    <w:p>
      <w:pPr>
        <w:spacing w:after="240" w:before="0" w:line="300" w:lineRule="auto"/>
      </w:pPr>
      <w:r>
        <w:rPr>
          <w:rFonts w:ascii="Arial" w:cs="Arial" w:eastAsia="Arial" w:hAnsi="Arial"/>
          <w:b/>
          <w:bCs/>
          <w:i/>
          <w:iCs/>
          <w:color w:val="64748B"/>
          <w:sz w:val="20"/>
          <w:szCs w:val="20"/>
        </w:rPr>
        <w:t xml:space="preserve">Assumptions &amp; sources:  </w:t>
      </w:r>
      <w:r>
        <w:rPr>
          <w:rFonts w:ascii="Arial" w:cs="Arial" w:eastAsia="Arial" w:hAnsi="Arial"/>
          <w:i/>
          <w:iCs/>
          <w:color w:val="64748B"/>
          <w:sz w:val="20"/>
          <w:szCs w:val="20"/>
        </w:rPr>
        <w:t xml:space="preserve">Pre-launch promotion is inside the startup budget (Section 8); ongoing promotion inside the operating plan (Section 9). All figures are planning assumptions.</w:t>
      </w:r>
    </w:p>
    <w:p>
      <w:pPr>
        <w:pStyle w:val="Heading2"/>
        <w:spacing w:after="160" w:before="320"/>
      </w:pPr>
      <w:r>
        <w:t xml:space="preserve">4.9  Pricing policy</w:t>
      </w:r>
    </w:p>
    <w:p>
      <w:pPr>
        <w:spacing w:after="200" w:before="0" w:line="300" w:lineRule="auto"/>
      </w:pPr>
      <w:r>
        <w:rPr>
          <w:rFonts w:ascii="Arial" w:cs="Arial" w:eastAsia="Arial" w:hAnsi="Arial"/>
          <w:color w:val="334155"/>
          <w:sz w:val="22"/>
          <w:szCs w:val="22"/>
        </w:rPr>
        <w:t xml:space="preserve">We price on value delivered (answers, not seats) rather than lowest cost: viewers are always free, which undercuts seat-based BI economics precisely where incumbents are weakest, while the $499 Business tier remains far below enterprise BI contracts. Method: anchor tiers to the governance features organizations must have (SSO, RLS, audit) and meter the metered thing — AI tokens — so heavy use pays its own inference bill. Versus competition: cheaper than ThoughtSpot/Looker by an order of magnitude at entry, comparable to Hex at Team tier but with predictive capability included. Price is a secondary decision factor for our buyer (importance 2); trust and time-to-answer dominate. Customer-service policy: free tiers get community/e-mail support; paid tiers get responsive in-app support; credit and collections policy appears in Section 5.7.</w:t>
      </w:r>
    </w:p>
    <w:p>
      <w:pPr>
        <w:pStyle w:val="Heading2"/>
        <w:spacing w:after="160" w:before="320"/>
      </w:pPr>
      <w:r>
        <w:t xml:space="preserve">4.10  Proposed location</w:t>
      </w:r>
    </w:p>
    <w:p>
      <w:pPr>
        <w:spacing w:after="200" w:before="0" w:line="300" w:lineRule="auto"/>
      </w:pPr>
      <w:r>
        <w:rPr>
          <w:rFonts w:ascii="Arial" w:cs="Arial" w:eastAsia="Arial" w:hAnsi="Arial"/>
          <w:color w:val="334155"/>
          <w:sz w:val="22"/>
          <w:szCs w:val="22"/>
        </w:rPr>
        <w:t xml:space="preserve">AnalytIQ is remote-first and sells 100% online; customers never visit premises, so location criteria are talent access, cost, and time-zone coverage rather than foot traffic. The company operates without an office in Year 1 (coworking stipends as needed) and registers in Delaware with a placeholder Wilmington registered-agent address. Competitors are similarly distributed — physical proximity to them is irrelevant.</w:t>
      </w:r>
    </w:p>
    <w:p>
      <w:pPr>
        <w:pStyle w:val="Heading2"/>
        <w:spacing w:after="160" w:before="320"/>
      </w:pPr>
      <w:r>
        <w:t xml:space="preserve">4.11  Distribution channels</w:t>
      </w:r>
    </w:p>
    <w:p>
      <w:pPr>
        <w:spacing w:after="200" w:before="0" w:line="300" w:lineRule="auto"/>
      </w:pPr>
      <w:r>
        <w:rPr>
          <w:rFonts w:ascii="Arial" w:cs="Arial" w:eastAsia="Arial" w:hAnsi="Arial"/>
          <w:color w:val="334155"/>
          <w:sz w:val="22"/>
          <w:szCs w:val="22"/>
        </w:rPr>
        <w:t xml:space="preserve">Direct self-serve (web sign-up with card payment) is the primary channel; direct founder-led sales covers Business/Enterprise; and embedded distribution — every shared artifact and public template is an acquisition surface — provides organic reach. Year 2+ options (not in this plan’s numbers): warehouse-marketplace listings (Snowflake Partner Connect and similar) and consultancy/agency partnerships.</w:t>
      </w:r>
    </w:p>
    <w:p>
      <w:pPr>
        <w:pStyle w:val="Heading2"/>
        <w:spacing w:after="160" w:before="320"/>
      </w:pPr>
      <w:r>
        <w:t xml:space="preserve">4.12  Sales forecast</w:t>
      </w:r>
    </w:p>
    <w:p>
      <w:pPr>
        <w:spacing w:after="200" w:before="0" w:line="300" w:lineRule="auto"/>
      </w:pPr>
      <w:r>
        <w:rPr>
          <w:rFonts w:ascii="Arial" w:cs="Arial" w:eastAsia="Arial" w:hAnsi="Arial"/>
          <w:color w:val="334155"/>
          <w:sz w:val="22"/>
          <w:szCs w:val="22"/>
        </w:rPr>
        <w:t xml:space="preserve">The forecast below is the “best guess” case: paying workspaces by plan at each month-end following GA (assumed January 2027), with a worst-case row set at 60% of best-guess MRR. Drivers: free-tier sign-ups ramp to ~3,500 workspaces by Month 12 with 4–5% paid conversion; Business grows on governance-feature pull; Enterprise closes from founder pipeline starting Month 4. Churn is netted into the monthly counts (assumed 3% monthly gross churn on Team, 1.5% on Business).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0"/>
        <w:gridCol w:w="1460"/>
        <w:gridCol w:w="1560"/>
        <w:gridCol w:w="1560"/>
        <w:gridCol w:w="1780"/>
        <w:gridCol w:w="1780"/>
      </w:tblGrid>
      <w:tr>
        <w:tc>
          <w:tcPr>
            <w:tcW w:type="dxa" w:w="122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Month</w:t>
            </w:r>
          </w:p>
        </w:tc>
        <w:tc>
          <w:tcPr>
            <w:tcW w:type="dxa" w:w="146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Team ($149)</w:t>
            </w:r>
          </w:p>
        </w:tc>
        <w:tc>
          <w:tcPr>
            <w:tcW w:type="dxa" w:w="156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Business ($499)</w:t>
            </w:r>
          </w:p>
        </w:tc>
        <w:tc>
          <w:tcPr>
            <w:tcW w:type="dxa" w:w="156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Enterprise ($2,500)</w:t>
            </w:r>
          </w:p>
        </w:tc>
        <w:tc>
          <w:tcPr>
            <w:tcW w:type="dxa" w:w="178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MRR — best guess</w:t>
            </w:r>
          </w:p>
        </w:tc>
        <w:tc>
          <w:tcPr>
            <w:tcW w:type="dxa" w:w="178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MRR — worst case</w:t>
            </w:r>
          </w:p>
        </w:tc>
      </w:tr>
      <w:tr>
        <w:tc>
          <w:tcPr>
            <w:tcW w:type="dxa" w:w="12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M1</w:t>
            </w:r>
          </w:p>
        </w:tc>
        <w:tc>
          <w:tcPr>
            <w:tcW w:type="dxa" w:w="14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4</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0</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$1,095</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$657</w:t>
            </w:r>
          </w:p>
        </w:tc>
      </w:tr>
      <w:tr>
        <w:tc>
          <w:tcPr>
            <w:tcW w:type="dxa" w:w="12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M2</w:t>
            </w:r>
          </w:p>
        </w:tc>
        <w:tc>
          <w:tcPr>
            <w:tcW w:type="dxa" w:w="14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8</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0</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$2,190</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$1,314</w:t>
            </w:r>
          </w:p>
        </w:tc>
      </w:tr>
      <w:tr>
        <w:tc>
          <w:tcPr>
            <w:tcW w:type="dxa" w:w="12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M3</w:t>
            </w:r>
          </w:p>
        </w:tc>
        <w:tc>
          <w:tcPr>
            <w:tcW w:type="dxa" w:w="14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14</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4</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0</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$4,082</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$2,449</w:t>
            </w:r>
          </w:p>
        </w:tc>
      </w:tr>
      <w:tr>
        <w:tc>
          <w:tcPr>
            <w:tcW w:type="dxa" w:w="12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M4</w:t>
            </w:r>
          </w:p>
        </w:tc>
        <w:tc>
          <w:tcPr>
            <w:tcW w:type="dxa" w:w="14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22</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6</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$8,772</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$5,263</w:t>
            </w:r>
          </w:p>
        </w:tc>
      </w:tr>
      <w:tr>
        <w:tc>
          <w:tcPr>
            <w:tcW w:type="dxa" w:w="12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M5</w:t>
            </w:r>
          </w:p>
        </w:tc>
        <w:tc>
          <w:tcPr>
            <w:tcW w:type="dxa" w:w="14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30</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9</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$11,461</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$6,877</w:t>
            </w:r>
          </w:p>
        </w:tc>
      </w:tr>
      <w:tr>
        <w:tc>
          <w:tcPr>
            <w:tcW w:type="dxa" w:w="12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M6</w:t>
            </w:r>
          </w:p>
        </w:tc>
        <w:tc>
          <w:tcPr>
            <w:tcW w:type="dxa" w:w="14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40</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13</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$17,447</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$10,468</w:t>
            </w:r>
          </w:p>
        </w:tc>
      </w:tr>
      <w:tr>
        <w:tc>
          <w:tcPr>
            <w:tcW w:type="dxa" w:w="12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M7</w:t>
            </w:r>
          </w:p>
        </w:tc>
        <w:tc>
          <w:tcPr>
            <w:tcW w:type="dxa" w:w="14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52</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17</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$21,231</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$12,739</w:t>
            </w:r>
          </w:p>
        </w:tc>
      </w:tr>
      <w:tr>
        <w:tc>
          <w:tcPr>
            <w:tcW w:type="dxa" w:w="12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M8</w:t>
            </w:r>
          </w:p>
        </w:tc>
        <w:tc>
          <w:tcPr>
            <w:tcW w:type="dxa" w:w="14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64</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22</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3</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$28,014</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$16,808</w:t>
            </w:r>
          </w:p>
        </w:tc>
      </w:tr>
      <w:tr>
        <w:tc>
          <w:tcPr>
            <w:tcW w:type="dxa" w:w="12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M9</w:t>
            </w:r>
          </w:p>
        </w:tc>
        <w:tc>
          <w:tcPr>
            <w:tcW w:type="dxa" w:w="14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78</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27</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4</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$35,095</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$21,057</w:t>
            </w:r>
          </w:p>
        </w:tc>
      </w:tr>
      <w:tr>
        <w:tc>
          <w:tcPr>
            <w:tcW w:type="dxa" w:w="12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M10</w:t>
            </w:r>
          </w:p>
        </w:tc>
        <w:tc>
          <w:tcPr>
            <w:tcW w:type="dxa" w:w="14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92</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33</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4</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$40,175</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$24,105</w:t>
            </w:r>
          </w:p>
        </w:tc>
      </w:tr>
      <w:tr>
        <w:tc>
          <w:tcPr>
            <w:tcW w:type="dxa" w:w="12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M11</w:t>
            </w:r>
          </w:p>
        </w:tc>
        <w:tc>
          <w:tcPr>
            <w:tcW w:type="dxa" w:w="14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108</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39</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5</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$48,053</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$28,832</w:t>
            </w:r>
          </w:p>
        </w:tc>
      </w:tr>
      <w:tr>
        <w:tc>
          <w:tcPr>
            <w:tcW w:type="dxa" w:w="12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M12</w:t>
            </w:r>
          </w:p>
        </w:tc>
        <w:tc>
          <w:tcPr>
            <w:tcW w:type="dxa" w:w="14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124</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46</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6</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$56,430</w:t>
            </w:r>
          </w:p>
        </w:tc>
        <w:tc>
          <w:tcPr>
            <w:tcW w:type="dxa" w:w="17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$33,858</w:t>
            </w:r>
          </w:p>
        </w:tc>
      </w:tr>
    </w:tbl>
    <w:p>
      <w:pPr>
        <w:spacing w:after="120"/>
      </w:pPr>
    </w:p>
    <w:p>
      <w:pPr>
        <w:spacing w:after="200" w:before="0" w:line="300" w:lineRule="auto"/>
      </w:pPr>
      <w:r>
        <w:rPr>
          <w:rFonts w:ascii="Arial" w:cs="Arial" w:eastAsia="Arial" w:hAnsi="Arial"/>
          <w:b/>
          <w:bCs/>
          <w:color w:val="0F172A"/>
          <w:sz w:val="22"/>
          <w:szCs w:val="22"/>
        </w:rPr>
        <w:t xml:space="preserve">Year-1 revenue: </w:t>
      </w:r>
      <w:r>
        <w:rPr>
          <w:rFonts w:ascii="Arial" w:cs="Arial" w:eastAsia="Arial" w:hAnsi="Arial"/>
          <w:color w:val="334155"/>
          <w:sz w:val="22"/>
          <w:szCs w:val="22"/>
        </w:rPr>
        <w:t xml:space="preserve">$274,045 best guess; ~$164,000 worst case. Token-overage revenue is conservatively excluded (upside). Enterprise counts bill monthly at the assumed $2,500 average.</w:t>
      </w:r>
    </w:p>
    <w:p>
      <w:pPr>
        <w:spacing w:after="240" w:before="0" w:line="300" w:lineRule="auto"/>
      </w:pPr>
      <w:r>
        <w:rPr>
          <w:rFonts w:ascii="Arial" w:cs="Arial" w:eastAsia="Arial" w:hAnsi="Arial"/>
          <w:b/>
          <w:bCs/>
          <w:i/>
          <w:iCs/>
          <w:color w:val="64748B"/>
          <w:sz w:val="20"/>
          <w:szCs w:val="20"/>
        </w:rPr>
        <w:t xml:space="preserve">Assumptions &amp; sources:  </w:t>
      </w:r>
      <w:r>
        <w:rPr>
          <w:rFonts w:ascii="Arial" w:cs="Arial" w:eastAsia="Arial" w:hAnsi="Arial"/>
          <w:i/>
          <w:iCs/>
          <w:color w:val="64748B"/>
          <w:sz w:val="20"/>
          <w:szCs w:val="20"/>
        </w:rPr>
        <w:t xml:space="preserve">All counts are assumptions; no historical sales exist. Conversion, churn, and Enterprise ACV are the sensitive variables — see Open Items.</w:t>
      </w:r>
    </w:p>
    <w:p>
      <w:pPr>
        <w:pStyle w:val="Heading1"/>
        <w:pageBreakBefore/>
        <w:pBdr>
          <w:bottom w:val="single" w:color="2563EB" w:sz="12" w:space="6"/>
        </w:pBdr>
        <w:spacing w:after="280" w:before="0"/>
      </w:pPr>
      <w:r>
        <w:t xml:space="preserve">5.  Operational Plan</w:t>
      </w:r>
    </w:p>
    <w:p>
      <w:pPr>
        <w:pStyle w:val="Heading2"/>
        <w:spacing w:after="160" w:before="320"/>
      </w:pPr>
      <w:r>
        <w:t xml:space="preserve">5.1  Production — how the service is produced and delivered</w:t>
      </w:r>
    </w:p>
    <w:p>
      <w:pPr>
        <w:spacing w:after="200" w:before="0" w:line="300" w:lineRule="auto"/>
      </w:pPr>
      <w:r>
        <w:rPr>
          <w:rFonts w:ascii="Arial" w:cs="Arial" w:eastAsia="Arial" w:hAnsi="Arial"/>
          <w:color w:val="334155"/>
          <w:sz w:val="22"/>
          <w:szCs w:val="22"/>
        </w:rPr>
        <w:t xml:space="preserve">“Production” is the operation of a cloud platform. The application comprises a React 18 front end, a Python API (Flask today; FastAPI specified for the production architecture), and a ten-stage agent pipeline in which LLM agents plan and structure while deterministic validators gate every stage boundary. Warehouse access is strictly read-only through a permissioned proxy that injects credentials at execution time; only SELECT statements are permitted, with time-bounded queries, row limits, and a 120-second execution ceiling. Dashboard artifacts are self-contained HTML files under 250 KB that fetch live data through scoped, signed tokens at render time — no customer data is ever embedded in the file. Real-time progress streams to the client over server-sent events. Production hosting (assumed) is AWS with Redis query caching per the architecture document; today’s demo build additionally runs entirely locally with zero API keys, which doubles as our trial and development environment. Cost of production is dominated by AI inference and warehouse compute, both metered per workspace and modeled at 22% of revenue.</w:t>
      </w:r>
    </w:p>
    <w:p>
      <w:pPr>
        <w:pStyle w:val="Heading2"/>
        <w:spacing w:after="160" w:before="320"/>
      </w:pPr>
      <w:r>
        <w:t xml:space="preserve">5.2  Quality control</w:t>
      </w:r>
    </w:p>
    <w:p>
      <w:pPr>
        <w:spacing w:after="200" w:before="0" w:line="300" w:lineRule="auto"/>
      </w:pPr>
      <w:r>
        <w:rPr>
          <w:rFonts w:ascii="Arial" w:cs="Arial" w:eastAsia="Arial" w:hAnsi="Arial"/>
          <w:color w:val="334155"/>
          <w:sz w:val="22"/>
          <w:szCs w:val="22"/>
        </w:rPr>
        <w:t xml:space="preserve">Quality is enforced in the product and in the process. In the product: five distinct data-quality checkpoints, deterministic post-generation artifact validation with a bounded repair loop (maximum two cycles), model promotion only on passing walk-forward thresholds, and no silent degradation — failed gates halt with actionable remediation. In the process: spec-driven test-first development; 440 backend and 153 UI tests kept 100% green on every story; a vocabulary gate that scans the UI for internal jargon so customer-facing screens stay clean; and a live design-parity scoreboard against the mockup authority (95 frames tracked). Performance targets from the architecture: first token within 2 seconds (P50), dashboard plan within 8 seconds, per-chart queries within 500 milliseconds.</w:t>
      </w:r>
    </w:p>
    <w:p>
      <w:pPr>
        <w:pStyle w:val="Heading2"/>
        <w:spacing w:after="160" w:before="320"/>
      </w:pPr>
      <w:r>
        <w:t xml:space="preserve">5.3  Customer service</w:t>
      </w:r>
    </w:p>
    <w:p>
      <w:pPr>
        <w:spacing w:after="200" w:before="0" w:line="300" w:lineRule="auto"/>
      </w:pPr>
      <w:r>
        <w:rPr>
          <w:rFonts w:ascii="Arial" w:cs="Arial" w:eastAsia="Arial" w:hAnsi="Arial"/>
          <w:color w:val="334155"/>
          <w:sz w:val="22"/>
          <w:szCs w:val="22"/>
        </w:rPr>
        <w:t xml:space="preserve">Support runs through in-app messaging and e-mail with a target first response of one business day (Starter/Team), four business hours (Business), and one hour with a dedicated success engineer under SLA (Enterprise). Drift alerts, artifact health badges, and one-click retrain reduce the most common support driver — “my dashboard looks wrong” — to a self-service action.</w:t>
      </w:r>
    </w:p>
    <w:p>
      <w:pPr>
        <w:pStyle w:val="Heading2"/>
        <w:spacing w:after="160" w:before="320"/>
      </w:pPr>
      <w:r>
        <w:t xml:space="preserve">5.4  Location, facilities, and hours</w:t>
      </w:r>
    </w:p>
    <w:p>
      <w:pPr>
        <w:spacing w:after="200" w:before="0" w:line="300" w:lineRule="auto"/>
      </w:pPr>
      <w:r>
        <w:rPr>
          <w:rFonts w:ascii="Arial" w:cs="Arial" w:eastAsia="Arial" w:hAnsi="Arial"/>
          <w:color w:val="334155"/>
          <w:sz w:val="22"/>
          <w:szCs w:val="22"/>
        </w:rPr>
        <w:t xml:space="preserve">Remote-first; no physical plant, no construction, no zoning requirements. Physical requirements are laptops, SaaS tooling, and cloud infrastructure. Occupancy cost is $0 rent plus coworking stipends (in the misc. budget). Business hours: support coverage 9:00–18:00 US Eastern weekdays (platform itself is 24×7); on-call rotation for sev-1 incidents.</w:t>
      </w:r>
    </w:p>
    <w:p>
      <w:pPr>
        <w:pStyle w:val="Heading2"/>
        <w:spacing w:after="160" w:before="320"/>
      </w:pPr>
      <w:r>
        <w:t xml:space="preserve">5.5  Legal environment</w:t>
      </w:r>
    </w:p>
    <w:p>
      <w:pPr>
        <w:spacing w:after="200" w:before="0" w:line="300" w:lineRule="auto"/>
      </w:pPr>
      <w:r>
        <w:rPr>
          <w:rFonts w:ascii="Arial" w:cs="Arial" w:eastAsia="Arial" w:hAnsi="Arial"/>
          <w:color w:val="334155"/>
          <w:sz w:val="22"/>
          <w:szCs w:val="22"/>
        </w:rPr>
        <w:t xml:space="preserve">Requirements and posture (assumed where noted): standard Delaware incorporation, foreign qualification where employees reside, and sales-tax registration for SaaS in applicable states (via a merchant-of-record or tax service — assumed Stripe Tax). No industry-specific licenses or bonding are required for analytics SaaS. Privacy and security: GDPR/CCPA compliance program, DPAs for Business/Enterprise, SOC 2 Type I targeted in Year 1 (budgeted $40,000 with penetration test) and Type II in Year 2. The architecture itself is the control set: no raw data rows are ever sent to LLMs; PII columns are auto-detected and blocked from ML without explicit admin approval; credentials are AES-256/Fernet encrypted; the audit log is append-only. Insurance (assumed): technology E&amp;O plus cyber liability (~$8,400/year). Intellectual property: proprietary codebase (copyright), the “AnalytIQ” mark to be trademark-searched and registered (see Open Items); no patents claimed in Year 1.</w:t>
      </w:r>
    </w:p>
    <w:p>
      <w:pPr>
        <w:pStyle w:val="Heading2"/>
        <w:spacing w:after="160" w:before="320"/>
      </w:pPr>
      <w:r>
        <w:t xml:space="preserve">5.6  Personnel</w:t>
      </w:r>
    </w:p>
    <w:p>
      <w:pPr>
        <w:spacing w:after="200" w:before="0" w:line="300" w:lineRule="auto"/>
      </w:pPr>
      <w:r>
        <w:rPr>
          <w:rFonts w:ascii="Arial" w:cs="Arial" w:eastAsia="Arial" w:hAnsi="Arial"/>
          <w:color w:val="334155"/>
          <w:sz w:val="22"/>
          <w:szCs w:val="22"/>
        </w:rPr>
        <w:t xml:space="preserve">Launch team of four growing to six by Month 7 (all remote; skilled/professional labor; recruiting via the founder network and data-community channels). Written role descriptions and onboarding runbooks derive from the program documents that already govern development. Contractors supplement for design, bookkeeping, and the SOC 2 audit rather than employees.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2340"/>
        <w:gridCol w:w="2340"/>
      </w:tblGrid>
      <w:tr>
        <w:tc>
          <w:tcPr>
            <w:tcW w:type="dxa" w:w="312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Role</w:t>
            </w:r>
          </w:p>
        </w:tc>
        <w:tc>
          <w:tcPr>
            <w:tcW w:type="dxa" w:w="156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Start</w:t>
            </w:r>
          </w:p>
        </w:tc>
        <w:tc>
          <w:tcPr>
            <w:tcW w:type="dxa" w:w="234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Annual salary (assumed)</w:t>
            </w:r>
          </w:p>
        </w:tc>
        <w:tc>
          <w:tcPr>
            <w:tcW w:type="dxa" w:w="234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Notes</w:t>
            </w:r>
          </w:p>
        </w:tc>
      </w:tr>
      <w:tr>
        <w:tc>
          <w:tcPr>
            <w:tcW w:type="dxa" w:w="31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Founder / CEO (product)</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Month 1</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$120,000</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Product, sales, fundraising</w:t>
            </w:r>
          </w:p>
        </w:tc>
      </w:tr>
      <w:tr>
        <w:tc>
          <w:tcPr>
            <w:tcW w:type="dxa" w:w="31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Founding engineer × 2</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Month 1</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$150,000 each</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Platform + pipeline</w:t>
            </w:r>
          </w:p>
        </w:tc>
      </w:tr>
      <w:tr>
        <w:tc>
          <w:tcPr>
            <w:tcW w:type="dxa" w:w="31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ML engineer</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Month 4</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$160,000</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Training, backtesting, evolution engine</w:t>
            </w:r>
          </w:p>
        </w:tc>
      </w:tr>
      <w:tr>
        <w:tc>
          <w:tcPr>
            <w:tcW w:type="dxa" w:w="31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Growth engineer (GTM)</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Month 7</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$140,000</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PLG funnel, content, onboarding</w:t>
            </w:r>
          </w:p>
        </w:tc>
      </w:tr>
      <w:tr>
        <w:tc>
          <w:tcPr>
            <w:tcW w:type="dxa" w:w="31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Payroll burden</w:t>
            </w:r>
          </w:p>
        </w:tc>
        <w:tc>
          <w:tcPr>
            <w:tcW w:type="dxa" w:w="15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+15%</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Taxes &amp; benefits on all roles</w:t>
            </w:r>
          </w:p>
        </w:tc>
      </w:tr>
    </w:tbl>
    <w:p>
      <w:pPr>
        <w:spacing w:after="120"/>
      </w:pPr>
    </w:p>
    <w:p>
      <w:pPr>
        <w:pStyle w:val="Heading2"/>
        <w:spacing w:after="160" w:before="320"/>
      </w:pPr>
      <w:r>
        <w:t xml:space="preserve">5.7  Inventory, suppliers, and credit policies</w:t>
      </w:r>
    </w:p>
    <w:p>
      <w:pPr>
        <w:spacing w:after="200" w:before="0" w:line="300" w:lineRule="auto"/>
      </w:pPr>
      <w:r>
        <w:rPr>
          <w:rFonts w:ascii="Arial" w:cs="Arial" w:eastAsia="Arial" w:hAnsi="Arial"/>
          <w:color w:val="334155"/>
          <w:sz w:val="22"/>
          <w:szCs w:val="22"/>
        </w:rPr>
        <w:t xml:space="preserve">Inventory: none — software carries no physical stock; the analogous commitment is prepaid cloud/LLM capacity, kept on pay-as-you-go terms in Year 1 (no seasonal buildup; effectively infinite turn). Key suppliers: Anthropic (LLM inference — the production architecture pins Claude models; single-vendor risk is mitigated by an orchestration layer designed for model substitution), AWS (hosting), Stripe (billing and tax), Resend (transactional e-mail), and GitHub/CI tooling. Supply costs are usage-based and have trended downward per token industry-wide; a sustained inference price spike would compress the 78% gross margin and is watched monthly. Credit policy: self-serve plans are card-charged in advance (no credit extended); Enterprise invoices net-30 after a signed order form, with service suspension at 60 days past due and no prompt-payment discount (not customary). Accounts receivable exist only for Enterprise and are aged monthly per the standard schedule (current / 30 / 60 / 90 / over-90) with dunning at 15 days, executive call at 30, and counsel letter at 75. Accounts payable: cloud and SaaS vendors auto-charge on net terms of 0–30 days; we pay on due date, never early, and flag any cash-timing conflict before it occurs.</w:t>
      </w:r>
    </w:p>
    <w:p>
      <w:pPr>
        <w:pStyle w:val="Heading1"/>
        <w:pageBreakBefore/>
        <w:pBdr>
          <w:bottom w:val="single" w:color="2563EB" w:sz="12" w:space="6"/>
        </w:pBdr>
        <w:spacing w:after="280" w:before="0"/>
      </w:pPr>
      <w:r>
        <w:t xml:space="preserve">6.  Management and Organization</w:t>
      </w:r>
    </w:p>
    <w:p>
      <w:pPr>
        <w:spacing w:after="200" w:before="0" w:line="300" w:lineRule="auto"/>
      </w:pPr>
      <w:r>
        <w:rPr>
          <w:rFonts w:ascii="Arial" w:cs="Arial" w:eastAsia="Arial" w:hAnsi="Arial"/>
          <w:color w:val="334155"/>
          <w:sz w:val="22"/>
          <w:szCs w:val="22"/>
        </w:rPr>
        <w:t xml:space="preserve">Day-to-day management rests with founder and CEO Leo Carrico, who conceived the product and has driven it from specification through a demo-complete, 593-test implementation under a documented spec-driven program (assumed professional background in full-stack and data-platform engineering — see Open Items). The management method is unusually legible: the release plan, progress ledger, and parity scoreboard that govern engineering double as the company’s operating cadence.</w:t>
      </w:r>
    </w:p>
    <w:p>
      <w:pPr>
        <w:spacing w:after="200" w:before="0" w:line="300" w:lineRule="auto"/>
      </w:pPr>
      <w:r>
        <w:rPr>
          <w:rFonts w:ascii="Arial" w:cs="Arial" w:eastAsia="Arial" w:hAnsi="Arial"/>
          <w:color w:val="334155"/>
          <w:sz w:val="22"/>
          <w:szCs w:val="22"/>
        </w:rPr>
        <w:t xml:space="preserve">Continuity: key-person risk on the founder is mitigated by that same documentation discipline — any competent engineering leader could resume the program from RELEASE_PLAN.md and PROGRESS.md — plus (assumed) key-person insurance at the seed round and code escrow for Enterprise contracts. With headcount under ten, the organization is flat: engineers report to the founder; a formal chart is deferred until the team passes ten.</w:t>
      </w:r>
    </w:p>
    <w:p>
      <w:pPr>
        <w:pStyle w:val="Heading2"/>
        <w:spacing w:after="160" w:before="320"/>
      </w:pPr>
      <w:r>
        <w:t xml:space="preserve">6.1  Professional and advisory support</w:t>
      </w:r>
    </w:p>
    <w:p>
      <w:pPr>
        <w:spacing w:after="200" w:before="0" w:line="300" w:lineRule="auto"/>
      </w:pPr>
      <w:r>
        <w:rPr>
          <w:rFonts w:ascii="Arial" w:cs="Arial" w:eastAsia="Arial" w:hAnsi="Arial"/>
          <w:color w:val="334155"/>
          <w:sz w:val="22"/>
          <w:szCs w:val="22"/>
        </w:rPr>
        <w:t xml:space="preserve">Assumed and to be engaged: startup counsel (formation, SAFEs, DPAs); a fractional CFO/bookkeeping firm; a PEO for payroll and benefits; a technology E&amp;O/cyber broker; a banking relationship at a startup-focused institution; a SOC 2 auditor; and an advisory bench of two to three operators from the data industry (target profiles: a former BI-company product leader and a data-platform GTM leader). A formal board is constituted at the seed round: founder plus one investor seat plus one independent.</w:t>
      </w:r>
    </w:p>
    <w:p>
      <w:pPr>
        <w:pStyle w:val="Heading1"/>
        <w:pageBreakBefore/>
        <w:pBdr>
          <w:bottom w:val="single" w:color="2563EB" w:sz="12" w:space="6"/>
        </w:pBdr>
        <w:spacing w:after="280" w:before="0"/>
      </w:pPr>
      <w:r>
        <w:t xml:space="preserve">7.  Personal Financial Statement</w:t>
      </w:r>
    </w:p>
    <w:p>
      <w:pPr>
        <w:spacing w:after="200" w:before="0" w:line="300" w:lineRule="auto"/>
      </w:pPr>
      <w:r>
        <w:rPr>
          <w:rFonts w:ascii="Arial" w:cs="Arial" w:eastAsia="Arial" w:hAnsi="Arial"/>
          <w:color w:val="334155"/>
          <w:sz w:val="22"/>
          <w:szCs w:val="22"/>
        </w:rPr>
        <w:t xml:space="preserve">A personal financial statement for the founder (sole owner at formation) is required by most lenders and investors. The figures below are explicit placeholders inserted so no section of this plan is left blank; they must be replaced with actual values before the plan is shown to any funding source. (See Open Items.)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Item (placeholder values)</w:t>
            </w:r>
          </w:p>
        </w:tc>
        <w:tc>
          <w:tcPr>
            <w:tcW w:type="dxa" w:w="234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Assets</w:t>
            </w:r>
          </w:p>
        </w:tc>
        <w:tc>
          <w:tcPr>
            <w:tcW w:type="dxa" w:w="234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Liabilities</w:t>
            </w:r>
          </w:p>
        </w:tc>
      </w:tr>
      <w:tr>
        <w:tc>
          <w:tcPr>
            <w:tcW w:type="dxa" w:w="46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Cash &amp; equivalents</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$45,000</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w:t>
            </w:r>
          </w:p>
        </w:tc>
      </w:tr>
      <w:tr>
        <w:tc>
          <w:tcPr>
            <w:tcW w:type="dxa" w:w="46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Brokerage / retirement accounts</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$85,000</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w:t>
            </w:r>
          </w:p>
        </w:tc>
      </w:tr>
      <w:tr>
        <w:tc>
          <w:tcPr>
            <w:tcW w:type="dxa" w:w="46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Vehicle &amp; personal property</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$25,000</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w:t>
            </w:r>
          </w:p>
        </w:tc>
      </w:tr>
      <w:tr>
        <w:tc>
          <w:tcPr>
            <w:tcW w:type="dxa" w:w="46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Founder loan capacity earmarked for company</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$50,000</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w:t>
            </w:r>
          </w:p>
        </w:tc>
      </w:tr>
      <w:tr>
        <w:tc>
          <w:tcPr>
            <w:tcW w:type="dxa" w:w="46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Student / auto / card balances</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$38,000</w:t>
            </w:r>
          </w:p>
        </w:tc>
      </w:tr>
      <w:tr>
        <w:tc>
          <w:tcPr>
            <w:tcW w:type="dxa" w:w="46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Other obligations</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$12,000</w:t>
            </w:r>
          </w:p>
        </w:tc>
      </w:tr>
      <w:tr>
        <w:tc>
          <w:tcPr>
            <w:tcW w:type="dxa" w:w="46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Totals</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$205,000</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$50,000</w:t>
            </w:r>
          </w:p>
        </w:tc>
      </w:tr>
      <w:tr>
        <w:tc>
          <w:tcPr>
            <w:tcW w:type="dxa" w:w="468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Personal net worth (placeholder)</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bCs/>
                <w:color w:val="0F172A"/>
                <w:sz w:val="20"/>
                <w:szCs w:val="20"/>
              </w:rPr>
              <w:t xml:space="preserve">$155,000</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color w:val="334155"/>
                <w:sz w:val="20"/>
                <w:szCs w:val="20"/>
              </w:rPr>
              <w:t xml:space="preserve"/>
            </w:r>
          </w:p>
        </w:tc>
      </w:tr>
    </w:tbl>
    <w:p>
      <w:pPr>
        <w:spacing w:after="120"/>
      </w:pPr>
    </w:p>
    <w:p>
      <w:pPr>
        <w:spacing w:after="240" w:before="0" w:line="300" w:lineRule="auto"/>
      </w:pPr>
      <w:r>
        <w:rPr>
          <w:rFonts w:ascii="Arial" w:cs="Arial" w:eastAsia="Arial" w:hAnsi="Arial"/>
          <w:b/>
          <w:bCs/>
          <w:i/>
          <w:iCs/>
          <w:color w:val="64748B"/>
          <w:sz w:val="20"/>
          <w:szCs w:val="20"/>
        </w:rPr>
        <w:t xml:space="preserve">Assumptions &amp; sources:  </w:t>
      </w:r>
      <w:r>
        <w:rPr>
          <w:rFonts w:ascii="Arial" w:cs="Arial" w:eastAsia="Arial" w:hAnsi="Arial"/>
          <w:i/>
          <w:iCs/>
          <w:color w:val="64748B"/>
          <w:sz w:val="20"/>
          <w:szCs w:val="20"/>
        </w:rPr>
        <w:t xml:space="preserve">Entirely placeholder figures — supplied only so the template section is complete. Replace with the owner’s actual statement.</w:t>
      </w:r>
    </w:p>
    <w:p>
      <w:pPr>
        <w:pStyle w:val="Heading1"/>
        <w:pageBreakBefore/>
        <w:pBdr>
          <w:bottom w:val="single" w:color="2563EB" w:sz="12" w:space="6"/>
        </w:pBdr>
        <w:spacing w:after="280" w:before="0"/>
      </w:pPr>
      <w:r>
        <w:t xml:space="preserve">8.  Startup Expenses and Capitalization</w:t>
      </w:r>
    </w:p>
    <w:p>
      <w:pPr>
        <w:pStyle w:val="Heading2"/>
        <w:spacing w:after="160" w:before="320"/>
      </w:pPr>
      <w:r>
        <w:t xml:space="preserve">8.1  Startup expenses (pre-launch)</w:t>
      </w:r>
    </w:p>
    <w:p>
      <w:pPr>
        <w:spacing w:after="200" w:before="0" w:line="300" w:lineRule="auto"/>
      </w:pPr>
      <w:r>
        <w:rPr>
          <w:rFonts w:ascii="Arial" w:cs="Arial" w:eastAsia="Arial" w:hAnsi="Arial"/>
          <w:color w:val="334155"/>
          <w:sz w:val="22"/>
          <w:szCs w:val="22"/>
        </w:rPr>
        <w:t xml:space="preserve">Costs to carry the finished codebase to commercial opening day (GA), researched against typical seed-stage benchmarks and the program’s own roadmap. Product engineering to date is founder-contributed and not capitalized. A 20% contingency line is carried separately, per good practice, rather than padding individual items.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c>
          <w:tcPr>
            <w:tcW w:type="dxa" w:w="702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Item</w:t>
            </w:r>
          </w:p>
        </w:tc>
        <w:tc>
          <w:tcPr>
            <w:tcW w:type="dxa" w:w="234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Amount</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Legal — incorporation, IP assignment, SAFE documents</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$8,000</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Compliance tooling — SOC 2 readiness platform, policies</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$12,000</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Brand &amp; site polish for launch</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$6,000</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Equipment — laptops &amp; peripherals (capitalized)</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$8,000</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Pre-launch cloud, CI, and LLM development usage</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$9,000</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Launch marketing (Section 4.8 pre-launch budget)</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$10,000</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Insurance binder &amp; deposits (capitalized: $4,000 deposits)</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$4,000</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Subtotal</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$57,000</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Contingency (20% of subtotal)</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$11,400</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Total startup expenses</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bCs/>
                <w:color w:val="0F172A"/>
                <w:sz w:val="20"/>
                <w:szCs w:val="20"/>
              </w:rPr>
              <w:t xml:space="preserve">$68,400</w:t>
            </w:r>
          </w:p>
        </w:tc>
      </w:tr>
    </w:tbl>
    <w:p>
      <w:pPr>
        <w:spacing w:after="120"/>
      </w:pPr>
    </w:p>
    <w:p>
      <w:pPr>
        <w:pStyle w:val="Heading2"/>
        <w:spacing w:after="160" w:before="320"/>
      </w:pPr>
      <w:r>
        <w:t xml:space="preserve">8.2  Capitalization</w:t>
      </w:r>
    </w:p>
    <w:p>
      <w:pPr>
        <w:spacing w:after="200" w:before="0" w:line="300" w:lineRule="auto"/>
      </w:pPr>
      <w:r>
        <w:rPr>
          <w:rFonts w:ascii="Arial" w:cs="Arial" w:eastAsia="Arial" w:hAnsi="Arial"/>
          <w:color w:val="334155"/>
          <w:sz w:val="22"/>
          <w:szCs w:val="22"/>
        </w:rPr>
        <w:t xml:space="preserve">Total capital of $1,550,000 funds startup expenses, the Year-1 operating loss (projected $658,546 — Section 9), and a reserve that preserves 12+ months of runway beyond Month 12 at the exit burn rate (~$38,000/month). Terms are assumptions pending negotiation.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60"/>
        <w:gridCol w:w="1960"/>
        <w:gridCol w:w="1940"/>
      </w:tblGrid>
      <w:tr>
        <w:tc>
          <w:tcPr>
            <w:tcW w:type="dxa" w:w="350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Source</w:t>
            </w:r>
          </w:p>
        </w:tc>
        <w:tc>
          <w:tcPr>
            <w:tcW w:type="dxa" w:w="196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Amount</w:t>
            </w:r>
          </w:p>
        </w:tc>
        <w:tc>
          <w:tcPr>
            <w:tcW w:type="dxa" w:w="196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Instrument</w:t>
            </w:r>
          </w:p>
        </w:tc>
        <w:tc>
          <w:tcPr>
            <w:tcW w:type="dxa" w:w="194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Ownership effect</w:t>
            </w:r>
          </w:p>
        </w:tc>
      </w:tr>
      <w:tr>
        <w:tc>
          <w:tcPr>
            <w:tcW w:type="dxa" w:w="350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Founder — Leo Carrico</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$50,000</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Common stock</w:t>
            </w:r>
          </w:p>
        </w:tc>
        <w:tc>
          <w:tcPr>
            <w:tcW w:type="dxa" w:w="19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100% of common at formation</w:t>
            </w:r>
          </w:p>
        </w:tc>
      </w:tr>
      <w:tr>
        <w:tc>
          <w:tcPr>
            <w:tcW w:type="dxa" w:w="350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Seed investors</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$1,500,000</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Post-money SAFE, $8.0M cap (assumed)</w:t>
            </w:r>
          </w:p>
        </w:tc>
        <w:tc>
          <w:tcPr>
            <w:tcW w:type="dxa" w:w="19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≈15.8% on conversion</w:t>
            </w:r>
          </w:p>
        </w:tc>
      </w:tr>
      <w:tr>
        <w:tc>
          <w:tcPr>
            <w:tcW w:type="dxa" w:w="350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Bank debt</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$0</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w:t>
            </w:r>
          </w:p>
        </w:tc>
        <w:tc>
          <w:tcPr>
            <w:tcW w:type="dxa" w:w="19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None sought — pre-revenue SaaS is not bankable; plan is equity-funded</w:t>
            </w:r>
          </w:p>
        </w:tc>
      </w:tr>
      <w:tr>
        <w:tc>
          <w:tcPr>
            <w:tcW w:type="dxa" w:w="350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Total capitalization</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bCs/>
                <w:color w:val="0F172A"/>
                <w:sz w:val="20"/>
                <w:szCs w:val="20"/>
              </w:rPr>
              <w:t xml:space="preserve">$1,550,000</w:t>
            </w:r>
          </w:p>
        </w:tc>
        <w:tc>
          <w:tcPr>
            <w:tcW w:type="dxa" w:w="196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color w:val="334155"/>
                <w:sz w:val="20"/>
                <w:szCs w:val="20"/>
              </w:rPr>
              <w:t xml:space="preserve"/>
            </w:r>
          </w:p>
        </w:tc>
        <w:tc>
          <w:tcPr>
            <w:tcW w:type="dxa" w:w="19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color w:val="334155"/>
                <w:sz w:val="20"/>
                <w:szCs w:val="20"/>
              </w:rPr>
              <w:t xml:space="preserve">10% option pool created at close (assumed)</w:t>
            </w:r>
          </w:p>
        </w:tc>
      </w:tr>
    </w:tbl>
    <w:p>
      <w:pPr>
        <w:spacing w:after="120"/>
      </w:pPr>
    </w:p>
    <w:p>
      <w:pPr>
        <w:spacing w:after="240" w:before="0" w:line="300" w:lineRule="auto"/>
      </w:pPr>
      <w:r>
        <w:rPr>
          <w:rFonts w:ascii="Arial" w:cs="Arial" w:eastAsia="Arial" w:hAnsi="Arial"/>
          <w:b/>
          <w:bCs/>
          <w:i/>
          <w:iCs/>
          <w:color w:val="64748B"/>
          <w:sz w:val="20"/>
          <w:szCs w:val="20"/>
        </w:rPr>
        <w:t xml:space="preserve">Assumptions &amp; sources:  </w:t>
      </w:r>
      <w:r>
        <w:rPr>
          <w:rFonts w:ascii="Arial" w:cs="Arial" w:eastAsia="Arial" w:hAnsi="Arial"/>
          <w:i/>
          <w:iCs/>
          <w:color w:val="64748B"/>
          <w:sz w:val="20"/>
          <w:szCs w:val="20"/>
        </w:rPr>
        <w:t xml:space="preserve">If this plan is later used for a lender: requested amount, use of funds, and repayment schedule would be restated per the “Refining the Plan” guidance; as drafted, the ask is seed equity, used per Sections 8–9, with investor return via growth and eventual sale or IPO rather than repayment.</w:t>
      </w:r>
    </w:p>
    <w:p>
      <w:pPr>
        <w:pStyle w:val="Heading1"/>
        <w:pageBreakBefore/>
        <w:pBdr>
          <w:bottom w:val="single" w:color="2563EB" w:sz="12" w:space="6"/>
        </w:pBdr>
        <w:spacing w:after="280" w:before="0"/>
      </w:pPr>
      <w:r>
        <w:t xml:space="preserve">9.  Financial Plan</w:t>
      </w:r>
    </w:p>
    <w:p>
      <w:pPr>
        <w:pStyle w:val="Heading2"/>
        <w:spacing w:after="160" w:before="320"/>
      </w:pPr>
      <w:r>
        <w:t xml:space="preserve">9.1  12-month profit &amp; loss projection</w:t>
      </w:r>
    </w:p>
    <w:p>
      <w:pPr>
        <w:spacing w:after="200" w:before="0" w:line="300" w:lineRule="auto"/>
      </w:pPr>
      <w:r>
        <w:rPr>
          <w:rFonts w:ascii="Arial" w:cs="Arial" w:eastAsia="Arial" w:hAnsi="Arial"/>
          <w:color w:val="334155"/>
          <w:sz w:val="22"/>
          <w:szCs w:val="22"/>
        </w:rPr>
        <w:t xml:space="preserve">Built directly from the Section 4.12 sales forecast. Cost of revenue (AI inference, warehouse compute, serving) is modeled at 22% of revenue — a 78% gross margin consistent with usage-metered SaaS. Operating expenses follow the staffing plan (Section 5.6), the promotional budget (Section 4.8), fixed infrastructure, and one-time SOC 2 certification in Q3. Quarterly columns are the sums of the underlying monthly model.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300"/>
        <w:gridCol w:w="1300"/>
        <w:gridCol w:w="1300"/>
        <w:gridCol w:w="1300"/>
        <w:gridCol w:w="1300"/>
      </w:tblGrid>
      <w:tr>
        <w:tc>
          <w:tcPr>
            <w:tcW w:type="dxa" w:w="2860"/>
            <w:tcBorders>
              <w:top w:val="single" w:color="D8DCE3" w:sz="1"/>
              <w:left w:val="single" w:color="D8DCE3" w:sz="1"/>
              <w:bottom w:val="single" w:color="D8DCE3" w:sz="1"/>
              <w:right w:val="single" w:color="D8DCE3" w:sz="1"/>
            </w:tcBorders>
            <w:shd w:fill="EFF4FF" w:val="clear"/>
            <w:tcMar>
              <w:top w:type="dxa" w:w="110"/>
              <w:left w:type="dxa" w:w="100"/>
              <w:bottom w:type="dxa" w:w="110"/>
              <w:right w:type="dxa" w:w="100"/>
            </w:tcMar>
          </w:tcPr>
          <w:p>
            <w:pPr>
              <w:spacing w:after="0" w:line="264" w:lineRule="auto"/>
            </w:pPr>
            <w:r>
              <w:rPr>
                <w:rFonts w:ascii="Arial" w:cs="Arial" w:eastAsia="Arial" w:hAnsi="Arial"/>
                <w:b/>
                <w:bCs/>
                <w:color w:val="0F172A"/>
                <w:sz w:val="20"/>
                <w:szCs w:val="20"/>
              </w:rPr>
              <w:t xml:space="preserve">Line</w:t>
            </w:r>
          </w:p>
        </w:tc>
        <w:tc>
          <w:tcPr>
            <w:tcW w:type="dxa" w:w="1300"/>
            <w:tcBorders>
              <w:top w:val="single" w:color="D8DCE3" w:sz="1"/>
              <w:left w:val="single" w:color="D8DCE3" w:sz="1"/>
              <w:bottom w:val="single" w:color="D8DCE3" w:sz="1"/>
              <w:right w:val="single" w:color="D8DCE3" w:sz="1"/>
            </w:tcBorders>
            <w:shd w:fill="EFF4FF" w:val="clear"/>
            <w:tcMar>
              <w:top w:type="dxa" w:w="110"/>
              <w:left w:type="dxa" w:w="100"/>
              <w:bottom w:type="dxa" w:w="110"/>
              <w:right w:type="dxa" w:w="100"/>
            </w:tcMar>
          </w:tcPr>
          <w:p>
            <w:pPr>
              <w:spacing w:after="0" w:line="264" w:lineRule="auto"/>
            </w:pPr>
            <w:r>
              <w:rPr>
                <w:rFonts w:ascii="Arial" w:cs="Arial" w:eastAsia="Arial" w:hAnsi="Arial"/>
                <w:b/>
                <w:bCs/>
                <w:color w:val="0F172A"/>
                <w:sz w:val="20"/>
                <w:szCs w:val="20"/>
              </w:rPr>
              <w:t xml:space="preserve">Q1</w:t>
            </w:r>
          </w:p>
        </w:tc>
        <w:tc>
          <w:tcPr>
            <w:tcW w:type="dxa" w:w="1300"/>
            <w:tcBorders>
              <w:top w:val="single" w:color="D8DCE3" w:sz="1"/>
              <w:left w:val="single" w:color="D8DCE3" w:sz="1"/>
              <w:bottom w:val="single" w:color="D8DCE3" w:sz="1"/>
              <w:right w:val="single" w:color="D8DCE3" w:sz="1"/>
            </w:tcBorders>
            <w:shd w:fill="EFF4FF" w:val="clear"/>
            <w:tcMar>
              <w:top w:type="dxa" w:w="110"/>
              <w:left w:type="dxa" w:w="100"/>
              <w:bottom w:type="dxa" w:w="110"/>
              <w:right w:type="dxa" w:w="100"/>
            </w:tcMar>
          </w:tcPr>
          <w:p>
            <w:pPr>
              <w:spacing w:after="0" w:line="264" w:lineRule="auto"/>
            </w:pPr>
            <w:r>
              <w:rPr>
                <w:rFonts w:ascii="Arial" w:cs="Arial" w:eastAsia="Arial" w:hAnsi="Arial"/>
                <w:b/>
                <w:bCs/>
                <w:color w:val="0F172A"/>
                <w:sz w:val="20"/>
                <w:szCs w:val="20"/>
              </w:rPr>
              <w:t xml:space="preserve">Q2</w:t>
            </w:r>
          </w:p>
        </w:tc>
        <w:tc>
          <w:tcPr>
            <w:tcW w:type="dxa" w:w="1300"/>
            <w:tcBorders>
              <w:top w:val="single" w:color="D8DCE3" w:sz="1"/>
              <w:left w:val="single" w:color="D8DCE3" w:sz="1"/>
              <w:bottom w:val="single" w:color="D8DCE3" w:sz="1"/>
              <w:right w:val="single" w:color="D8DCE3" w:sz="1"/>
            </w:tcBorders>
            <w:shd w:fill="EFF4FF" w:val="clear"/>
            <w:tcMar>
              <w:top w:type="dxa" w:w="110"/>
              <w:left w:type="dxa" w:w="100"/>
              <w:bottom w:type="dxa" w:w="110"/>
              <w:right w:type="dxa" w:w="100"/>
            </w:tcMar>
          </w:tcPr>
          <w:p>
            <w:pPr>
              <w:spacing w:after="0" w:line="264" w:lineRule="auto"/>
            </w:pPr>
            <w:r>
              <w:rPr>
                <w:rFonts w:ascii="Arial" w:cs="Arial" w:eastAsia="Arial" w:hAnsi="Arial"/>
                <w:b/>
                <w:bCs/>
                <w:color w:val="0F172A"/>
                <w:sz w:val="20"/>
                <w:szCs w:val="20"/>
              </w:rPr>
              <w:t xml:space="preserve">Q3</w:t>
            </w:r>
          </w:p>
        </w:tc>
        <w:tc>
          <w:tcPr>
            <w:tcW w:type="dxa" w:w="1300"/>
            <w:tcBorders>
              <w:top w:val="single" w:color="D8DCE3" w:sz="1"/>
              <w:left w:val="single" w:color="D8DCE3" w:sz="1"/>
              <w:bottom w:val="single" w:color="D8DCE3" w:sz="1"/>
              <w:right w:val="single" w:color="D8DCE3" w:sz="1"/>
            </w:tcBorders>
            <w:shd w:fill="EFF4FF" w:val="clear"/>
            <w:tcMar>
              <w:top w:type="dxa" w:w="110"/>
              <w:left w:type="dxa" w:w="100"/>
              <w:bottom w:type="dxa" w:w="110"/>
              <w:right w:type="dxa" w:w="100"/>
            </w:tcMar>
          </w:tcPr>
          <w:p>
            <w:pPr>
              <w:spacing w:after="0" w:line="264" w:lineRule="auto"/>
            </w:pPr>
            <w:r>
              <w:rPr>
                <w:rFonts w:ascii="Arial" w:cs="Arial" w:eastAsia="Arial" w:hAnsi="Arial"/>
                <w:b/>
                <w:bCs/>
                <w:color w:val="0F172A"/>
                <w:sz w:val="20"/>
                <w:szCs w:val="20"/>
              </w:rPr>
              <w:t xml:space="preserve">Q4</w:t>
            </w:r>
          </w:p>
        </w:tc>
        <w:tc>
          <w:tcPr>
            <w:tcW w:type="dxa" w:w="1300"/>
            <w:tcBorders>
              <w:top w:val="single" w:color="D8DCE3" w:sz="1"/>
              <w:left w:val="single" w:color="D8DCE3" w:sz="1"/>
              <w:bottom w:val="single" w:color="D8DCE3" w:sz="1"/>
              <w:right w:val="single" w:color="D8DCE3" w:sz="1"/>
            </w:tcBorders>
            <w:shd w:fill="EFF4FF" w:val="clear"/>
            <w:tcMar>
              <w:top w:type="dxa" w:w="110"/>
              <w:left w:type="dxa" w:w="100"/>
              <w:bottom w:type="dxa" w:w="110"/>
              <w:right w:type="dxa" w:w="100"/>
            </w:tcMar>
          </w:tcPr>
          <w:p>
            <w:pPr>
              <w:spacing w:after="0" w:line="264" w:lineRule="auto"/>
            </w:pPr>
            <w:r>
              <w:rPr>
                <w:rFonts w:ascii="Arial" w:cs="Arial" w:eastAsia="Arial" w:hAnsi="Arial"/>
                <w:b/>
                <w:bCs/>
                <w:color w:val="0F172A"/>
                <w:sz w:val="20"/>
                <w:szCs w:val="20"/>
              </w:rPr>
              <w:t xml:space="preserve">Year 1</w:t>
            </w:r>
          </w:p>
        </w:tc>
      </w:tr>
      <w:tr>
        <w:tc>
          <w:tcPr>
            <w:tcW w:type="dxa" w:w="286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pPr>
            <w:r>
              <w:rPr>
                <w:rFonts w:ascii="Arial" w:cs="Arial" w:eastAsia="Arial" w:hAnsi="Arial"/>
                <w:b w:val="false"/>
                <w:bCs w:val="false"/>
                <w:color w:val="334155"/>
                <w:sz w:val="20"/>
                <w:szCs w:val="20"/>
              </w:rPr>
              <w:t xml:space="preserve">Revenue</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$7,367</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$37,680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$84,340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$144,658</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$274,045</w:t>
            </w:r>
          </w:p>
        </w:tc>
      </w:tr>
      <w:tr>
        <w:tc>
          <w:tcPr>
            <w:tcW w:type="dxa" w:w="286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pPr>
            <w:r>
              <w:rPr>
                <w:rFonts w:ascii="Arial" w:cs="Arial" w:eastAsia="Arial" w:hAnsi="Arial"/>
                <w:b w:val="false"/>
                <w:bCs w:val="false"/>
                <w:color w:val="334155"/>
                <w:sz w:val="20"/>
                <w:szCs w:val="20"/>
              </w:rPr>
              <w:t xml:space="preserve">Cost of revenue (22%)</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$1,621</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$8,290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$18,555</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$31,825</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$60,291</w:t>
            </w:r>
          </w:p>
        </w:tc>
      </w:tr>
      <w:tr>
        <w:tc>
          <w:tcPr>
            <w:tcW w:type="dxa" w:w="286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pPr>
            <w:r>
              <w:rPr>
                <w:rFonts w:ascii="Arial" w:cs="Arial" w:eastAsia="Arial" w:hAnsi="Arial"/>
                <w:b w:val="false"/>
                <w:bCs w:val="false"/>
                <w:color w:val="334155"/>
                <w:sz w:val="20"/>
                <w:szCs w:val="20"/>
              </w:rPr>
              <w:t xml:space="preserve">Gross profit</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$5,746</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$29,390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$65,785</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$112,833</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$213,754</w:t>
            </w:r>
          </w:p>
        </w:tc>
      </w:tr>
      <w:tr>
        <w:tc>
          <w:tcPr>
            <w:tcW w:type="dxa" w:w="286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pPr>
            <w:r>
              <w:rPr>
                <w:rFonts w:ascii="Arial" w:cs="Arial" w:eastAsia="Arial" w:hAnsi="Arial"/>
                <w:b w:val="false"/>
                <w:bCs w:val="false"/>
                <w:color w:val="334155"/>
                <w:sz w:val="20"/>
                <w:szCs w:val="20"/>
              </w:rPr>
              <w:t xml:space="preserve">Payroll (burdened)</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$120,750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$166,750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$207,000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$207,000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$701,500</w:t>
            </w:r>
          </w:p>
        </w:tc>
      </w:tr>
      <w:tr>
        <w:tc>
          <w:tcPr>
            <w:tcW w:type="dxa" w:w="286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pPr>
            <w:r>
              <w:rPr>
                <w:rFonts w:ascii="Arial" w:cs="Arial" w:eastAsia="Arial" w:hAnsi="Arial"/>
                <w:b w:val="false"/>
                <w:bCs w:val="false"/>
                <w:color w:val="334155"/>
                <w:sz w:val="20"/>
                <w:szCs w:val="20"/>
              </w:rPr>
              <w:t xml:space="preserve">Marketing</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$6,000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$10,500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$13,500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$18,000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$48,000</w:t>
            </w:r>
          </w:p>
        </w:tc>
      </w:tr>
      <w:tr>
        <w:tc>
          <w:tcPr>
            <w:tcW w:type="dxa" w:w="286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pPr>
            <w:r>
              <w:rPr>
                <w:rFonts w:ascii="Arial" w:cs="Arial" w:eastAsia="Arial" w:hAnsi="Arial"/>
                <w:b w:val="false"/>
                <w:bCs w:val="false"/>
                <w:color w:val="334155"/>
                <w:sz w:val="20"/>
                <w:szCs w:val="20"/>
              </w:rPr>
              <w:t xml:space="preserve">Infrastructure &amp; tools</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$11,100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$11,100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$11,100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$11,100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$44,400</w:t>
            </w:r>
          </w:p>
        </w:tc>
      </w:tr>
      <w:tr>
        <w:tc>
          <w:tcPr>
            <w:tcW w:type="dxa" w:w="286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pPr>
            <w:r>
              <w:rPr>
                <w:rFonts w:ascii="Arial" w:cs="Arial" w:eastAsia="Arial" w:hAnsi="Arial"/>
                <w:b w:val="false"/>
                <w:bCs w:val="false"/>
                <w:color w:val="334155"/>
                <w:sz w:val="20"/>
                <w:szCs w:val="20"/>
              </w:rPr>
              <w:t xml:space="preserve">Legal, accounting, insurance</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$6,600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$6,600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$6,600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$6,600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$26,400</w:t>
            </w:r>
          </w:p>
        </w:tc>
      </w:tr>
      <w:tr>
        <w:tc>
          <w:tcPr>
            <w:tcW w:type="dxa" w:w="286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pPr>
            <w:r>
              <w:rPr>
                <w:rFonts w:ascii="Arial" w:cs="Arial" w:eastAsia="Arial" w:hAnsi="Arial"/>
                <w:b w:val="false"/>
                <w:bCs w:val="false"/>
                <w:color w:val="334155"/>
                <w:sz w:val="20"/>
                <w:szCs w:val="20"/>
              </w:rPr>
              <w:t xml:space="preserve">SOC 2 audit + pen test</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$40,000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$40,000</w:t>
            </w:r>
          </w:p>
        </w:tc>
      </w:tr>
      <w:tr>
        <w:tc>
          <w:tcPr>
            <w:tcW w:type="dxa" w:w="286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pPr>
            <w:r>
              <w:rPr>
                <w:rFonts w:ascii="Arial" w:cs="Arial" w:eastAsia="Arial" w:hAnsi="Arial"/>
                <w:b w:val="false"/>
                <w:bCs w:val="false"/>
                <w:color w:val="334155"/>
                <w:sz w:val="20"/>
                <w:szCs w:val="20"/>
              </w:rPr>
              <w:t xml:space="preserve">Miscellaneous &amp; travel</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$3,000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$3,000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$3,000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$3,000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$12,000</w:t>
            </w:r>
          </w:p>
        </w:tc>
      </w:tr>
      <w:tr>
        <w:tc>
          <w:tcPr>
            <w:tcW w:type="dxa" w:w="286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pPr>
            <w:r>
              <w:rPr>
                <w:rFonts w:ascii="Arial" w:cs="Arial" w:eastAsia="Arial" w:hAnsi="Arial"/>
                <w:b w:val="false"/>
                <w:bCs w:val="false"/>
                <w:color w:val="334155"/>
                <w:sz w:val="20"/>
                <w:szCs w:val="20"/>
              </w:rPr>
              <w:t xml:space="preserve">Total operating expenses</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$147,450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$197,950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$281,200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$245,700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$872,300</w:t>
            </w:r>
          </w:p>
        </w:tc>
      </w:tr>
      <w:tr>
        <w:tc>
          <w:tcPr>
            <w:tcW w:type="dxa" w:w="286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pPr>
            <w:r>
              <w:rPr>
                <w:rFonts w:ascii="Arial" w:cs="Arial" w:eastAsia="Arial" w:hAnsi="Arial"/>
                <w:b/>
                <w:bCs/>
                <w:color w:val="0F172A"/>
                <w:sz w:val="20"/>
                <w:szCs w:val="20"/>
              </w:rPr>
              <w:t xml:space="preserve">Net income (loss)</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bCs/>
                <w:color w:val="0F172A"/>
                <w:sz w:val="18"/>
                <w:szCs w:val="18"/>
              </w:rPr>
              <w:t xml:space="preserve">($141,704)</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bCs/>
                <w:color w:val="0F172A"/>
                <w:sz w:val="18"/>
                <w:szCs w:val="18"/>
              </w:rPr>
              <w:t xml:space="preserve">($168,560)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bCs/>
                <w:color w:val="0F172A"/>
                <w:sz w:val="18"/>
                <w:szCs w:val="18"/>
              </w:rPr>
              <w:t xml:space="preserve">($215,415)</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bCs/>
                <w:color w:val="0F172A"/>
                <w:sz w:val="18"/>
                <w:szCs w:val="18"/>
              </w:rPr>
              <w:t xml:space="preserve">($132,867)</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bCs/>
                <w:color w:val="0F172A"/>
                <w:sz w:val="18"/>
                <w:szCs w:val="18"/>
              </w:rPr>
              <w:t xml:space="preserve">($658,546)</w:t>
            </w:r>
          </w:p>
        </w:tc>
      </w:tr>
    </w:tbl>
    <w:p>
      <w:pPr>
        <w:spacing w:after="120"/>
      </w:pPr>
    </w:p>
    <w:p>
      <w:pPr>
        <w:spacing w:after="200" w:before="0" w:line="300" w:lineRule="auto"/>
      </w:pPr>
      <w:r>
        <w:rPr>
          <w:rFonts w:ascii="Arial" w:cs="Arial" w:eastAsia="Arial" w:hAnsi="Arial"/>
          <w:color w:val="334155"/>
          <w:sz w:val="22"/>
          <w:szCs w:val="22"/>
        </w:rPr>
        <w:t xml:space="preserve">Major assumptions behind income and expense: pricing and plan mix per Sections 3.4 and 4.12; 22% variable cost ratio; salaries per Section 5.6 with 15% burden; monthly fixed costs of $6,900 (infrastructure $2,500, tooling $1,200, legal/accounting $1,500, insurance $700, misc $1,000) plus marketing ramping $2,000→$6,000. Depreciation on $8,000 of equipment (~$222/month over 3 years) is immaterial and folded into miscellaneous. Research notes and source documents are listed in the Appendices so every line can be traced and revised.</w:t>
      </w:r>
    </w:p>
    <w:p>
      <w:pPr>
        <w:pStyle w:val="Heading2"/>
        <w:spacing w:after="160" w:before="320"/>
      </w:pPr>
      <w:r>
        <w:t xml:space="preserve">9.2  Projected cash flow</w:t>
      </w:r>
    </w:p>
    <w:p>
      <w:pPr>
        <w:spacing w:after="200" w:before="0" w:line="300" w:lineRule="auto"/>
      </w:pPr>
      <w:r>
        <w:rPr>
          <w:rFonts w:ascii="Arial" w:cs="Arial" w:eastAsia="Arial" w:hAnsi="Arial"/>
          <w:color w:val="334155"/>
          <w:sz w:val="22"/>
          <w:szCs w:val="22"/>
        </w:rPr>
        <w:t xml:space="preserve">Cash behaves nearly identically to profit because self-serve customers pay by card in advance, suppliers auto-charge on short terms, and there is no inventory: receipts lag revenue only on Enterprise net-30 invoices (one month on a small base), and no expenses are prepaid materially except insurance. Depreciation never appears in cash flow. Irregular items are budgeted where they land: SOC 2 in Q3, the conference in Q3, annual insurance renewal in Q1 of Year 2. No loan payments or owner draws exist — the founder takes salary only. Annual-prepay adoption (20% discount) would pull cash forward and is conservatively excluded.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300"/>
        <w:gridCol w:w="1300"/>
        <w:gridCol w:w="1300"/>
        <w:gridCol w:w="1300"/>
        <w:gridCol w:w="1300"/>
      </w:tblGrid>
      <w:tr>
        <w:tc>
          <w:tcPr>
            <w:tcW w:type="dxa" w:w="2860"/>
            <w:tcBorders>
              <w:top w:val="single" w:color="D8DCE3" w:sz="1"/>
              <w:left w:val="single" w:color="D8DCE3" w:sz="1"/>
              <w:bottom w:val="single" w:color="D8DCE3" w:sz="1"/>
              <w:right w:val="single" w:color="D8DCE3" w:sz="1"/>
            </w:tcBorders>
            <w:shd w:fill="EFF4FF" w:val="clear"/>
            <w:tcMar>
              <w:top w:type="dxa" w:w="110"/>
              <w:left w:type="dxa" w:w="100"/>
              <w:bottom w:type="dxa" w:w="110"/>
              <w:right w:type="dxa" w:w="100"/>
            </w:tcMar>
          </w:tcPr>
          <w:p>
            <w:pPr>
              <w:spacing w:after="0" w:line="264" w:lineRule="auto"/>
            </w:pPr>
            <w:r>
              <w:rPr>
                <w:rFonts w:ascii="Arial" w:cs="Arial" w:eastAsia="Arial" w:hAnsi="Arial"/>
                <w:b/>
                <w:bCs/>
                <w:color w:val="0F172A"/>
                <w:sz w:val="20"/>
                <w:szCs w:val="20"/>
              </w:rPr>
              <w:t xml:space="preserve">Cash position</w:t>
            </w:r>
          </w:p>
        </w:tc>
        <w:tc>
          <w:tcPr>
            <w:tcW w:type="dxa" w:w="1300"/>
            <w:tcBorders>
              <w:top w:val="single" w:color="D8DCE3" w:sz="1"/>
              <w:left w:val="single" w:color="D8DCE3" w:sz="1"/>
              <w:bottom w:val="single" w:color="D8DCE3" w:sz="1"/>
              <w:right w:val="single" w:color="D8DCE3" w:sz="1"/>
            </w:tcBorders>
            <w:shd w:fill="EFF4FF" w:val="clear"/>
            <w:tcMar>
              <w:top w:type="dxa" w:w="110"/>
              <w:left w:type="dxa" w:w="100"/>
              <w:bottom w:type="dxa" w:w="110"/>
              <w:right w:type="dxa" w:w="100"/>
            </w:tcMar>
          </w:tcPr>
          <w:p>
            <w:pPr>
              <w:spacing w:after="0" w:line="264" w:lineRule="auto"/>
            </w:pPr>
            <w:r>
              <w:rPr>
                <w:rFonts w:ascii="Arial" w:cs="Arial" w:eastAsia="Arial" w:hAnsi="Arial"/>
                <w:b/>
                <w:bCs/>
                <w:color w:val="0F172A"/>
                <w:sz w:val="20"/>
                <w:szCs w:val="20"/>
              </w:rPr>
              <w:t xml:space="preserve">Pre-startup</w:t>
            </w:r>
          </w:p>
        </w:tc>
        <w:tc>
          <w:tcPr>
            <w:tcW w:type="dxa" w:w="1300"/>
            <w:tcBorders>
              <w:top w:val="single" w:color="D8DCE3" w:sz="1"/>
              <w:left w:val="single" w:color="D8DCE3" w:sz="1"/>
              <w:bottom w:val="single" w:color="D8DCE3" w:sz="1"/>
              <w:right w:val="single" w:color="D8DCE3" w:sz="1"/>
            </w:tcBorders>
            <w:shd w:fill="EFF4FF" w:val="clear"/>
            <w:tcMar>
              <w:top w:type="dxa" w:w="110"/>
              <w:left w:type="dxa" w:w="100"/>
              <w:bottom w:type="dxa" w:w="110"/>
              <w:right w:type="dxa" w:w="100"/>
            </w:tcMar>
          </w:tcPr>
          <w:p>
            <w:pPr>
              <w:spacing w:after="0" w:line="264" w:lineRule="auto"/>
            </w:pPr>
            <w:r>
              <w:rPr>
                <w:rFonts w:ascii="Arial" w:cs="Arial" w:eastAsia="Arial" w:hAnsi="Arial"/>
                <w:b/>
                <w:bCs/>
                <w:color w:val="0F172A"/>
                <w:sz w:val="20"/>
                <w:szCs w:val="20"/>
              </w:rPr>
              <w:t xml:space="preserve">Q1</w:t>
            </w:r>
          </w:p>
        </w:tc>
        <w:tc>
          <w:tcPr>
            <w:tcW w:type="dxa" w:w="1300"/>
            <w:tcBorders>
              <w:top w:val="single" w:color="D8DCE3" w:sz="1"/>
              <w:left w:val="single" w:color="D8DCE3" w:sz="1"/>
              <w:bottom w:val="single" w:color="D8DCE3" w:sz="1"/>
              <w:right w:val="single" w:color="D8DCE3" w:sz="1"/>
            </w:tcBorders>
            <w:shd w:fill="EFF4FF" w:val="clear"/>
            <w:tcMar>
              <w:top w:type="dxa" w:w="110"/>
              <w:left w:type="dxa" w:w="100"/>
              <w:bottom w:type="dxa" w:w="110"/>
              <w:right w:type="dxa" w:w="100"/>
            </w:tcMar>
          </w:tcPr>
          <w:p>
            <w:pPr>
              <w:spacing w:after="0" w:line="264" w:lineRule="auto"/>
            </w:pPr>
            <w:r>
              <w:rPr>
                <w:rFonts w:ascii="Arial" w:cs="Arial" w:eastAsia="Arial" w:hAnsi="Arial"/>
                <w:b/>
                <w:bCs/>
                <w:color w:val="0F172A"/>
                <w:sz w:val="20"/>
                <w:szCs w:val="20"/>
              </w:rPr>
              <w:t xml:space="preserve">Q2</w:t>
            </w:r>
          </w:p>
        </w:tc>
        <w:tc>
          <w:tcPr>
            <w:tcW w:type="dxa" w:w="1300"/>
            <w:tcBorders>
              <w:top w:val="single" w:color="D8DCE3" w:sz="1"/>
              <w:left w:val="single" w:color="D8DCE3" w:sz="1"/>
              <w:bottom w:val="single" w:color="D8DCE3" w:sz="1"/>
              <w:right w:val="single" w:color="D8DCE3" w:sz="1"/>
            </w:tcBorders>
            <w:shd w:fill="EFF4FF" w:val="clear"/>
            <w:tcMar>
              <w:top w:type="dxa" w:w="110"/>
              <w:left w:type="dxa" w:w="100"/>
              <w:bottom w:type="dxa" w:w="110"/>
              <w:right w:type="dxa" w:w="100"/>
            </w:tcMar>
          </w:tcPr>
          <w:p>
            <w:pPr>
              <w:spacing w:after="0" w:line="264" w:lineRule="auto"/>
            </w:pPr>
            <w:r>
              <w:rPr>
                <w:rFonts w:ascii="Arial" w:cs="Arial" w:eastAsia="Arial" w:hAnsi="Arial"/>
                <w:b/>
                <w:bCs/>
                <w:color w:val="0F172A"/>
                <w:sz w:val="20"/>
                <w:szCs w:val="20"/>
              </w:rPr>
              <w:t xml:space="preserve">Q3</w:t>
            </w:r>
          </w:p>
        </w:tc>
        <w:tc>
          <w:tcPr>
            <w:tcW w:type="dxa" w:w="1300"/>
            <w:tcBorders>
              <w:top w:val="single" w:color="D8DCE3" w:sz="1"/>
              <w:left w:val="single" w:color="D8DCE3" w:sz="1"/>
              <w:bottom w:val="single" w:color="D8DCE3" w:sz="1"/>
              <w:right w:val="single" w:color="D8DCE3" w:sz="1"/>
            </w:tcBorders>
            <w:shd w:fill="EFF4FF" w:val="clear"/>
            <w:tcMar>
              <w:top w:type="dxa" w:w="110"/>
              <w:left w:type="dxa" w:w="100"/>
              <w:bottom w:type="dxa" w:w="110"/>
              <w:right w:type="dxa" w:w="100"/>
            </w:tcMar>
          </w:tcPr>
          <w:p>
            <w:pPr>
              <w:spacing w:after="0" w:line="264" w:lineRule="auto"/>
            </w:pPr>
            <w:r>
              <w:rPr>
                <w:rFonts w:ascii="Arial" w:cs="Arial" w:eastAsia="Arial" w:hAnsi="Arial"/>
                <w:b/>
                <w:bCs/>
                <w:color w:val="0F172A"/>
                <w:sz w:val="20"/>
                <w:szCs w:val="20"/>
              </w:rPr>
              <w:t xml:space="preserve">Q4</w:t>
            </w:r>
          </w:p>
        </w:tc>
      </w:tr>
      <w:tr>
        <w:tc>
          <w:tcPr>
            <w:tcW w:type="dxa" w:w="286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pPr>
            <w:r>
              <w:rPr>
                <w:rFonts w:ascii="Arial" w:cs="Arial" w:eastAsia="Arial" w:hAnsi="Arial"/>
                <w:b w:val="false"/>
                <w:bCs w:val="false"/>
                <w:color w:val="334155"/>
                <w:sz w:val="20"/>
                <w:szCs w:val="20"/>
              </w:rPr>
              <w:t xml:space="preserve">Beginning cash</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$1,550,000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$1,481,600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$1,339,896</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$1,171,336</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$955,921</w:t>
            </w:r>
          </w:p>
        </w:tc>
      </w:tr>
      <w:tr>
        <w:tc>
          <w:tcPr>
            <w:tcW w:type="dxa" w:w="286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pPr>
            <w:r>
              <w:rPr>
                <w:rFonts w:ascii="Arial" w:cs="Arial" w:eastAsia="Arial" w:hAnsi="Arial"/>
                <w:b w:val="false"/>
                <w:bCs w:val="false"/>
                <w:color w:val="334155"/>
                <w:sz w:val="20"/>
                <w:szCs w:val="20"/>
              </w:rPr>
              <w:t xml:space="preserve">Cash in (collections + capital)</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pPr>
            <w:r>
              <w:rPr>
                <w:rFonts w:ascii="Arial" w:cs="Arial" w:eastAsia="Arial" w:hAnsi="Arial"/>
                <w:b w:val="false"/>
                <w:bCs w:val="false"/>
                <w:color w:val="334155"/>
                <w:sz w:val="20"/>
                <w:szCs w:val="20"/>
              </w:rPr>
              <w:t xml:space="preserve">—</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$7,367</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$37,680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$84,340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$144,658</w:t>
            </w:r>
          </w:p>
        </w:tc>
      </w:tr>
      <w:tr>
        <w:tc>
          <w:tcPr>
            <w:tcW w:type="dxa" w:w="286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pPr>
            <w:r>
              <w:rPr>
                <w:rFonts w:ascii="Arial" w:cs="Arial" w:eastAsia="Arial" w:hAnsi="Arial"/>
                <w:b w:val="false"/>
                <w:bCs w:val="false"/>
                <w:color w:val="334155"/>
                <w:sz w:val="20"/>
                <w:szCs w:val="20"/>
              </w:rPr>
              <w:t xml:space="preserve">Cash out (startup / operations)</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($68,400)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($149,071)</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($206,240)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($299,755)</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val="false"/>
                <w:bCs w:val="false"/>
                <w:color w:val="334155"/>
                <w:sz w:val="20"/>
                <w:szCs w:val="20"/>
              </w:rPr>
              <w:t xml:space="preserve">($277,525)</w:t>
            </w:r>
          </w:p>
        </w:tc>
      </w:tr>
      <w:tr>
        <w:tc>
          <w:tcPr>
            <w:tcW w:type="dxa" w:w="286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pPr>
            <w:r>
              <w:rPr>
                <w:rFonts w:ascii="Arial" w:cs="Arial" w:eastAsia="Arial" w:hAnsi="Arial"/>
                <w:b/>
                <w:bCs/>
                <w:color w:val="0F172A"/>
                <w:sz w:val="20"/>
                <w:szCs w:val="20"/>
              </w:rPr>
              <w:t xml:space="preserve">Ending cash</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bCs/>
                <w:color w:val="0F172A"/>
                <w:sz w:val="18"/>
                <w:szCs w:val="18"/>
              </w:rPr>
              <w:t xml:space="preserve">$1,481,600</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bCs/>
                <w:color w:val="0F172A"/>
                <w:sz w:val="18"/>
                <w:szCs w:val="18"/>
              </w:rPr>
              <w:t xml:space="preserve">$1,339,896</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bCs/>
                <w:color w:val="0F172A"/>
                <w:sz w:val="18"/>
                <w:szCs w:val="18"/>
              </w:rPr>
              <w:t xml:space="preserve">$1,171,336</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bCs/>
                <w:color w:val="0F172A"/>
                <w:sz w:val="18"/>
                <w:szCs w:val="18"/>
              </w:rPr>
              <w:t xml:space="preserve">$955,921</w:t>
            </w:r>
          </w:p>
        </w:tc>
        <w:tc>
          <w:tcPr>
            <w:tcW w:type="dxa" w:w="1300"/>
            <w:tcBorders>
              <w:top w:val="single" w:color="D8DCE3" w:sz="1"/>
              <w:left w:val="single" w:color="D8DCE3" w:sz="1"/>
              <w:bottom w:val="single" w:color="D8DCE3" w:sz="1"/>
              <w:right w:val="single" w:color="D8DCE3" w:sz="1"/>
            </w:tcBorders>
            <w:tcMar>
              <w:top w:type="dxa" w:w="110"/>
              <w:left w:type="dxa" w:w="100"/>
              <w:bottom w:type="dxa" w:w="110"/>
              <w:right w:type="dxa" w:w="100"/>
            </w:tcMar>
          </w:tcPr>
          <w:p>
            <w:pPr>
              <w:spacing w:after="0" w:line="264" w:lineRule="auto"/>
              <w:jc w:val="right"/>
            </w:pPr>
            <w:r>
              <w:rPr>
                <w:rFonts w:ascii="Arial" w:cs="Arial" w:eastAsia="Arial" w:hAnsi="Arial"/>
                <w:b/>
                <w:bCs/>
                <w:color w:val="0F172A"/>
                <w:sz w:val="18"/>
                <w:szCs w:val="18"/>
              </w:rPr>
              <w:t xml:space="preserve">$823,054</w:t>
            </w:r>
          </w:p>
        </w:tc>
      </w:tr>
    </w:tbl>
    <w:p>
      <w:pPr>
        <w:spacing w:after="120"/>
      </w:pPr>
    </w:p>
    <w:p>
      <w:pPr>
        <w:spacing w:after="200" w:before="0" w:line="300" w:lineRule="auto"/>
      </w:pPr>
      <w:r>
        <w:rPr>
          <w:rFonts w:ascii="Arial" w:cs="Arial" w:eastAsia="Arial" w:hAnsi="Arial"/>
          <w:color w:val="334155"/>
          <w:sz w:val="22"/>
          <w:szCs w:val="22"/>
        </w:rPr>
        <w:t xml:space="preserve">The projected balance never approaches zero; worst-case revenue (60% of plan) ends Year 1 at approximately $713,000 cash, still more than a year of runway. The financing trigger for a Series A is approximately $100,000 MRR or Month 20, whichever comes first.</w:t>
      </w:r>
    </w:p>
    <w:p>
      <w:pPr>
        <w:pStyle w:val="Heading2"/>
        <w:spacing w:after="160" w:before="320"/>
      </w:pPr>
      <w:r>
        <w:t xml:space="preserve">9.3  Opening-day balance sheet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c>
          <w:tcPr>
            <w:tcW w:type="dxa" w:w="702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Opening-day balance sheet (GA day, assumed January 2027)</w:t>
            </w:r>
          </w:p>
        </w:tc>
        <w:tc>
          <w:tcPr>
            <w:tcW w:type="dxa" w:w="234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Amount</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Assets — Cash</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$1,481,600</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Assets — Equipment (at cost)</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$8,000</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Assets — Deposits</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$4,000</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Total assets</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bCs/>
                <w:color w:val="0F172A"/>
                <w:sz w:val="20"/>
                <w:szCs w:val="20"/>
              </w:rPr>
              <w:t xml:space="preserve">$1,493,600</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Liabilities</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$0</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Equity — Paid-in capital (founder + SAFE proceeds)</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$1,550,000</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Equity — Accumulated deficit (expensed startup costs)</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($56,400)</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Total liabilities &amp; owners’ equity</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bCs/>
                <w:color w:val="0F172A"/>
                <w:sz w:val="20"/>
                <w:szCs w:val="20"/>
              </w:rPr>
              <w:t xml:space="preserve">$1,493,600</w:t>
            </w:r>
          </w:p>
        </w:tc>
      </w:tr>
    </w:tbl>
    <w:p>
      <w:pPr>
        <w:spacing w:after="120"/>
      </w:pPr>
    </w:p>
    <w:p>
      <w:pPr>
        <w:spacing w:after="200" w:before="0" w:line="300" w:lineRule="auto"/>
      </w:pPr>
      <w:r>
        <w:rPr>
          <w:rFonts w:ascii="Arial" w:cs="Arial" w:eastAsia="Arial" w:hAnsi="Arial"/>
          <w:color w:val="334155"/>
          <w:sz w:val="22"/>
          <w:szCs w:val="22"/>
        </w:rPr>
        <w:t xml:space="preserve">Calculation: $1,550,000 raised, less $68,400 of startup outlays, of which $12,000 is capitalized (equipment and deposits) and $56,400 expensed pre-opening. SAFE proceeds are presented within equity for simplicity; formal GAAP treatment before conversion may differ (noted for the accountant).</w:t>
      </w:r>
    </w:p>
    <w:p>
      <w:pPr>
        <w:pStyle w:val="Heading2"/>
        <w:spacing w:after="160" w:before="320"/>
      </w:pPr>
      <w:r>
        <w:t xml:space="preserve">9.4  Break-even analysis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c>
          <w:tcPr>
            <w:tcW w:type="dxa" w:w="702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Break-even inputs (Month-12 cost structure)</w:t>
            </w:r>
          </w:p>
        </w:tc>
        <w:tc>
          <w:tcPr>
            <w:tcW w:type="dxa" w:w="2340"/>
            <w:tcBorders>
              <w:top w:val="single" w:color="D8DCE3" w:sz="1"/>
              <w:left w:val="single" w:color="D8DCE3" w:sz="1"/>
              <w:bottom w:val="single" w:color="D8DCE3" w:sz="1"/>
              <w:right w:val="single" w:color="D8DCE3" w:sz="1"/>
            </w:tcBorders>
            <w:shd w:fill="EFF4FF" w:val="clear"/>
            <w:tcMar>
              <w:top w:type="dxa" w:w="110"/>
              <w:left w:type="dxa" w:w="140"/>
              <w:bottom w:type="dxa" w:w="110"/>
              <w:right w:type="dxa" w:w="140"/>
            </w:tcMar>
          </w:tcPr>
          <w:p>
            <w:pPr>
              <w:spacing w:after="0" w:line="264" w:lineRule="auto"/>
            </w:pPr>
            <w:r>
              <w:rPr>
                <w:rFonts w:ascii="Arial" w:cs="Arial" w:eastAsia="Arial" w:hAnsi="Arial"/>
                <w:b/>
                <w:bCs/>
                <w:color w:val="0F172A"/>
                <w:sz w:val="20"/>
                <w:szCs w:val="20"/>
              </w:rPr>
              <w:t xml:space="preserve">Value</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Fixed costs per month (payroll $69,000 + fixed opex $6,900 + marketing $6,000)</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$81,900</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Variable costs as % of sales</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jc w:val="right"/>
            </w:pPr>
            <w:r>
              <w:rPr>
                <w:rFonts w:ascii="Arial" w:cs="Arial" w:eastAsia="Arial" w:hAnsi="Arial"/>
                <w:b w:val="false"/>
                <w:bCs w:val="false"/>
                <w:color w:val="334155"/>
                <w:sz w:val="20"/>
                <w:szCs w:val="20"/>
              </w:rPr>
              <w:t xml:space="preserve">22%</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Break-even monthly sales  =  $81,900 ÷ (1 − 0.22)</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$105,000 MRR</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Equivalent customer mix (approx.)</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 230 Team + 85 Business + 11 Enterprise</w:t>
            </w:r>
          </w:p>
        </w:tc>
      </w:tr>
      <w:tr>
        <w:tc>
          <w:tcPr>
            <w:tcW w:type="dxa" w:w="702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Projected attainment at plan growth rate</w:t>
            </w:r>
          </w:p>
        </w:tc>
        <w:tc>
          <w:tcPr>
            <w:tcW w:type="dxa" w:w="2340"/>
            <w:tcBorders>
              <w:top w:val="single" w:color="D8DCE3" w:sz="1"/>
              <w:left w:val="single" w:color="D8DCE3" w:sz="1"/>
              <w:bottom w:val="single" w:color="D8DCE3" w:sz="1"/>
              <w:right w:val="single" w:color="D8DCE3" w:sz="1"/>
            </w:tcBorders>
            <w:tcMar>
              <w:top w:type="dxa" w:w="110"/>
              <w:left w:type="dxa" w:w="140"/>
              <w:bottom w:type="dxa" w:w="110"/>
              <w:right w:type="dxa" w:w="140"/>
            </w:tcMar>
          </w:tcPr>
          <w:p>
            <w:pPr>
              <w:spacing w:after="0" w:line="264" w:lineRule="auto"/>
            </w:pPr>
            <w:r>
              <w:rPr>
                <w:rFonts w:ascii="Arial" w:cs="Arial" w:eastAsia="Arial" w:hAnsi="Arial"/>
                <w:b w:val="false"/>
                <w:bCs w:val="false"/>
                <w:color w:val="334155"/>
                <w:sz w:val="20"/>
                <w:szCs w:val="20"/>
              </w:rPr>
              <w:t xml:space="preserve">Months 19–21</w:t>
            </w:r>
          </w:p>
        </w:tc>
      </w:tr>
    </w:tbl>
    <w:p>
      <w:pPr>
        <w:spacing w:after="120"/>
      </w:pPr>
    </w:p>
    <w:p>
      <w:pPr>
        <w:spacing w:after="200" w:before="0" w:line="300" w:lineRule="auto"/>
      </w:pPr>
      <w:r>
        <w:rPr>
          <w:rFonts w:ascii="Arial" w:cs="Arial" w:eastAsia="Arial" w:hAnsi="Arial"/>
          <w:color w:val="334155"/>
          <w:sz w:val="22"/>
          <w:szCs w:val="22"/>
        </w:rPr>
        <w:t xml:space="preserve">Assumptions: the Month-12 fixed-cost structure holds (no new hires until break-even is in sight), the 22% variable ratio holds, and plan mix stays roughly constant. Every point of gross-margin improvement from cost-aware orchestration (an explicit roadmap item) pulls break-even forward.</w:t>
      </w:r>
    </w:p>
    <w:p>
      <w:pPr>
        <w:pStyle w:val="Heading1"/>
        <w:pageBreakBefore/>
        <w:pBdr>
          <w:bottom w:val="single" w:color="2563EB" w:sz="12" w:space="6"/>
        </w:pBdr>
        <w:spacing w:after="280" w:before="0"/>
      </w:pPr>
      <w:r>
        <w:t xml:space="preserve">10.  Appendices</w:t>
      </w:r>
    </w:p>
    <w:p>
      <w:pPr>
        <w:spacing w:after="200" w:before="0" w:line="300" w:lineRule="auto"/>
      </w:pPr>
      <w:r>
        <w:rPr>
          <w:rFonts w:ascii="Arial" w:cs="Arial" w:eastAsia="Arial" w:hAnsi="Arial"/>
          <w:color w:val="334155"/>
          <w:sz w:val="22"/>
          <w:szCs w:val="22"/>
        </w:rPr>
        <w:t xml:space="preserve">Materials supporting this plan, all resident in the AnalytIQ repository and available to any diligence process:</w:t>
      </w:r>
    </w:p>
    <w:p>
      <w:pPr>
        <w:pStyle w:val="ListParagraph"/>
        <w:numPr>
          <w:ilvl w:val="0"/>
          <w:numId w:val="2"/>
        </w:numPr>
        <w:spacing w:after="120" w:line="300" w:lineRule="auto"/>
      </w:pPr>
      <w:r>
        <w:rPr>
          <w:rFonts w:ascii="Arial" w:cs="Arial" w:eastAsia="Arial" w:hAnsi="Arial"/>
          <w:color w:val="334155"/>
          <w:sz w:val="22"/>
          <w:szCs w:val="22"/>
        </w:rPr>
        <w:t xml:space="preserve">PRD v1.0.0 — “AnalytIQ: Agentic Self-Service Analytics Platform” (docs/archive/AnalytIQ_PRD_v1.0.0.docx): full product specification, competitive landscape, feature list, technical specifications, UX flows, phased roadmap, and resolved design decisions.</w:t>
      </w:r>
    </w:p>
    <w:p>
      <w:pPr>
        <w:pStyle w:val="ListParagraph"/>
        <w:numPr>
          <w:ilvl w:val="0"/>
          <w:numId w:val="2"/>
        </w:numPr>
        <w:spacing w:after="120" w:line="300" w:lineRule="auto"/>
      </w:pPr>
      <w:r>
        <w:rPr>
          <w:rFonts w:ascii="Arial" w:cs="Arial" w:eastAsia="Arial" w:hAnsi="Arial"/>
          <w:color w:val="334155"/>
          <w:sz w:val="22"/>
          <w:szCs w:val="22"/>
        </w:rPr>
        <w:t xml:space="preserve">Comprehensive System Architecture v2.1 with Evolution Roadmap (docs/archive/AnalytIQ_Architecture_v2_1_with_Evolution_Roadmap.docx): the ten-stage pipeline, agent roster, security and privacy controls, performance targets, and the Part-XVII next-generation enhancement roadmap (evolution engine, cost-aware orchestration, knowledge layer).</w:t>
      </w:r>
    </w:p>
    <w:p>
      <w:pPr>
        <w:pStyle w:val="ListParagraph"/>
        <w:numPr>
          <w:ilvl w:val="0"/>
          <w:numId w:val="2"/>
        </w:numPr>
        <w:spacing w:after="120" w:line="300" w:lineRule="auto"/>
      </w:pPr>
      <w:r>
        <w:rPr>
          <w:rFonts w:ascii="Arial" w:cs="Arial" w:eastAsia="Arial" w:hAnsi="Arial"/>
          <w:color w:val="334155"/>
          <w:sz w:val="22"/>
          <w:szCs w:val="22"/>
        </w:rPr>
        <w:t xml:space="preserve">UI PRD v3.0 (docs/specs/AnalytIQ_UI_PRD.md) and the mockup frame set (docs/specs/mockups — 95 frames): the visual authority for every screen, including the marketing site and pricing page.</w:t>
      </w:r>
    </w:p>
    <w:p>
      <w:pPr>
        <w:pStyle w:val="ListParagraph"/>
        <w:numPr>
          <w:ilvl w:val="0"/>
          <w:numId w:val="2"/>
        </w:numPr>
        <w:spacing w:after="120" w:line="300" w:lineRule="auto"/>
      </w:pPr>
      <w:r>
        <w:rPr>
          <w:rFonts w:ascii="Arial" w:cs="Arial" w:eastAsia="Arial" w:hAnsi="Arial"/>
          <w:color w:val="334155"/>
          <w:sz w:val="22"/>
          <w:szCs w:val="22"/>
        </w:rPr>
        <w:t xml:space="preserve">Program governance: RELEASE_PLAN.md (release → sprint → epic → story tree), PROGRESS.md (per-story status; current position R33), and the consolidated source-of-truth progress map — evidence of execution discipline.</w:t>
      </w:r>
    </w:p>
    <w:p>
      <w:pPr>
        <w:pStyle w:val="ListParagraph"/>
        <w:numPr>
          <w:ilvl w:val="0"/>
          <w:numId w:val="2"/>
        </w:numPr>
        <w:spacing w:after="120" w:line="300" w:lineRule="auto"/>
      </w:pPr>
      <w:r>
        <w:rPr>
          <w:rFonts w:ascii="Arial" w:cs="Arial" w:eastAsia="Arial" w:hAnsi="Arial"/>
          <w:color w:val="334155"/>
          <w:sz w:val="22"/>
          <w:szCs w:val="22"/>
        </w:rPr>
        <w:t xml:space="preserve">Quality evidence: 440 backend tests + 153 UI tests (100% green at R32 close), design-parity scoreboard (docs/specs/parity/PARITY_REPORT.md), and the vocabulary/honest-UI gates.</w:t>
      </w:r>
    </w:p>
    <w:p>
      <w:pPr>
        <w:pStyle w:val="ListParagraph"/>
        <w:numPr>
          <w:ilvl w:val="0"/>
          <w:numId w:val="2"/>
        </w:numPr>
        <w:spacing w:after="120" w:line="300" w:lineRule="auto"/>
      </w:pPr>
      <w:r>
        <w:rPr>
          <w:rFonts w:ascii="Arial" w:cs="Arial" w:eastAsia="Arial" w:hAnsi="Arial"/>
          <w:color w:val="334155"/>
          <w:sz w:val="22"/>
          <w:szCs w:val="22"/>
        </w:rPr>
        <w:t xml:space="preserve">Market studies cited in Section 4.1: TechSci Research, Fortune Business Insights, Research and Markets, Mordor Intelligence, Fundamental Business Insights, MarketsandMarkets (augmented-analytics market reports, accessed July 2026).</w:t>
      </w:r>
    </w:p>
    <w:p>
      <w:pPr>
        <w:pStyle w:val="ListParagraph"/>
        <w:numPr>
          <w:ilvl w:val="0"/>
          <w:numId w:val="2"/>
        </w:numPr>
        <w:spacing w:after="120" w:line="300" w:lineRule="auto"/>
      </w:pPr>
      <w:r>
        <w:rPr>
          <w:rFonts w:ascii="Arial" w:cs="Arial" w:eastAsia="Arial" w:hAnsi="Arial"/>
          <w:color w:val="334155"/>
          <w:sz w:val="22"/>
          <w:szCs w:val="22"/>
        </w:rPr>
        <w:t xml:space="preserve">Available on request (to be produced): design-partner letters of support, founder résumé, and the completed personal financial statement.</w:t>
      </w:r>
    </w:p>
    <w:p>
      <w:pPr>
        <w:pStyle w:val="Heading1"/>
        <w:pageBreakBefore/>
        <w:pBdr>
          <w:bottom w:val="single" w:color="2563EB" w:sz="12" w:space="6"/>
        </w:pBdr>
        <w:spacing w:after="280" w:before="0"/>
      </w:pPr>
      <w:r>
        <w:t xml:space="preserve">11.  Open Items — Questions for the Owner</w:t>
      </w:r>
    </w:p>
    <w:p>
      <w:pPr>
        <w:spacing w:after="200" w:before="0" w:line="300" w:lineRule="auto"/>
      </w:pPr>
      <w:r>
        <w:rPr>
          <w:rFonts w:ascii="Arial" w:cs="Arial" w:eastAsia="Arial" w:hAnsi="Arial"/>
          <w:color w:val="334155"/>
          <w:sz w:val="22"/>
          <w:szCs w:val="22"/>
        </w:rPr>
        <w:t xml:space="preserve">Everything in this plan is answered, but the following answers are assumptions I could not verify from the repository documents. Each materially affects the plan and should be confirmed or corrected:</w:t>
      </w:r>
    </w:p>
    <w:p>
      <w:pPr>
        <w:pStyle w:val="ListParagraph"/>
        <w:numPr>
          <w:ilvl w:val="0"/>
          <w:numId w:val="3"/>
        </w:numPr>
        <w:spacing w:after="160" w:line="300" w:lineRule="auto"/>
      </w:pPr>
      <w:r>
        <w:rPr>
          <w:rFonts w:ascii="Arial" w:cs="Arial" w:eastAsia="Arial" w:hAnsi="Arial"/>
          <w:color w:val="334155"/>
          <w:sz w:val="22"/>
          <w:szCs w:val="22"/>
        </w:rPr>
        <w:t xml:space="preserve">Legal entity — Is “AnalytIQ, Inc., Delaware C-Corp” correct (or even formed yet)? The name, state, entity type, registered address, and phone number on the cover are placeholders.</w:t>
      </w:r>
    </w:p>
    <w:p>
      <w:pPr>
        <w:pStyle w:val="ListParagraph"/>
        <w:numPr>
          <w:ilvl w:val="0"/>
          <w:numId w:val="3"/>
        </w:numPr>
        <w:spacing w:after="160" w:line="300" w:lineRule="auto"/>
      </w:pPr>
      <w:r>
        <w:rPr>
          <w:rFonts w:ascii="Arial" w:cs="Arial" w:eastAsia="Arial" w:hAnsi="Arial"/>
          <w:color w:val="334155"/>
          <w:sz w:val="22"/>
          <w:szCs w:val="22"/>
        </w:rPr>
        <w:t xml:space="preserve">Ownership — I assumed Leo Carrico as sole founder holding 100% at formation. Are there co-founders, prior investors, or an existing option pool?</w:t>
      </w:r>
    </w:p>
    <w:p>
      <w:pPr>
        <w:pStyle w:val="ListParagraph"/>
        <w:numPr>
          <w:ilvl w:val="0"/>
          <w:numId w:val="3"/>
        </w:numPr>
        <w:spacing w:after="160" w:line="300" w:lineRule="auto"/>
      </w:pPr>
      <w:r>
        <w:rPr>
          <w:rFonts w:ascii="Arial" w:cs="Arial" w:eastAsia="Arial" w:hAnsi="Arial"/>
          <w:color w:val="334155"/>
          <w:sz w:val="22"/>
          <w:szCs w:val="22"/>
        </w:rPr>
        <w:t xml:space="preserve">Launch timing — I assumed GA in January 2027, after completion of the remaining 32 stories (R33–R36). Is that the intended commercialization date, and is the remaining scope actually the GA bar?</w:t>
      </w:r>
    </w:p>
    <w:p>
      <w:pPr>
        <w:pStyle w:val="ListParagraph"/>
        <w:numPr>
          <w:ilvl w:val="0"/>
          <w:numId w:val="3"/>
        </w:numPr>
        <w:spacing w:after="160" w:line="300" w:lineRule="auto"/>
      </w:pPr>
      <w:r>
        <w:rPr>
          <w:rFonts w:ascii="Arial" w:cs="Arial" w:eastAsia="Arial" w:hAnsi="Arial"/>
          <w:color w:val="334155"/>
          <w:sz w:val="22"/>
          <w:szCs w:val="22"/>
        </w:rPr>
        <w:t xml:space="preserve">LLM strategy — the PRD pins Claude models for all agents, but the current build is deliberately deterministic with no LLM calls (per the prompts ledger). Does the commercial product ship LLM-backed agents at GA, and is the 22% cost-of-revenue assumption consistent with expected inference pricing?</w:t>
      </w:r>
    </w:p>
    <w:p>
      <w:pPr>
        <w:pStyle w:val="ListParagraph"/>
        <w:numPr>
          <w:ilvl w:val="0"/>
          <w:numId w:val="3"/>
        </w:numPr>
        <w:spacing w:after="160" w:line="300" w:lineRule="auto"/>
      </w:pPr>
      <w:r>
        <w:rPr>
          <w:rFonts w:ascii="Arial" w:cs="Arial" w:eastAsia="Arial" w:hAnsi="Arial"/>
          <w:color w:val="334155"/>
          <w:sz w:val="22"/>
          <w:szCs w:val="22"/>
        </w:rPr>
        <w:t xml:space="preserve">Pricing authority — marketing source code and the pricing-page spec agree on $0 / $149 / $499 / Custom, but a $39 figure appears elsewhere in the app (billing screen). Which price book is canonical? Also: is the assumed $2,500/month average Enterprise contract realistic?</w:t>
      </w:r>
    </w:p>
    <w:p>
      <w:pPr>
        <w:pStyle w:val="ListParagraph"/>
        <w:numPr>
          <w:ilvl w:val="0"/>
          <w:numId w:val="3"/>
        </w:numPr>
        <w:spacing w:after="160" w:line="300" w:lineRule="auto"/>
      </w:pPr>
      <w:r>
        <w:rPr>
          <w:rFonts w:ascii="Arial" w:cs="Arial" w:eastAsia="Arial" w:hAnsi="Arial"/>
          <w:color w:val="334155"/>
          <w:sz w:val="22"/>
          <w:szCs w:val="22"/>
        </w:rPr>
        <w:t xml:space="preserve">Sales-forecast drivers — paid-conversion (4–5%), churn (3% Team / 1.5% Business monthly), and the workspace ramp are pure assumptions with no historical data. Do any design-partner signals exist to calibrate them?</w:t>
      </w:r>
    </w:p>
    <w:p>
      <w:pPr>
        <w:pStyle w:val="ListParagraph"/>
        <w:numPr>
          <w:ilvl w:val="0"/>
          <w:numId w:val="3"/>
        </w:numPr>
        <w:spacing w:after="160" w:line="300" w:lineRule="auto"/>
      </w:pPr>
      <w:r>
        <w:rPr>
          <w:rFonts w:ascii="Arial" w:cs="Arial" w:eastAsia="Arial" w:hAnsi="Arial"/>
          <w:color w:val="334155"/>
          <w:sz w:val="22"/>
          <w:szCs w:val="22"/>
        </w:rPr>
        <w:t xml:space="preserve">Funding — I assumed a $1.5M post-money SAFE at an $8M cap plus $50K founder capital, with no debt. Is that the intended raise size, instrument, and valuation posture? Is this plan aimed at investors, a bank, or internal use (the framing changes per the template’s “Refining the Plan” guidance)?</w:t>
      </w:r>
    </w:p>
    <w:p>
      <w:pPr>
        <w:pStyle w:val="ListParagraph"/>
        <w:numPr>
          <w:ilvl w:val="0"/>
          <w:numId w:val="3"/>
        </w:numPr>
        <w:spacing w:after="160" w:line="300" w:lineRule="auto"/>
      </w:pPr>
      <w:r>
        <w:rPr>
          <w:rFonts w:ascii="Arial" w:cs="Arial" w:eastAsia="Arial" w:hAnsi="Arial"/>
          <w:color w:val="334155"/>
          <w:sz w:val="22"/>
          <w:szCs w:val="22"/>
        </w:rPr>
        <w:t xml:space="preserve">Team — the hiring plan (two founding engineers at launch; ML engineer M4; growth engineer M7; stated salaries) is assumed. Actual candidates, salary bands, and the founder’s own salary need confirmation.</w:t>
      </w:r>
    </w:p>
    <w:p>
      <w:pPr>
        <w:pStyle w:val="ListParagraph"/>
        <w:numPr>
          <w:ilvl w:val="0"/>
          <w:numId w:val="3"/>
        </w:numPr>
        <w:spacing w:after="160" w:line="300" w:lineRule="auto"/>
      </w:pPr>
      <w:r>
        <w:rPr>
          <w:rFonts w:ascii="Arial" w:cs="Arial" w:eastAsia="Arial" w:hAnsi="Arial"/>
          <w:color w:val="334155"/>
          <w:sz w:val="22"/>
          <w:szCs w:val="22"/>
        </w:rPr>
        <w:t xml:space="preserve">Founder background — the management section asserts (assumed) full-stack/data-platform experience for credibility; a real résumé and any advisor commitments should replace this.</w:t>
      </w:r>
    </w:p>
    <w:p>
      <w:pPr>
        <w:pStyle w:val="ListParagraph"/>
        <w:numPr>
          <w:ilvl w:val="0"/>
          <w:numId w:val="3"/>
        </w:numPr>
        <w:spacing w:after="160" w:line="300" w:lineRule="auto"/>
      </w:pPr>
      <w:r>
        <w:rPr>
          <w:rFonts w:ascii="Arial" w:cs="Arial" w:eastAsia="Arial" w:hAnsi="Arial"/>
          <w:color w:val="334155"/>
          <w:sz w:val="22"/>
          <w:szCs w:val="22"/>
        </w:rPr>
        <w:t xml:space="preserve">Personal financial statement — Section 7 uses placeholder figures by design and must be replaced with actual values before showing the plan to any funding source.</w:t>
      </w:r>
    </w:p>
    <w:p>
      <w:pPr>
        <w:pStyle w:val="ListParagraph"/>
        <w:numPr>
          <w:ilvl w:val="0"/>
          <w:numId w:val="3"/>
        </w:numPr>
        <w:spacing w:after="160" w:line="300" w:lineRule="auto"/>
      </w:pPr>
      <w:r>
        <w:rPr>
          <w:rFonts w:ascii="Arial" w:cs="Arial" w:eastAsia="Arial" w:hAnsi="Arial"/>
          <w:color w:val="334155"/>
          <w:sz w:val="22"/>
          <w:szCs w:val="22"/>
        </w:rPr>
        <w:t xml:space="preserve">Compliance scope — SOC 2 Type I in Year 1 at $40K (audit + pen test) is assumed. Confirm the certification sequence (Type I → Type II), budget, and whether early Enterprise deals require it sooner.</w:t>
      </w:r>
    </w:p>
    <w:p>
      <w:pPr>
        <w:pStyle w:val="ListParagraph"/>
        <w:numPr>
          <w:ilvl w:val="0"/>
          <w:numId w:val="3"/>
        </w:numPr>
        <w:spacing w:after="160" w:line="300" w:lineRule="auto"/>
      </w:pPr>
      <w:r>
        <w:rPr>
          <w:rFonts w:ascii="Arial" w:cs="Arial" w:eastAsia="Arial" w:hAnsi="Arial"/>
          <w:color w:val="334155"/>
          <w:sz w:val="22"/>
          <w:szCs w:val="22"/>
        </w:rPr>
        <w:t xml:space="preserve">Trademark — has “AnalytIQ” been searched/cleared in class 9/42? Several similarly-named analytics products exist; a clearance search is cheap insurance.</w:t>
      </w:r>
    </w:p>
    <w:p>
      <w:pPr>
        <w:pStyle w:val="ListParagraph"/>
        <w:numPr>
          <w:ilvl w:val="0"/>
          <w:numId w:val="3"/>
        </w:numPr>
        <w:spacing w:after="160" w:line="300" w:lineRule="auto"/>
      </w:pPr>
      <w:r>
        <w:rPr>
          <w:rFonts w:ascii="Arial" w:cs="Arial" w:eastAsia="Arial" w:hAnsi="Arial"/>
          <w:color w:val="334155"/>
          <w:sz w:val="22"/>
          <w:szCs w:val="22"/>
        </w:rPr>
        <w:t xml:space="preserve">Source gap — docs/archive/“AnalytIQ MVP — Iter 1 Spec &amp; User Stories.pdf” is an image-only scan (16 pages, no text layer) and could not be extracted in this environment; I treated PRD v1.0.0 and Architecture v2.1 as superseding it. If it contains unique commitments (user stories, scope promises), they are not reflected here.</w:t>
      </w:r>
    </w:p>
    <w:p>
      <w:pPr>
        <w:pStyle w:val="ListParagraph"/>
        <w:numPr>
          <w:ilvl w:val="0"/>
          <w:numId w:val="3"/>
        </w:numPr>
        <w:spacing w:after="160" w:line="300" w:lineRule="auto"/>
      </w:pPr>
      <w:r>
        <w:rPr>
          <w:rFonts w:ascii="Arial" w:cs="Arial" w:eastAsia="Arial" w:hAnsi="Arial"/>
          <w:color w:val="334155"/>
          <w:sz w:val="22"/>
          <w:szCs w:val="22"/>
        </w:rPr>
        <w:t xml:space="preserve">Market sizing — the $25–30B/22–30% CAGR figures come from third-party reports with widely varying methodologies; if this plan goes to investors, pick one primary source (e.g., Mordor Intelligence) and license/cite it properly.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3" w:sz="4" w:space="4"/>
      </w:pBdr>
      <w:tabs>
        <w:tab w:val="right" w:pos="9026"/>
      </w:tabs>
    </w:pPr>
    <w:r>
      <w:rPr>
        <w:rFonts w:ascii="Arial" w:cs="Arial" w:eastAsia="Arial" w:hAnsi="Arial"/>
        <w:color w:val="64748B"/>
        <w:sz w:val="16"/>
        <w:szCs w:val="16"/>
      </w:rPr>
      <w:t xml:space="preserve">AnalytIQ — Business Plan · Confidential</w:t>
    </w:r>
    <w:r>
      <w:rPr>
        <w:sz w:val="16"/>
        <w:szCs w:val="16"/>
      </w:rPr>
      <w:t xml:space="preserve">	</w:t>
    </w:r>
    <w:r>
      <w:rPr>
        <w:rFonts w:ascii="Arial" w:cs="Arial" w:eastAsia="Arial" w:hAnsi="Arial"/>
        <w:color w:val="64748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Arial" w:cs="Arial" w:eastAsia="Arial" w:hAnsi="Arial"/>
      <w:b/>
      <w:bCs/>
      <w:color w:val="0F172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0F172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AnalytIQ — Business Plan</dc:title>
  <dc:creator>Leo Carrico</dc:creator>
  <dc:description>Business plan for AnalytIQ, an agentic self-service analytics platform</dc:description>
  <cp:lastModifiedBy>Un-named</cp:lastModifiedBy>
  <cp:revision>1</cp:revision>
  <dcterms:created xsi:type="dcterms:W3CDTF">2026-07-05T21:11:11.210Z</dcterms:created>
  <dcterms:modified xsi:type="dcterms:W3CDTF">2026-07-05T21:11:11.210Z</dcterms:modified>
</cp:coreProperties>
</file>

<file path=docProps/custom.xml><?xml version="1.0" encoding="utf-8"?>
<Properties xmlns="http://schemas.openxmlformats.org/officeDocument/2006/custom-properties" xmlns:vt="http://schemas.openxmlformats.org/officeDocument/2006/docPropsVTypes"/>
</file>