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100" w:before="0"/>
        <w:jc w:val="center"/>
      </w:pPr>
      <w:r>
        <w:rPr>
          <w:rFonts w:ascii="Arial" w:cs="Arial" w:eastAsia="Arial" w:hAnsi="Arial"/>
          <w:b/>
          <w:bCs/>
          <w:caps/>
          <w:color w:val="4338CA"/>
          <w:sz w:val="20"/>
          <w:szCs w:val="20"/>
        </w:rPr>
        <w:t xml:space="preserve">COMPREHENSIVE SYSTEM ARCHITECTURE</w:t>
      </w:r>
    </w:p>
    <w:p>
      <w:pPr>
        <w:spacing w:after="40" w:before="0"/>
        <w:jc w:val="center"/>
      </w:pPr>
      <w:r>
        <w:rPr>
          <w:rFonts w:ascii="Arial" w:cs="Arial" w:eastAsia="Arial" w:hAnsi="Arial"/>
          <w:b/>
          <w:bCs/>
          <w:color w:val="1E2B5C"/>
          <w:sz w:val="80"/>
          <w:szCs w:val="80"/>
        </w:rPr>
        <w:t xml:space="preserve">AnalytIQ</w:t>
      </w:r>
    </w:p>
    <w:p>
      <w:pPr>
        <w:spacing w:after="60" w:before="0"/>
        <w:jc w:val="center"/>
      </w:pPr>
      <w:r>
        <w:rPr>
          <w:rFonts w:ascii="Arial" w:cs="Arial" w:eastAsia="Arial" w:hAnsi="Arial"/>
          <w:i/>
          <w:iCs/>
          <w:color w:val="4338CA"/>
          <w:sz w:val="32"/>
          <w:szCs w:val="32"/>
        </w:rPr>
        <w:t xml:space="preserve">Agentic Self-Service Analytics Platform</w:t>
      </w:r>
    </w:p>
    <w:p>
      <w:pPr>
        <w:pBdr>
          <w:bottom w:val="single" w:color="4338CA" w:sz="6" w:space="1"/>
        </w:pBdr>
        <w:spacing w:after="120" w:before="120"/>
      </w:pPr>
    </w:p>
    <w:p>
      <w:pPr>
        <w:spacing w:after="0" w:before="320"/>
      </w:pPr>
    </w:p>
    <w:p>
      <w:pPr>
        <w:spacing w:after="200" w:before="0"/>
        <w:jc w:val="center"/>
      </w:pPr>
      <w:r>
        <w:rPr>
          <w:rFonts w:ascii="Arial" w:cs="Arial" w:eastAsia="Arial" w:hAnsi="Arial"/>
          <w:color w:val="4B5563"/>
          <w:sz w:val="22"/>
          <w:szCs w:val="22"/>
        </w:rPr>
        <w:t xml:space="preserve">Natural language to governed predictive dashboard —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left w:val="none"/>
              <w:bottom w:val="none"/>
              <w:right w:val="none"/>
            </w:tcBorders>
            <w:tcMar>
              <w:top w:type="dxa" w:w="60"/>
              <w:left w:type="dxa" w:w="0"/>
              <w:bottom w:type="dxa" w:w="60"/>
              <w:right w:type="dxa" w:w="120"/>
            </w:tcMar>
          </w:tcPr>
          <w:p>
            <w:r>
              <w:rPr>
                <w:rFonts w:ascii="Arial" w:cs="Arial" w:eastAsia="Arial" w:hAnsi="Arial"/>
                <w:b/>
                <w:bCs/>
                <w:color w:val="4B5563"/>
                <w:sz w:val="20"/>
                <w:szCs w:val="20"/>
              </w:rPr>
              <w:t xml:space="preserve">Document Type</w:t>
            </w:r>
          </w:p>
        </w:tc>
        <w:tc>
          <w:tcPr>
            <w:tcW w:type="dxa" w:w="6760"/>
            <w:tcBorders>
              <w:top w:val="none"/>
              <w:left w:val="none"/>
              <w:bottom w:val="none"/>
              <w:right w:val="none"/>
            </w:tcBorders>
            <w:tcMar>
              <w:top w:type="dxa" w:w="60"/>
              <w:left w:type="dxa" w:w="120"/>
              <w:bottom w:type="dxa" w:w="60"/>
              <w:right w:type="dxa" w:w="0"/>
            </w:tcMar>
          </w:tcPr>
          <w:p>
            <w:r>
              <w:rPr>
                <w:rFonts w:ascii="Arial" w:cs="Arial" w:eastAsia="Arial" w:hAnsi="Arial"/>
                <w:color w:val="1F2937"/>
                <w:sz w:val="20"/>
                <w:szCs w:val="20"/>
              </w:rPr>
              <w:t xml:space="preserve">Comprehensive System Architecture</w:t>
            </w:r>
          </w:p>
        </w:tc>
      </w:tr>
      <w:tr>
        <w:tc>
          <w:tcPr>
            <w:tcW w:type="dxa" w:w="2600"/>
            <w:tcBorders>
              <w:top w:val="none"/>
              <w:left w:val="none"/>
              <w:bottom w:val="none"/>
              <w:right w:val="none"/>
            </w:tcBorders>
            <w:tcMar>
              <w:top w:type="dxa" w:w="60"/>
              <w:left w:type="dxa" w:w="0"/>
              <w:bottom w:type="dxa" w:w="60"/>
              <w:right w:type="dxa" w:w="120"/>
            </w:tcMar>
          </w:tcPr>
          <w:p>
            <w:r>
              <w:rPr>
                <w:rFonts w:ascii="Arial" w:cs="Arial" w:eastAsia="Arial" w:hAnsi="Arial"/>
                <w:b/>
                <w:bCs/>
                <w:color w:val="4B5563"/>
                <w:sz w:val="20"/>
                <w:szCs w:val="20"/>
              </w:rPr>
              <w:t xml:space="preserve">Version</w:t>
            </w:r>
          </w:p>
        </w:tc>
        <w:tc>
          <w:tcPr>
            <w:tcW w:type="dxa" w:w="6760"/>
            <w:tcBorders>
              <w:top w:val="none"/>
              <w:left w:val="none"/>
              <w:bottom w:val="none"/>
              <w:right w:val="none"/>
            </w:tcBorders>
            <w:tcMar>
              <w:top w:type="dxa" w:w="60"/>
              <w:left w:type="dxa" w:w="120"/>
              <w:bottom w:type="dxa" w:w="60"/>
              <w:right w:type="dxa" w:w="0"/>
            </w:tcMar>
          </w:tcPr>
          <w:p>
            <w:r>
              <w:rPr>
                <w:rFonts w:ascii="Arial" w:cs="Arial" w:eastAsia="Arial" w:hAnsi="Arial"/>
                <w:color w:val="1F2937"/>
                <w:sz w:val="20"/>
                <w:szCs w:val="20"/>
              </w:rPr>
              <w:t xml:space="preserve">2.0.0 — Unified Synthesis</w:t>
            </w:r>
          </w:p>
        </w:tc>
      </w:tr>
      <w:tr>
        <w:tc>
          <w:tcPr>
            <w:tcW w:type="dxa" w:w="2600"/>
            <w:tcBorders>
              <w:top w:val="none"/>
              <w:left w:val="none"/>
              <w:bottom w:val="none"/>
              <w:right w:val="none"/>
            </w:tcBorders>
            <w:tcMar>
              <w:top w:type="dxa" w:w="60"/>
              <w:left w:type="dxa" w:w="0"/>
              <w:bottom w:type="dxa" w:w="60"/>
              <w:right w:type="dxa" w:w="120"/>
            </w:tcMar>
          </w:tcPr>
          <w:p>
            <w:r>
              <w:rPr>
                <w:rFonts w:ascii="Arial" w:cs="Arial" w:eastAsia="Arial" w:hAnsi="Arial"/>
                <w:b/>
                <w:bCs/>
                <w:color w:val="4B5563"/>
                <w:sz w:val="20"/>
                <w:szCs w:val="20"/>
              </w:rPr>
              <w:t xml:space="preserve">Status</w:t>
            </w:r>
          </w:p>
        </w:tc>
        <w:tc>
          <w:tcPr>
            <w:tcW w:type="dxa" w:w="6760"/>
            <w:tcBorders>
              <w:top w:val="none"/>
              <w:left w:val="none"/>
              <w:bottom w:val="none"/>
              <w:right w:val="none"/>
            </w:tcBorders>
            <w:tcMar>
              <w:top w:type="dxa" w:w="60"/>
              <w:left w:type="dxa" w:w="120"/>
              <w:bottom w:type="dxa" w:w="60"/>
              <w:right w:type="dxa" w:w="0"/>
            </w:tcMar>
          </w:tcPr>
          <w:p>
            <w:r>
              <w:rPr>
                <w:rFonts w:ascii="Arial" w:cs="Arial" w:eastAsia="Arial" w:hAnsi="Arial"/>
                <w:color w:val="1F2937"/>
                <w:sz w:val="20"/>
                <w:szCs w:val="20"/>
              </w:rPr>
              <w:t xml:space="preserve">Definitive Reference</w:t>
            </w:r>
          </w:p>
        </w:tc>
      </w:tr>
      <w:tr>
        <w:tc>
          <w:tcPr>
            <w:tcW w:type="dxa" w:w="2600"/>
            <w:tcBorders>
              <w:top w:val="none"/>
              <w:left w:val="none"/>
              <w:bottom w:val="none"/>
              <w:right w:val="none"/>
            </w:tcBorders>
            <w:tcMar>
              <w:top w:type="dxa" w:w="60"/>
              <w:left w:type="dxa" w:w="0"/>
              <w:bottom w:type="dxa" w:w="60"/>
              <w:right w:type="dxa" w:w="120"/>
            </w:tcMar>
          </w:tcPr>
          <w:p>
            <w:r>
              <w:rPr>
                <w:rFonts w:ascii="Arial" w:cs="Arial" w:eastAsia="Arial" w:hAnsi="Arial"/>
                <w:b/>
                <w:bCs/>
                <w:color w:val="4B5563"/>
                <w:sz w:val="20"/>
                <w:szCs w:val="20"/>
              </w:rPr>
              <w:t xml:space="preserve">Date</w:t>
            </w:r>
          </w:p>
        </w:tc>
        <w:tc>
          <w:tcPr>
            <w:tcW w:type="dxa" w:w="6760"/>
            <w:tcBorders>
              <w:top w:val="none"/>
              <w:left w:val="none"/>
              <w:bottom w:val="none"/>
              <w:right w:val="none"/>
            </w:tcBorders>
            <w:tcMar>
              <w:top w:type="dxa" w:w="60"/>
              <w:left w:type="dxa" w:w="120"/>
              <w:bottom w:type="dxa" w:w="60"/>
              <w:right w:type="dxa" w:w="0"/>
            </w:tcMar>
          </w:tcPr>
          <w:p>
            <w:r>
              <w:rPr>
                <w:rFonts w:ascii="Arial" w:cs="Arial" w:eastAsia="Arial" w:hAnsi="Arial"/>
                <w:color w:val="1F2937"/>
                <w:sz w:val="20"/>
                <w:szCs w:val="20"/>
              </w:rPr>
              <w:t xml:space="preserve">July 2026</w:t>
            </w:r>
          </w:p>
        </w:tc>
      </w:tr>
      <w:tr>
        <w:tc>
          <w:tcPr>
            <w:tcW w:type="dxa" w:w="2600"/>
            <w:tcBorders>
              <w:top w:val="none"/>
              <w:left w:val="none"/>
              <w:bottom w:val="none"/>
              <w:right w:val="none"/>
            </w:tcBorders>
            <w:tcMar>
              <w:top w:type="dxa" w:w="60"/>
              <w:left w:type="dxa" w:w="0"/>
              <w:bottom w:type="dxa" w:w="60"/>
              <w:right w:type="dxa" w:w="120"/>
            </w:tcMar>
          </w:tcPr>
          <w:p>
            <w:r>
              <w:rPr>
                <w:rFonts w:ascii="Arial" w:cs="Arial" w:eastAsia="Arial" w:hAnsi="Arial"/>
                <w:b/>
                <w:bCs/>
                <w:color w:val="4B5563"/>
                <w:sz w:val="20"/>
                <w:szCs w:val="20"/>
              </w:rPr>
              <w:t xml:space="preserve">Classification</w:t>
            </w:r>
          </w:p>
        </w:tc>
        <w:tc>
          <w:tcPr>
            <w:tcW w:type="dxa" w:w="6760"/>
            <w:tcBorders>
              <w:top w:val="none"/>
              <w:left w:val="none"/>
              <w:bottom w:val="none"/>
              <w:right w:val="none"/>
            </w:tcBorders>
            <w:tcMar>
              <w:top w:type="dxa" w:w="60"/>
              <w:left w:type="dxa" w:w="120"/>
              <w:bottom w:type="dxa" w:w="60"/>
              <w:right w:type="dxa" w:w="0"/>
            </w:tcMar>
          </w:tcPr>
          <w:p>
            <w:r>
              <w:rPr>
                <w:rFonts w:ascii="Arial" w:cs="Arial" w:eastAsia="Arial" w:hAnsi="Arial"/>
                <w:color w:val="1F2937"/>
                <w:sz w:val="20"/>
                <w:szCs w:val="20"/>
              </w:rPr>
              <w:t xml:space="preserve">Internal — Confidential</w:t>
            </w:r>
          </w:p>
        </w:tc>
      </w:tr>
      <w:tr>
        <w:tc>
          <w:tcPr>
            <w:tcW w:type="dxa" w:w="2600"/>
            <w:tcBorders>
              <w:top w:val="none"/>
              <w:left w:val="none"/>
              <w:bottom w:val="none"/>
              <w:right w:val="none"/>
            </w:tcBorders>
            <w:tcMar>
              <w:top w:type="dxa" w:w="60"/>
              <w:left w:type="dxa" w:w="0"/>
              <w:bottom w:type="dxa" w:w="60"/>
              <w:right w:type="dxa" w:w="120"/>
            </w:tcMar>
          </w:tcPr>
          <w:p>
            <w:r>
              <w:rPr>
                <w:rFonts w:ascii="Arial" w:cs="Arial" w:eastAsia="Arial" w:hAnsi="Arial"/>
                <w:b/>
                <w:bCs/>
                <w:color w:val="4B5563"/>
                <w:sz w:val="20"/>
                <w:szCs w:val="20"/>
              </w:rPr>
              <w:t xml:space="preserve">Scope</w:t>
            </w:r>
          </w:p>
        </w:tc>
        <w:tc>
          <w:tcPr>
            <w:tcW w:type="dxa" w:w="6760"/>
            <w:tcBorders>
              <w:top w:val="none"/>
              <w:left w:val="none"/>
              <w:bottom w:val="none"/>
              <w:right w:val="none"/>
            </w:tcBorders>
            <w:tcMar>
              <w:top w:type="dxa" w:w="60"/>
              <w:left w:type="dxa" w:w="120"/>
              <w:bottom w:type="dxa" w:w="60"/>
              <w:right w:type="dxa" w:w="0"/>
            </w:tcMar>
          </w:tcPr>
          <w:p>
            <w:r>
              <w:rPr>
                <w:rFonts w:ascii="Arial" w:cs="Arial" w:eastAsia="Arial" w:hAnsi="Arial"/>
                <w:color w:val="1F2937"/>
                <w:sz w:val="20"/>
                <w:szCs w:val="20"/>
              </w:rPr>
              <w:t xml:space="preserve">Full stack: ingestion through shareable artifact, including Vega-Lite visualization pipeline</w:t>
            </w:r>
          </w:p>
        </w:tc>
      </w:tr>
    </w:tbl>
    <w:p>
      <w:pPr>
        <w:spacing w:after="0" w:before="80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I — System Philosophy and Design Principles</w:t>
      </w:r>
    </w:p>
    <w:p>
      <w:pPr>
        <w:spacing w:after="60" w:before="60"/>
      </w:pPr>
      <w:r>
        <w:rPr>
          <w:rFonts w:ascii="Arial" w:cs="Arial" w:eastAsia="Arial" w:hAnsi="Arial"/>
          <w:color w:val="1F2937"/>
          <w:sz w:val="22"/>
          <w:szCs w:val="22"/>
        </w:rPr>
        <w:t xml:space="preserve">AnalytIQ is an agentic self-service analytics platform. Its fundamental premise is that the distance between a business question and a validated, deployed, shareable dashboard should be a single conversation — regardless of the technical sophistication of the person asking.</w:t>
      </w:r>
    </w:p>
    <w:p>
      <w:pPr>
        <w:spacing w:after="0" w:before="120"/>
      </w:pPr>
    </w:p>
    <w:p>
      <w:pPr>
        <w:spacing w:after="60" w:before="60"/>
      </w:pPr>
      <w:r>
        <w:rPr>
          <w:rFonts w:ascii="Arial" w:cs="Arial" w:eastAsia="Arial" w:hAnsi="Arial"/>
          <w:color w:val="1F2937"/>
          <w:sz w:val="22"/>
          <w:szCs w:val="22"/>
        </w:rPr>
        <w:t xml:space="preserve">The system is not a query builder with an AI layer bolted on. It is not a notebook interface. It is not a BI tool with a chatbot. It is a governed analytics pipeline where every stage produces a structured, versioned, machine-verifiable artifact — and the AI orchestrates that pipeline rather than generating finished outputs in a single unvalidated step.</w:t>
      </w:r>
    </w:p>
    <w:p>
      <w:pPr>
        <w:spacing w:after="0" w:before="120"/>
      </w:pP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4338CA"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CORE PRINCIPLE</w:t>
            </w:r>
          </w:p>
        </w:tc>
        <w:tc>
          <w:tcPr>
            <w:tcW w:type="dxa" w:w="9120"/>
            <w:shd w:fill="EEF2FF" w:val="clear"/>
            <w:tcMar>
              <w:top w:type="dxa" w:w="80"/>
              <w:left w:type="dxa" w:w="180"/>
              <w:bottom w:type="dxa" w:w="80"/>
              <w:right w:type="dxa" w:w="120"/>
            </w:tcMar>
          </w:tcPr>
          <w:p>
            <w:r>
              <w:rPr>
                <w:rFonts w:ascii="Arial" w:cs="Arial" w:eastAsia="Arial" w:hAnsi="Arial"/>
                <w:color w:val="1F2937"/>
                <w:sz w:val="21"/>
                <w:szCs w:val="21"/>
              </w:rPr>
              <w:t xml:space="preserve">The AI generates intermediate structured artifacts at each pipeline stage. Each artifact is validated by a deterministic rule engine before the next stage executes. No stage trusts the output of a previous stage without verification. No dashboard reaches a user from data that has not passed explicit quality gates.</w:t>
            </w:r>
          </w:p>
        </w:tc>
      </w:tr>
    </w:tbl>
    <w:p>
      <w:pPr>
        <w:spacing w:after="0" w:before="240"/>
      </w:pPr>
    </w:p>
    <w:p>
      <w:pPr>
        <w:pStyle w:val="Heading2"/>
        <w:spacing w:after="120" w:before="400"/>
      </w:pPr>
      <w:r>
        <w:rPr>
          <w:rFonts w:ascii="Arial" w:cs="Arial" w:eastAsia="Arial" w:hAnsi="Arial"/>
          <w:b/>
          <w:bCs/>
          <w:color w:val="1E2B5C"/>
          <w:sz w:val="30"/>
          <w:szCs w:val="30"/>
        </w:rPr>
        <w:t xml:space="preserve">1.1 The Five Non-Negotiables</w:t>
      </w:r>
    </w:p>
    <w:p>
      <w:pPr>
        <w:spacing w:after="60" w:before="60"/>
      </w:pPr>
      <w:r>
        <w:rPr>
          <w:rFonts w:ascii="Arial" w:cs="Arial" w:eastAsia="Arial" w:hAnsi="Arial"/>
          <w:b/>
          <w:bCs/>
          <w:color w:val="1E2B5C"/>
          <w:sz w:val="22"/>
          <w:szCs w:val="22"/>
        </w:rPr>
        <w:t xml:space="preserve">One metric, one definition: </w:t>
      </w:r>
      <w:r>
        <w:rPr>
          <w:rFonts w:ascii="Arial" w:cs="Arial" w:eastAsia="Arial" w:hAnsi="Arial"/>
          <w:color w:val="1F2937"/>
          <w:sz w:val="22"/>
          <w:szCs w:val="22"/>
        </w:rPr>
        <w:t xml:space="preserve">Every metric used anywhere in the system resolves to a single canonical definition stored in the semantic layer. There is no such thing as two dashboards that calculate revenue differently.</w:t>
      </w:r>
    </w:p>
    <w:p>
      <w:pPr>
        <w:spacing w:after="60" w:before="60"/>
      </w:pPr>
      <w:r>
        <w:rPr>
          <w:rFonts w:ascii="Arial" w:cs="Arial" w:eastAsia="Arial" w:hAnsi="Arial"/>
          <w:b/>
          <w:bCs/>
          <w:color w:val="1E2B5C"/>
          <w:sz w:val="22"/>
          <w:szCs w:val="22"/>
        </w:rPr>
        <w:t xml:space="preserve">No raw data to the LLM: </w:t>
      </w:r>
      <w:r>
        <w:rPr>
          <w:rFonts w:ascii="Arial" w:cs="Arial" w:eastAsia="Arial" w:hAnsi="Arial"/>
          <w:color w:val="1F2937"/>
          <w:sz w:val="22"/>
          <w:szCs w:val="22"/>
        </w:rPr>
        <w:t xml:space="preserve">AI agents receive schemas, statistical summaries, and catalog definitions. They never receive actual data rows. All profiling happens server-side before agent invocation.</w:t>
      </w:r>
    </w:p>
    <w:p>
      <w:pPr>
        <w:spacing w:after="60" w:before="60"/>
      </w:pPr>
      <w:r>
        <w:rPr>
          <w:rFonts w:ascii="Arial" w:cs="Arial" w:eastAsia="Arial" w:hAnsi="Arial"/>
          <w:b/>
          <w:bCs/>
          <w:color w:val="1E2B5C"/>
          <w:sz w:val="22"/>
          <w:szCs w:val="22"/>
        </w:rPr>
        <w:t xml:space="preserve">Deterministic validation gates: </w:t>
      </w:r>
      <w:r>
        <w:rPr>
          <w:rFonts w:ascii="Arial" w:cs="Arial" w:eastAsia="Arial" w:hAnsi="Arial"/>
          <w:color w:val="1F2937"/>
          <w:sz w:val="22"/>
          <w:szCs w:val="22"/>
        </w:rPr>
        <w:t xml:space="preserve">Every pipeline stage boundary is guarded by a rule-based validator, not another LLM call. LLMs plan, structure, and generate. Deterministic code validates, enforces, and gates.</w:t>
      </w:r>
    </w:p>
    <w:p>
      <w:pPr>
        <w:spacing w:after="60" w:before="60"/>
      </w:pPr>
      <w:r>
        <w:rPr>
          <w:rFonts w:ascii="Arial" w:cs="Arial" w:eastAsia="Arial" w:hAnsi="Arial"/>
          <w:b/>
          <w:bCs/>
          <w:color w:val="1E2B5C"/>
          <w:sz w:val="22"/>
          <w:szCs w:val="22"/>
        </w:rPr>
        <w:t xml:space="preserve">Full provenance on every artifact: </w:t>
      </w:r>
      <w:r>
        <w:rPr>
          <w:rFonts w:ascii="Arial" w:cs="Arial" w:eastAsia="Arial" w:hAnsi="Arial"/>
          <w:color w:val="1F2937"/>
          <w:sz w:val="22"/>
          <w:szCs w:val="22"/>
        </w:rPr>
        <w:t xml:space="preserve">Every dashboard and every prediction table carries a lineage chain traceable back to source tables, through the governance manifest version, semantic layer version, feature manifest version, and model card identifier.</w:t>
      </w:r>
    </w:p>
    <w:p>
      <w:pPr>
        <w:spacing w:after="60" w:before="60"/>
      </w:pPr>
      <w:r>
        <w:rPr>
          <w:rFonts w:ascii="Arial" w:cs="Arial" w:eastAsia="Arial" w:hAnsi="Arial"/>
          <w:b/>
          <w:bCs/>
          <w:color w:val="1E2B5C"/>
          <w:sz w:val="22"/>
          <w:szCs w:val="22"/>
        </w:rPr>
        <w:t xml:space="preserve">Portability over platform lock-in: </w:t>
      </w:r>
      <w:r>
        <w:rPr>
          <w:rFonts w:ascii="Arial" w:cs="Arial" w:eastAsia="Arial" w:hAnsi="Arial"/>
          <w:color w:val="1F2937"/>
          <w:sz w:val="22"/>
          <w:szCs w:val="22"/>
        </w:rPr>
        <w:t xml:space="preserve">Dashboard artifacts are self-contained files hostable on any static infrastructure. Sharing a dashboard never requires the recipient to have an account or license.</w:t>
      </w:r>
    </w:p>
    <w:p>
      <w:pPr>
        <w:pStyle w:val="Heading2"/>
        <w:spacing w:after="120" w:before="400"/>
      </w:pPr>
      <w:r>
        <w:rPr>
          <w:rFonts w:ascii="Arial" w:cs="Arial" w:eastAsia="Arial" w:hAnsi="Arial"/>
          <w:b/>
          <w:bCs/>
          <w:color w:val="1E2B5C"/>
          <w:sz w:val="30"/>
          <w:szCs w:val="30"/>
        </w:rPr>
        <w:t xml:space="preserve">1.2 Design Boundaries</w:t>
      </w:r>
    </w:p>
    <w:p>
      <w:pPr>
        <w:spacing w:after="60" w:before="60"/>
      </w:pPr>
      <w:r>
        <w:rPr>
          <w:rFonts w:ascii="Arial" w:cs="Arial" w:eastAsia="Arial" w:hAnsi="Arial"/>
          <w:color w:val="1F2937"/>
          <w:sz w:val="22"/>
          <w:szCs w:val="22"/>
        </w:rPr>
        <w:t xml:space="preserve">The following are explicit out-of-scope decisions. These are deliberate architectural choices, not gaps.</w:t>
      </w:r>
    </w:p>
    <w:p>
      <w:pPr>
        <w:pStyle w:val="ListParagraph"/>
        <w:numPr>
          <w:ilvl w:val="0"/>
          <w:numId w:val="2"/>
        </w:numPr>
        <w:spacing w:after="40" w:before="40"/>
        <w:ind w:left="720" w:hanging="360"/>
      </w:pPr>
      <w:r>
        <w:rPr>
          <w:rFonts w:ascii="Arial" w:cs="Arial" w:eastAsia="Arial" w:hAnsi="Arial"/>
          <w:color w:val="1F2937"/>
          <w:sz w:val="22"/>
          <w:szCs w:val="22"/>
        </w:rPr>
        <w:t xml:space="preserve">The system does not allow users to write SQL. SQL is generated by agents and validated before execution.</w:t>
      </w:r>
    </w:p>
    <w:p>
      <w:pPr>
        <w:pStyle w:val="ListParagraph"/>
        <w:numPr>
          <w:ilvl w:val="0"/>
          <w:numId w:val="2"/>
        </w:numPr>
        <w:spacing w:after="40" w:before="40"/>
        <w:ind w:left="720" w:hanging="360"/>
      </w:pPr>
      <w:r>
        <w:rPr>
          <w:rFonts w:ascii="Arial" w:cs="Arial" w:eastAsia="Arial" w:hAnsi="Arial"/>
          <w:color w:val="1F2937"/>
          <w:sz w:val="22"/>
          <w:szCs w:val="22"/>
        </w:rPr>
        <w:t xml:space="preserve">The system does not expose column names or table names to end users. The semantic layer is the only vocabulary visible in the conversational interface.</w:t>
      </w:r>
    </w:p>
    <w:p>
      <w:pPr>
        <w:pStyle w:val="ListParagraph"/>
        <w:numPr>
          <w:ilvl w:val="0"/>
          <w:numId w:val="2"/>
        </w:numPr>
        <w:spacing w:after="40" w:before="40"/>
        <w:ind w:left="720" w:hanging="360"/>
      </w:pPr>
      <w:r>
        <w:rPr>
          <w:rFonts w:ascii="Arial" w:cs="Arial" w:eastAsia="Arial" w:hAnsi="Arial"/>
          <w:color w:val="1F2937"/>
          <w:sz w:val="22"/>
          <w:szCs w:val="22"/>
        </w:rPr>
        <w:t xml:space="preserve">The system does not generate dashboards in a single LLM call. The pipeline always proceeds through plan, validate, query, contract, visualize, validate, assemble.</w:t>
      </w:r>
    </w:p>
    <w:p>
      <w:pPr>
        <w:pStyle w:val="ListParagraph"/>
        <w:numPr>
          <w:ilvl w:val="0"/>
          <w:numId w:val="2"/>
        </w:numPr>
        <w:spacing w:after="40" w:before="40"/>
        <w:ind w:left="720" w:hanging="360"/>
      </w:pPr>
      <w:r>
        <w:rPr>
          <w:rFonts w:ascii="Arial" w:cs="Arial" w:eastAsia="Arial" w:hAnsi="Arial"/>
          <w:color w:val="1F2937"/>
          <w:sz w:val="22"/>
          <w:szCs w:val="22"/>
        </w:rPr>
        <w:t xml:space="preserve">The system does not allow agents to execute destructive SQL. All warehouse access is read-only via a permissioned proxy.</w:t>
      </w:r>
    </w:p>
    <w:p>
      <w:pPr>
        <w:pStyle w:val="ListParagraph"/>
        <w:numPr>
          <w:ilvl w:val="0"/>
          <w:numId w:val="2"/>
        </w:numPr>
        <w:spacing w:after="40" w:before="40"/>
        <w:ind w:left="720" w:hanging="360"/>
      </w:pPr>
      <w:r>
        <w:rPr>
          <w:rFonts w:ascii="Arial" w:cs="Arial" w:eastAsia="Arial" w:hAnsi="Arial"/>
          <w:color w:val="1F2937"/>
          <w:sz w:val="22"/>
          <w:szCs w:val="22"/>
        </w:rPr>
        <w:t xml:space="preserve">The system does not skip quality gates under any condition. A degraded-quality dashboard is never delivered silently — failures surface explicitly with remediation steps.</w:t>
      </w:r>
    </w:p>
    <w:p>
      <w:pPr>
        <w:pStyle w:val="ListParagraph"/>
        <w:numPr>
          <w:ilvl w:val="0"/>
          <w:numId w:val="2"/>
        </w:numPr>
        <w:spacing w:after="40" w:before="40"/>
        <w:ind w:left="720" w:hanging="360"/>
      </w:pPr>
      <w:r>
        <w:rPr>
          <w:rFonts w:ascii="Arial" w:cs="Arial" w:eastAsia="Arial" w:hAnsi="Arial"/>
          <w:color w:val="1F2937"/>
          <w:sz w:val="22"/>
          <w:szCs w:val="22"/>
        </w:rPr>
        <w:t xml:space="preserve">The system does not use static train-test splits on temporal data. Walk-forward backtesting is mandatory for all time-series prediction tasks.</w:t>
      </w:r>
    </w:p>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II — Full Pipeline Architecture</w:t>
      </w:r>
    </w:p>
    <w:p>
      <w:pPr>
        <w:spacing w:after="60" w:before="60"/>
      </w:pPr>
      <w:r>
        <w:rPr>
          <w:rFonts w:ascii="Arial" w:cs="Arial" w:eastAsia="Arial" w:hAnsi="Arial"/>
          <w:color w:val="1F2937"/>
          <w:sz w:val="22"/>
          <w:szCs w:val="22"/>
        </w:rPr>
        <w:t xml:space="preserve">The AnalytIQ pipeline consists of ten sequential stages. Each stage has a defined input contract, output contract, and one or more validation gates. The pipeline splits into two paths depending on output_type selected during the session: the descriptive path produces governed dashboards with historical and real-time data. The predictive path additionally executes Stage 7 to train, validate, and deploy a predictive model whose outputs feed back into the artifact as additional visualization panels.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400"/>
        <w:gridCol w:w="2000"/>
        <w:gridCol w:w="1860"/>
      </w:tblGrid>
      <w:tr>
        <w:trPr>
          <w:tblHeader/>
        </w:trPr>
        <w:tc>
          <w:tcPr>
            <w:tcW w:type="dxa" w:w="5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6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Executor</w:t>
            </w:r>
          </w:p>
        </w:tc>
        <w:tc>
          <w:tcPr>
            <w:tcW w:type="dxa" w:w="20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Primary Output</w:t>
            </w:r>
          </w:p>
        </w:tc>
        <w:tc>
          <w:tcPr>
            <w:tcW w:type="dxa" w:w="18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Gate Type</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Integration ingestion and governance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Governance agent plus deterministic profiler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Versioned governance manifest</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Schema, null, PII, freshness, uniqueness</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Semantic layer construction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Semantic layer agent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Cube-compatible schema JSON</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Metric deduplication, join integrity, confidence</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Conversational intent capture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 planner agent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 spec JSON</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Intent confidence threshold, catalog membership</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Dashboard plan generation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Planner agent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Dashboard plan JSON</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Schema validity, catalog-only rule, component limits</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 modeling and feature engineering</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 modeler plus feature engineering agent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 table DDL plus enriched feature manifest</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Leakage scan, null rate, grain uniqueness, collinearity</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Query generation and execution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Data agent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Query contracts plus data contracts</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SQL safety, permission check, result shape validation</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Vega-Lite specification generation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Visualization agent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Per-chart Vega-Lite spec JSON</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Schema validation, field binding, encoding type rules</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7</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Predictive model training (optional)</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Training orchestrator</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Promoted model card plus gold prediction tables</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Walk-forward MAPE, overfit test, promotion criteria</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 review and repair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 agent plus repair agent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Reviewed and repaired dashboard plan and specs</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Readability rules, misleading visualization checks</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9</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Artifact assembly and delivery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Artifact engine agent plus deterministic validator</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Self-contained hostable dashboard file</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Render validation, embed token, file size</w:t>
            </w:r>
          </w:p>
        </w:tc>
      </w:tr>
    </w:tbl>
    <w:p>
      <w:pPr>
        <w:spacing w:after="0" w:before="240"/>
      </w:pPr>
    </w:p>
    <w:p>
      <w:pPr>
        <w:pStyle w:val="Heading2"/>
        <w:spacing w:after="120" w:before="400"/>
      </w:pPr>
      <w:r>
        <w:rPr>
          <w:rFonts w:ascii="Arial" w:cs="Arial" w:eastAsia="Arial" w:hAnsi="Arial"/>
          <w:b/>
          <w:bCs/>
          <w:color w:val="1E2B5C"/>
          <w:sz w:val="30"/>
          <w:szCs w:val="30"/>
        </w:rPr>
        <w:t xml:space="preserve">2.1 Stage Boundary Contracts</w:t>
      </w:r>
    </w:p>
    <w:p>
      <w:pPr>
        <w:spacing w:after="60" w:before="60"/>
      </w:pPr>
      <w:r>
        <w:rPr>
          <w:rFonts w:ascii="Arial" w:cs="Arial" w:eastAsia="Arial" w:hAnsi="Arial"/>
          <w:color w:val="1F2937"/>
          <w:sz w:val="22"/>
          <w:szCs w:val="22"/>
        </w:rPr>
        <w:t xml:space="preserve">Every stage consumes a typed JSON input and produces a typed JSON output. The orchestrator validates both ends at every boundary. If the output of stage N fails the input schema check for stage N+1, the pipeline halts and a repair prompt is sent to the stage N agent. Maximum two repair cycles per stage before the orchestrator escalates to the user with a plain-English description of what failed.</w:t>
      </w:r>
    </w:p>
    <w:p>
      <w:pPr>
        <w:pStyle w:val="Heading2"/>
        <w:spacing w:after="120" w:before="400"/>
      </w:pPr>
      <w:r>
        <w:rPr>
          <w:rFonts w:ascii="Arial" w:cs="Arial" w:eastAsia="Arial" w:hAnsi="Arial"/>
          <w:b/>
          <w:bCs/>
          <w:color w:val="1E2B5C"/>
          <w:sz w:val="30"/>
          <w:szCs w:val="30"/>
        </w:rPr>
        <w:t xml:space="preserve">2.2 Human-Required Checkpoints</w:t>
      </w:r>
    </w:p>
    <w:p>
      <w:pPr>
        <w:spacing w:after="60" w:before="60"/>
      </w:pPr>
      <w:r>
        <w:rPr>
          <w:rFonts w:ascii="Arial" w:cs="Arial" w:eastAsia="Arial" w:hAnsi="Arial"/>
          <w:color w:val="1F2937"/>
          <w:sz w:val="22"/>
          <w:szCs w:val="22"/>
        </w:rPr>
        <w:t xml:space="preserve">Three checkpoints require explicit human confirmation before advancing. These cannot be bypassed.</w:t>
      </w:r>
    </w:p>
    <w:p>
      <w:pPr>
        <w:pStyle w:val="ListParagraph"/>
        <w:numPr>
          <w:ilvl w:val="0"/>
          <w:numId w:val="2"/>
        </w:numPr>
        <w:spacing w:after="40" w:before="40"/>
        <w:ind w:left="720" w:hanging="360"/>
      </w:pPr>
      <w:r>
        <w:rPr>
          <w:rFonts w:ascii="Arial" w:cs="Arial" w:eastAsia="Arial" w:hAnsi="Arial"/>
          <w:b/>
          <w:bCs/>
          <w:color w:val="1E2B5C"/>
          <w:sz w:val="22"/>
          <w:szCs w:val="22"/>
        </w:rPr>
        <w:t xml:space="preserve">After Stage 0: </w:t>
      </w:r>
      <w:r>
        <w:rPr>
          <w:rFonts w:ascii="Arial" w:cs="Arial" w:eastAsia="Arial" w:hAnsi="Arial"/>
          <w:color w:val="1F2937"/>
          <w:sz w:val="22"/>
          <w:szCs w:val="22"/>
        </w:rPr>
        <w:t xml:space="preserve">Any governance manifest item with definition_confidence: low must be reviewed by a workspace admin before it can be used in the semantic layer or any ML feature set.</w:t>
      </w:r>
    </w:p>
    <w:p>
      <w:pPr>
        <w:pStyle w:val="ListParagraph"/>
        <w:numPr>
          <w:ilvl w:val="0"/>
          <w:numId w:val="2"/>
        </w:numPr>
        <w:spacing w:after="40" w:before="40"/>
        <w:ind w:left="720" w:hanging="360"/>
      </w:pPr>
      <w:r>
        <w:rPr>
          <w:rFonts w:ascii="Arial" w:cs="Arial" w:eastAsia="Arial" w:hAnsi="Arial"/>
          <w:b/>
          <w:bCs/>
          <w:color w:val="1E2B5C"/>
          <w:sz w:val="22"/>
          <w:szCs w:val="22"/>
        </w:rPr>
        <w:t xml:space="preserve">After Stage 3: </w:t>
      </w:r>
      <w:r>
        <w:rPr>
          <w:rFonts w:ascii="Arial" w:cs="Arial" w:eastAsia="Arial" w:hAnsi="Arial"/>
          <w:color w:val="1F2937"/>
          <w:sz w:val="22"/>
          <w:szCs w:val="22"/>
        </w:rPr>
        <w:t xml:space="preserve">The dashboard plan is presented as a plain-English summary. The user must confirm before queries are executed. Changes trigger a planner agent re-run with the feedback injected.</w:t>
      </w:r>
    </w:p>
    <w:p>
      <w:pPr>
        <w:pStyle w:val="ListParagraph"/>
        <w:numPr>
          <w:ilvl w:val="0"/>
          <w:numId w:val="2"/>
        </w:numPr>
        <w:spacing w:after="40" w:before="40"/>
        <w:ind w:left="720" w:hanging="360"/>
      </w:pPr>
      <w:r>
        <w:rPr>
          <w:rFonts w:ascii="Arial" w:cs="Arial" w:eastAsia="Arial" w:hAnsi="Arial"/>
          <w:b/>
          <w:bCs/>
          <w:color w:val="1E2B5C"/>
          <w:sz w:val="22"/>
          <w:szCs w:val="22"/>
        </w:rPr>
        <w:t xml:space="preserve">After Stage 4 (predictive path): </w:t>
      </w:r>
      <w:r>
        <w:rPr>
          <w:rFonts w:ascii="Arial" w:cs="Arial" w:eastAsia="Arial" w:hAnsi="Arial"/>
          <w:color w:val="1F2937"/>
          <w:sz w:val="22"/>
          <w:szCs w:val="22"/>
        </w:rPr>
        <w:t xml:space="preserve">Features with leakage_risk between 0.3 and 0.7 are held for user confirmation. Features above 0.7 are automatically dropped with notification.</w:t>
      </w:r>
    </w:p>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III — Stage 0: Integration Ingestion and Governance</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4338CA"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ROLE</w:t>
            </w:r>
          </w:p>
        </w:tc>
        <w:tc>
          <w:tcPr>
            <w:tcW w:type="dxa" w:w="9120"/>
            <w:shd w:fill="EEF2FF" w:val="clear"/>
            <w:tcMar>
              <w:top w:type="dxa" w:w="80"/>
              <w:left w:type="dxa" w:w="180"/>
              <w:bottom w:type="dxa" w:w="80"/>
              <w:right w:type="dxa" w:w="120"/>
            </w:tcMar>
          </w:tcPr>
          <w:p>
            <w:r>
              <w:rPr>
                <w:rFonts w:ascii="Arial" w:cs="Arial" w:eastAsia="Arial" w:hAnsi="Arial"/>
                <w:color w:val="1F2937"/>
                <w:sz w:val="21"/>
                <w:szCs w:val="21"/>
              </w:rPr>
              <w:t xml:space="preserve">Establish ground truth about every connected data source. Runs once per new integration and nightly thereafter. No downstream stage can use data from a source that has not passed this stage.</w:t>
            </w:r>
          </w:p>
        </w:tc>
      </w:tr>
    </w:tbl>
    <w:p>
      <w:pPr>
        <w:spacing w:after="0" w:before="240"/>
      </w:pPr>
    </w:p>
    <w:p>
      <w:pPr>
        <w:pStyle w:val="Heading2"/>
        <w:spacing w:after="120" w:before="400"/>
      </w:pPr>
      <w:r>
        <w:rPr>
          <w:rFonts w:ascii="Arial" w:cs="Arial" w:eastAsia="Arial" w:hAnsi="Arial"/>
          <w:b/>
          <w:bCs/>
          <w:color w:val="1E2B5C"/>
          <w:sz w:val="30"/>
          <w:szCs w:val="30"/>
        </w:rPr>
        <w:t xml:space="preserve">3.1 Supported Integrations</w:t>
      </w:r>
    </w:p>
    <w:p>
      <w:pPr>
        <w:pStyle w:val="ListParagraph"/>
        <w:numPr>
          <w:ilvl w:val="0"/>
          <w:numId w:val="2"/>
        </w:numPr>
        <w:spacing w:after="40" w:before="40"/>
        <w:ind w:left="720" w:hanging="360"/>
      </w:pPr>
      <w:r>
        <w:rPr>
          <w:rFonts w:ascii="Arial" w:cs="Arial" w:eastAsia="Arial" w:hAnsi="Arial"/>
          <w:color w:val="1F2937"/>
          <w:sz w:val="22"/>
          <w:szCs w:val="22"/>
        </w:rPr>
        <w:t xml:space="preserve">Warehouse connectors: Snowflake, BigQuery, Databricks SQL, Amazon Redshift, Postgres, MySQL, DuckDB</w:t>
      </w:r>
    </w:p>
    <w:p>
      <w:pPr>
        <w:pStyle w:val="ListParagraph"/>
        <w:numPr>
          <w:ilvl w:val="0"/>
          <w:numId w:val="2"/>
        </w:numPr>
        <w:spacing w:after="40" w:before="40"/>
        <w:ind w:left="720" w:hanging="360"/>
      </w:pPr>
      <w:r>
        <w:rPr>
          <w:rFonts w:ascii="Arial" w:cs="Arial" w:eastAsia="Arial" w:hAnsi="Arial"/>
          <w:color w:val="1F2937"/>
          <w:sz w:val="22"/>
          <w:szCs w:val="22"/>
        </w:rPr>
        <w:t xml:space="preserve">File upload: CSV, Parquet, Excel (XLSX) — auto-profiled on upload, written to workspace schema as managed tables</w:t>
      </w:r>
    </w:p>
    <w:p>
      <w:pPr>
        <w:pStyle w:val="ListParagraph"/>
        <w:numPr>
          <w:ilvl w:val="0"/>
          <w:numId w:val="2"/>
        </w:numPr>
        <w:spacing w:after="40" w:before="40"/>
        <w:ind w:left="720" w:hanging="360"/>
      </w:pPr>
      <w:r>
        <w:rPr>
          <w:rFonts w:ascii="Arial" w:cs="Arial" w:eastAsia="Arial" w:hAnsi="Arial"/>
          <w:color w:val="1F2937"/>
          <w:sz w:val="22"/>
          <w:szCs w:val="22"/>
        </w:rPr>
        <w:t xml:space="preserve">REST API sources: configurable endpoint, authentication (API key, OAuth 2.0, Bearer), polling schedule, JSON or CSV response format</w:t>
      </w:r>
    </w:p>
    <w:p>
      <w:pPr>
        <w:pStyle w:val="ListParagraph"/>
        <w:numPr>
          <w:ilvl w:val="0"/>
          <w:numId w:val="2"/>
        </w:numPr>
        <w:spacing w:after="40" w:before="40"/>
        <w:ind w:left="720" w:hanging="360"/>
      </w:pPr>
      <w:r>
        <w:rPr>
          <w:rFonts w:ascii="Arial" w:cs="Arial" w:eastAsia="Arial" w:hAnsi="Arial"/>
          <w:color w:val="1F2937"/>
          <w:sz w:val="22"/>
          <w:szCs w:val="22"/>
        </w:rPr>
        <w:t xml:space="preserve">Webhook ingest: AnalytIQ-hosted endpoint accepting POST payloads for event streaming sources</w:t>
      </w:r>
    </w:p>
    <w:p>
      <w:pPr>
        <w:pStyle w:val="ListParagraph"/>
        <w:numPr>
          <w:ilvl w:val="0"/>
          <w:numId w:val="2"/>
        </w:numPr>
        <w:spacing w:after="40" w:before="40"/>
        <w:ind w:left="720" w:hanging="360"/>
      </w:pPr>
      <w:r>
        <w:rPr>
          <w:rFonts w:ascii="Arial" w:cs="Arial" w:eastAsia="Arial" w:hAnsi="Arial"/>
          <w:color w:val="1F2937"/>
          <w:sz w:val="22"/>
          <w:szCs w:val="22"/>
        </w:rPr>
        <w:t xml:space="preserve">dbt project import: models imported as semantic layer explores, inheriting dbt test results as quality signals and dbt descriptions as candidate governance definitions</w:t>
      </w:r>
    </w:p>
    <w:p>
      <w:pPr>
        <w:pStyle w:val="Heading2"/>
        <w:spacing w:after="120" w:before="400"/>
      </w:pPr>
      <w:r>
        <w:rPr>
          <w:rFonts w:ascii="Arial" w:cs="Arial" w:eastAsia="Arial" w:hAnsi="Arial"/>
          <w:b/>
          <w:bCs/>
          <w:color w:val="1E2B5C"/>
          <w:sz w:val="30"/>
          <w:szCs w:val="30"/>
        </w:rPr>
        <w:t xml:space="preserve">3.2 Governance Agent System Prompt</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9CA3AF"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AGENT PROMPT</w:t>
            </w:r>
          </w:p>
        </w:tc>
        <w:tc>
          <w:tcPr>
            <w:tcW w:type="dxa" w:w="9120"/>
            <w:shd w:fill="F9FAFB" w:val="clear"/>
            <w:tcMar>
              <w:top w:type="dxa" w:w="80"/>
              <w:left w:type="dxa" w:w="180"/>
              <w:bottom w:type="dxa" w:w="80"/>
              <w:right w:type="dxa" w:w="120"/>
            </w:tcMar>
          </w:tcPr>
          <w:p>
            <w:r>
              <w:rPr>
                <w:rFonts w:ascii="Arial" w:cs="Arial" w:eastAsia="Arial" w:hAnsi="Arial"/>
                <w:color w:val="1F2937"/>
                <w:sz w:val="21"/>
                <w:szCs w:val="21"/>
              </w:rPr>
              <w:t xml:space="preserve">You are a data governance agent. You receive connection metadata and pre-computed statistical summaries. Never infer or hallucinate column definitions. Base all definitions on observed column names, data types, and provided summaries.
1. CATALOG: For each column output semantic_type (dimension, measure, date, id, text, flag, geo, unknown), nullable boolean, estimated_cardinality integer.
2. DEFINE: Generate natural_language_definition for each table and column. Assign confidence: high when naming and value distribution strongly align with a business concept; medium when naming is clear but values are ambiguous; low when purpose cannot be determined. Low-confidence requires human review.
3. HEALTH_SCORE: Score each table 0 to 100. Deduct 1 point per 1 percent average null rate. Deduct 2 points per hour of freshness lag beyond SLA. Deduct 20 points for PK uniqueness violations. Deduct 10 points if row count declines more than 5 percent week over week.
4. PII_SCAN: Classify each column as pii_risk: none, possible, or confirmed based on name pattern and value distribution signals. Never read actual values.
5. Output governance_manifest JSON versioned with semver. Increment minor version on profile changes, major on schema changes.</w:t>
            </w:r>
          </w:p>
        </w:tc>
      </w:tr>
    </w:tbl>
    <w:p>
      <w:pPr>
        <w:spacing w:after="0" w:before="160"/>
      </w:pPr>
    </w:p>
    <w:p>
      <w:pPr>
        <w:pStyle w:val="Heading2"/>
        <w:spacing w:after="120" w:before="400"/>
      </w:pPr>
      <w:r>
        <w:rPr>
          <w:rFonts w:ascii="Arial" w:cs="Arial" w:eastAsia="Arial" w:hAnsi="Arial"/>
          <w:b/>
          <w:bCs/>
          <w:color w:val="1E2B5C"/>
          <w:sz w:val="30"/>
          <w:szCs w:val="30"/>
        </w:rPr>
        <w:t xml:space="preserve">3.3 Data Quality Gates — Stage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000"/>
        <w:gridCol w:w="3960"/>
      </w:tblGrid>
      <w:tr>
        <w:trPr>
          <w:tblHeader/>
        </w:trPr>
        <w:tc>
          <w:tcPr>
            <w:tcW w:type="dxa" w:w="24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0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10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9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Action on Failure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key uniqueness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Zero violations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Block table from semantic layer entirely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Null rate on id and date columns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Less than 5 percent</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Flag column; exclude from all join paths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Freshness SLA</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Configurable; default 48 hours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Reduce health score; alert workspace owner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Row count minimum for ML</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500 or more rows</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Exclude from ML; allow descriptive analytics only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PII confirmed columns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 confirmed hit</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Block from feature engineering; require admin approval for ML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Distribution baseline drift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Mean shift exceeding 3 standard deviations</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Flag as drifted; trigger re-profile; alert owner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Schema fingerprint change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 new, removed, or renamed column</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Increment manifest major version; notify dependent artifact owners</w:t>
            </w:r>
          </w:p>
        </w:tc>
      </w:tr>
    </w:tbl>
    <w:p>
      <w:pPr>
        <w:spacing w:after="0" w:before="160"/>
      </w:pPr>
    </w:p>
    <w:p>
      <w:pPr>
        <w:pStyle w:val="Heading2"/>
        <w:spacing w:after="120" w:before="400"/>
      </w:pPr>
      <w:r>
        <w:rPr>
          <w:rFonts w:ascii="Arial" w:cs="Arial" w:eastAsia="Arial" w:hAnsi="Arial"/>
          <w:b/>
          <w:bCs/>
          <w:color w:val="1E2B5C"/>
          <w:sz w:val="30"/>
          <w:szCs w:val="30"/>
        </w:rPr>
        <w:t xml:space="preserve">3.4 Governance Manifest Schema</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11827" w:val="clear"/>
            <w:tcMar>
              <w:top w:type="dxa" w:w="120"/>
              <w:left w:type="dxa" w:w="200"/>
              <w:bottom w:type="dxa" w:w="120"/>
              <w:right w:type="dxa" w:w="200"/>
            </w:tcMar>
          </w:tcPr>
          <w:p>
            <w:r>
              <w:rPr>
                <w:rFonts w:ascii="Courier New" w:cs="Courier New" w:eastAsia="Courier New" w:hAnsi="Courier New"/>
                <w:color w:val="A5F3FC"/>
                <w:sz w:val="18"/>
                <w:szCs w:val="18"/>
              </w:rPr>
              <w:t xml:space="preserve">governance_manifest: {
  manifest_version: semver string,
  workspace_id: string,
  integration_id: string,
  generated_at: ISO8601,
  dq_gate_status: PASS | WARN | BLOCK,
  human_review_required: boolean,
  tables: {
    [table_name]: {
      health_score: integer 0 to 100,
      row_count: integer,
      freshness_lag_hours: float,
      definition: string,
      definition_confidence: high | medium | low,
      pii_flags: array of { column, pii_risk },
      columns: {
        [column_name]: {
          semantic_type: dimension | measure | date | id | text | flag | geo | unknown,
          nullable: boolean,
          estimated_cardinality: integer,
          null_pct: float,
          stats: { min, max, p25, p50, p75, mean, stddev },
          top_values: string array up to 5 entries,
          definition: string,
          definition_confidence: high | medium | low
        }
      }
    }
  },
  lineage_edges: array of { from: table.column, to: table.column }
}</w:t>
            </w:r>
          </w:p>
        </w:tc>
      </w:tr>
    </w:tbl>
    <w:p>
      <w:pPr>
        <w:spacing w:after="0" w:before="160"/>
      </w:pPr>
    </w:p>
    <w:p>
      <w:pPr>
        <w:pStyle w:val="Heading2"/>
        <w:spacing w:after="120" w:before="400"/>
      </w:pPr>
      <w:r>
        <w:rPr>
          <w:rFonts w:ascii="Arial" w:cs="Arial" w:eastAsia="Arial" w:hAnsi="Arial"/>
          <w:b/>
          <w:bCs/>
          <w:color w:val="1E2B5C"/>
          <w:sz w:val="30"/>
          <w:szCs w:val="30"/>
        </w:rPr>
        <w:t xml:space="preserve">3.5 Pre-Aggregation Intelligence</w:t>
      </w:r>
    </w:p>
    <w:p>
      <w:pPr>
        <w:spacing w:after="60" w:before="60"/>
      </w:pPr>
      <w:r>
        <w:rPr>
          <w:rFonts w:ascii="Arial" w:cs="Arial" w:eastAsia="Arial" w:hAnsi="Arial"/>
          <w:color w:val="1F2937"/>
          <w:sz w:val="22"/>
          <w:szCs w:val="22"/>
        </w:rPr>
        <w:t xml:space="preserve">The governance layer runs a weekly pre-aggregation analysis across all artifact query logs. It identifies the filter combinations and dimension groupings queried most frequently, estimates the ROI of materializing them as summary tables, and surfaces recommendations to workspace admins. Approved pre-aggregations are created as managed tables with the same governance metadata as source tables. The gold layer API routes matching queries to pre-aggregated tables transparently. If a source table schema changes or the manifest increments a major version, all dependent pre-aggregations are invalidated and queued for re-materialization.</w:t>
      </w:r>
    </w:p>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IV — Stage 1: Semantic Layer Construction</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0D9488"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ROLE</w:t>
            </w:r>
          </w:p>
        </w:tc>
        <w:tc>
          <w:tcPr>
            <w:tcW w:type="dxa" w:w="9120"/>
            <w:shd w:fill="CCFBF1" w:val="clear"/>
            <w:tcMar>
              <w:top w:type="dxa" w:w="80"/>
              <w:left w:type="dxa" w:w="180"/>
              <w:bottom w:type="dxa" w:w="80"/>
              <w:right w:type="dxa" w:w="120"/>
            </w:tcMar>
          </w:tcPr>
          <w:p>
            <w:r>
              <w:rPr>
                <w:rFonts w:ascii="Arial" w:cs="Arial" w:eastAsia="Arial" w:hAnsi="Arial"/>
                <w:color w:val="1F2937"/>
                <w:sz w:val="21"/>
                <w:szCs w:val="21"/>
              </w:rPr>
              <w:t xml:space="preserve">Transform the governance manifest into a versioned semantic schema defining every metric, dimension, and join path exactly once in business vocabulary. The canonical contract between raw data and every user-facing feature of the system.</w:t>
            </w:r>
          </w:p>
        </w:tc>
      </w:tr>
    </w:tbl>
    <w:p>
      <w:pPr>
        <w:spacing w:after="0" w:before="240"/>
      </w:pPr>
    </w:p>
    <w:p>
      <w:pPr>
        <w:pStyle w:val="Heading2"/>
        <w:spacing w:after="120" w:before="400"/>
      </w:pPr>
      <w:r>
        <w:rPr>
          <w:rFonts w:ascii="Arial" w:cs="Arial" w:eastAsia="Arial" w:hAnsi="Arial"/>
          <w:b/>
          <w:bCs/>
          <w:color w:val="1E2B5C"/>
          <w:sz w:val="30"/>
          <w:szCs w:val="30"/>
        </w:rPr>
        <w:t xml:space="preserve">4.1 Semantic Layer Agent System Prompt</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0D9488"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AGENT PROMPT</w:t>
            </w:r>
          </w:p>
        </w:tc>
        <w:tc>
          <w:tcPr>
            <w:tcW w:type="dxa" w:w="9120"/>
            <w:shd w:fill="CCFBF1" w:val="clear"/>
            <w:tcMar>
              <w:top w:type="dxa" w:w="80"/>
              <w:left w:type="dxa" w:w="180"/>
              <w:bottom w:type="dxa" w:w="80"/>
              <w:right w:type="dxa" w:w="120"/>
            </w:tcMar>
          </w:tcPr>
          <w:p>
            <w:r>
              <w:rPr>
                <w:rFonts w:ascii="Arial" w:cs="Arial" w:eastAsia="Arial" w:hAnsi="Arial"/>
                <w:color w:val="1F2937"/>
                <w:sz w:val="21"/>
                <w:szCs w:val="21"/>
              </w:rPr>
              <w:t xml:space="preserve">You are a semantic layer architect. You receive a governance_manifest. Produce a semantic_schema JSON compatible with Cube.dev v0.35 format.
1. METRICS: For each measure column produce exactly one metric definition with fields: name, sql_expression, aggregation (sum | avg | count | count_distinct | max | min), description, allowed_filter_dimensions, format (currency | percent | number | duration). Deduplicate across tables. If two tables produce the same logical metric, define it once with a prioritized source and document the resolution in a note field.
2. DIMENSIONS: For each dimension, date, flag, and geo column produce: name, sql_expression, data_type, hierarchies as arrays from coarse to fine, is_primary_date boolean, filterable boolean. Infer date hierarchies automatically. Detect geo columns by name pattern.
3. JOIN_PATHS: From lineage_edges enumerate all valid join paths. Assign join_type: inner when FK null_pct is below 2 percent, left otherwise. Flag any many-to-many relationships as blocked until a bridge table is defined.
4. EXPLORES: Group metrics and dimensions into named explores representing coherent business topics. Name explores for business users. Maximum 8 explores per workspace.
5. Assign confidence: high, medium, or low to each definition. Low-confidence items are visible but marked with a review badge and blocked from ML feature sets until a human confirms them.</w:t>
            </w:r>
          </w:p>
        </w:tc>
      </w:tr>
    </w:tbl>
    <w:p>
      <w:pPr>
        <w:spacing w:after="0" w:before="160"/>
      </w:pPr>
    </w:p>
    <w:p>
      <w:pPr>
        <w:pStyle w:val="Heading2"/>
        <w:spacing w:after="120" w:before="400"/>
      </w:pPr>
      <w:r>
        <w:rPr>
          <w:rFonts w:ascii="Arial" w:cs="Arial" w:eastAsia="Arial" w:hAnsi="Arial"/>
          <w:b/>
          <w:bCs/>
          <w:color w:val="1E2B5C"/>
          <w:sz w:val="30"/>
          <w:szCs w:val="30"/>
        </w:rPr>
        <w:t xml:space="preserve">4.2 Semantic Layer Guarantees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One metric, one definition always: </w:t>
      </w:r>
      <w:r>
        <w:rPr>
          <w:rFonts w:ascii="Arial" w:cs="Arial" w:eastAsia="Arial" w:hAnsi="Arial"/>
          <w:color w:val="1F2937"/>
          <w:sz w:val="22"/>
          <w:szCs w:val="22"/>
        </w:rPr>
        <w:t xml:space="preserve">If a metric name appears in more than one table, the agent designates a primary source and documents the resolution. The conflict surfaces in the admin review queue with a diff view.</w:t>
      </w:r>
    </w:p>
    <w:p>
      <w:pPr>
        <w:pStyle w:val="ListParagraph"/>
        <w:numPr>
          <w:ilvl w:val="0"/>
          <w:numId w:val="2"/>
        </w:numPr>
        <w:spacing w:after="40" w:before="40"/>
        <w:ind w:left="720" w:hanging="360"/>
      </w:pPr>
      <w:r>
        <w:rPr>
          <w:rFonts w:ascii="Arial" w:cs="Arial" w:eastAsia="Arial" w:hAnsi="Arial"/>
          <w:b/>
          <w:bCs/>
          <w:color w:val="1E2B5C"/>
          <w:sz w:val="22"/>
          <w:szCs w:val="22"/>
        </w:rPr>
        <w:t xml:space="preserve">Fan-out prevention: </w:t>
      </w:r>
      <w:r>
        <w:rPr>
          <w:rFonts w:ascii="Arial" w:cs="Arial" w:eastAsia="Arial" w:hAnsi="Arial"/>
          <w:color w:val="1F2937"/>
          <w:sz w:val="22"/>
          <w:szCs w:val="22"/>
        </w:rPr>
        <w:t xml:space="preserve">Any join path traversing a one-to-many relationship without explicit aggregation is flagged with the fan-out risk and estimated inflation factor documented.</w:t>
      </w:r>
    </w:p>
    <w:p>
      <w:pPr>
        <w:pStyle w:val="ListParagraph"/>
        <w:numPr>
          <w:ilvl w:val="0"/>
          <w:numId w:val="2"/>
        </w:numPr>
        <w:spacing w:after="40" w:before="40"/>
        <w:ind w:left="720" w:hanging="360"/>
      </w:pPr>
      <w:r>
        <w:rPr>
          <w:rFonts w:ascii="Arial" w:cs="Arial" w:eastAsia="Arial" w:hAnsi="Arial"/>
          <w:b/>
          <w:bCs/>
          <w:color w:val="1E2B5C"/>
          <w:sz w:val="22"/>
          <w:szCs w:val="22"/>
        </w:rPr>
        <w:t xml:space="preserve">Version-controlled schema: </w:t>
      </w:r>
      <w:r>
        <w:rPr>
          <w:rFonts w:ascii="Arial" w:cs="Arial" w:eastAsia="Arial" w:hAnsi="Arial"/>
          <w:color w:val="1F2937"/>
          <w:sz w:val="22"/>
          <w:szCs w:val="22"/>
        </w:rPr>
        <w:t xml:space="preserve">Stored as YAML files in a workspace-scoped Git repository. Patch: definition text edits. Minor: new metrics or dimensions. Major: renamed metrics, changed aggregations, changed join types. Major changes trigger re-validation of all dependent artifacts.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Explore access control: </w:t>
      </w:r>
      <w:r>
        <w:rPr>
          <w:rFonts w:ascii="Arial" w:cs="Arial" w:eastAsia="Arial" w:hAnsi="Arial"/>
          <w:color w:val="1F2937"/>
          <w:sz w:val="22"/>
          <w:szCs w:val="22"/>
        </w:rPr>
        <w:t xml:space="preserve">Each explore carries an access_policy field listing workspace roles permitted to use it in sessions.</w:t>
      </w:r>
    </w:p>
    <w:p>
      <w:pPr>
        <w:pStyle w:val="Heading2"/>
        <w:spacing w:after="120" w:before="400"/>
      </w:pPr>
      <w:r>
        <w:rPr>
          <w:rFonts w:ascii="Arial" w:cs="Arial" w:eastAsia="Arial" w:hAnsi="Arial"/>
          <w:b/>
          <w:bCs/>
          <w:color w:val="1E2B5C"/>
          <w:sz w:val="30"/>
          <w:szCs w:val="30"/>
        </w:rPr>
        <w:t xml:space="preserve">4.3 Visual Field Picker</w:t>
      </w:r>
    </w:p>
    <w:p>
      <w:pPr>
        <w:spacing w:after="60" w:before="60"/>
      </w:pPr>
      <w:r>
        <w:rPr>
          <w:rFonts w:ascii="Arial" w:cs="Arial" w:eastAsia="Arial" w:hAnsi="Arial"/>
          <w:color w:val="1F2937"/>
          <w:sz w:val="22"/>
          <w:szCs w:val="22"/>
        </w:rPr>
        <w:t xml:space="preserve">As an alternative to conversational session entry, the semantic layer exposes a two-column panel: dimensions on the left grouped by hierarchy category, measures on the right grouped by explore. Each field shows its plain-English definition on hover and a 7-day sparkline for measures. Dragging a field into the query builder triggers a preview query capped at 100 rows. Fan-out warnings fire immediately when a selected field combination would traverse a one-to-many join without aggregation. Clicking Analyze This converts the selection into a session_spec that enters the standard Stage 2 pipeline.</w:t>
      </w:r>
    </w:p>
    <w:p>
      <w:pPr>
        <w:pStyle w:val="Heading2"/>
        <w:spacing w:after="120" w:before="400"/>
      </w:pPr>
      <w:r>
        <w:rPr>
          <w:rFonts w:ascii="Arial" w:cs="Arial" w:eastAsia="Arial" w:hAnsi="Arial"/>
          <w:b/>
          <w:bCs/>
          <w:color w:val="1E2B5C"/>
          <w:sz w:val="30"/>
          <w:szCs w:val="30"/>
        </w:rPr>
        <w:t xml:space="preserve">4.4 Persistent Derived Tables</w:t>
      </w:r>
    </w:p>
    <w:p>
      <w:pPr>
        <w:spacing w:after="60" w:before="60"/>
      </w:pPr>
      <w:r>
        <w:rPr>
          <w:rFonts w:ascii="Arial" w:cs="Arial" w:eastAsia="Arial" w:hAnsi="Arial"/>
          <w:color w:val="1F2937"/>
          <w:sz w:val="22"/>
          <w:szCs w:val="22"/>
        </w:rPr>
        <w:t xml:space="preserve">Workspace admins define SQL-based derived tables within the semantic layer. These are materialized on a configurable schedule, carry the same governance metadata as source tables, appear in the lineage DAG, and are queryable by any session. They differ from pre-aggregations in that they are defined for specific analytical purposes rather than automatically recommended from query patterns.</w:t>
      </w:r>
    </w:p>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V — Stages 2 and 3: Intent Capture and Dashboard Planning</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B45309"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ROLE</w:t>
            </w:r>
          </w:p>
        </w:tc>
        <w:tc>
          <w:tcPr>
            <w:tcW w:type="dxa" w:w="9120"/>
            <w:shd w:fill="FEF3C7" w:val="clear"/>
            <w:tcMar>
              <w:top w:type="dxa" w:w="80"/>
              <w:left w:type="dxa" w:w="180"/>
              <w:bottom w:type="dxa" w:w="80"/>
              <w:right w:type="dxa" w:w="120"/>
            </w:tcMar>
          </w:tcPr>
          <w:p>
            <w:r>
              <w:rPr>
                <w:rFonts w:ascii="Arial" w:cs="Arial" w:eastAsia="Arial" w:hAnsi="Arial"/>
                <w:color w:val="1F2937"/>
                <w:sz w:val="21"/>
                <w:szCs w:val="21"/>
              </w:rPr>
              <w:t xml:space="preserve">Translate natural language intent into a machine-executable dashboard plan using only semantic layer vocabulary. The user never sees SQL, table names, or column names. Stage 2 captures intent. Stage 3 converts intent into the dashboard plan JSON that becomes the durable artifact for the rest of the pipeline.</w:t>
            </w:r>
          </w:p>
        </w:tc>
      </w:tr>
    </w:tbl>
    <w:p>
      <w:pPr>
        <w:spacing w:after="0" w:before="240"/>
      </w:pPr>
    </w:p>
    <w:p>
      <w:pPr>
        <w:pStyle w:val="Heading2"/>
        <w:spacing w:after="120" w:before="400"/>
      </w:pPr>
      <w:r>
        <w:rPr>
          <w:rFonts w:ascii="Arial" w:cs="Arial" w:eastAsia="Arial" w:hAnsi="Arial"/>
          <w:b/>
          <w:bCs/>
          <w:color w:val="1E2B5C"/>
          <w:sz w:val="30"/>
          <w:szCs w:val="30"/>
        </w:rPr>
        <w:t xml:space="preserve">5.1 Session Planner Agent (Stage 2)</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B45309"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AGENT PROMPT</w:t>
            </w:r>
          </w:p>
        </w:tc>
        <w:tc>
          <w:tcPr>
            <w:tcW w:type="dxa" w:w="9120"/>
            <w:shd w:fill="FEF3C7" w:val="clear"/>
            <w:tcMar>
              <w:top w:type="dxa" w:w="80"/>
              <w:left w:type="dxa" w:w="180"/>
              <w:bottom w:type="dxa" w:w="80"/>
              <w:right w:type="dxa" w:w="120"/>
            </w:tcMar>
          </w:tcPr>
          <w:p>
            <w:r>
              <w:rPr>
                <w:rFonts w:ascii="Arial" w:cs="Arial" w:eastAsia="Arial" w:hAnsi="Arial"/>
                <w:color w:val="1F2937"/>
                <w:sz w:val="21"/>
                <w:szCs w:val="21"/>
              </w:rPr>
              <w:t xml:space="preserve">You are an analytics session planner. Your only vocabulary is the semantic_schema. Never expose table names, column names, or SQL to the user.
Per turn: (1) Classify analytic_intent as descriptive, diagnostic, predictive, or prescriptive. (2) Map the request to 1 to 3 explores. Present metric and dimension options as selectable lists in plain English. (3) Ask at most one clarifying question per turn formatted as multiple choice with 3 to 5 options. (4) When intent_confidence reaches 0.85 or above produce a session_spec JSON. Below 0.85 ask one more clarifying question.
Session spec fields: intent, analytic_goal as plain string, target_metric from semantic schema, comparison_metrics as optional array, feature_candidates as array of schema names, date_range with type rolling or fixed and value string, grain string, output_type as dashboard_only or model_plus_dashboard or model_only, prediction_horizon as optional string, explores_used as array.</w:t>
            </w:r>
          </w:p>
        </w:tc>
      </w:tr>
    </w:tbl>
    <w:p>
      <w:pPr>
        <w:spacing w:after="0" w:before="160"/>
      </w:pPr>
    </w:p>
    <w:p>
      <w:pPr>
        <w:pStyle w:val="Heading2"/>
        <w:spacing w:after="120" w:before="400"/>
      </w:pPr>
      <w:r>
        <w:rPr>
          <w:rFonts w:ascii="Arial" w:cs="Arial" w:eastAsia="Arial" w:hAnsi="Arial"/>
          <w:b/>
          <w:bCs/>
          <w:color w:val="1E2B5C"/>
          <w:sz w:val="30"/>
          <w:szCs w:val="30"/>
        </w:rPr>
        <w:t xml:space="preserve">5.2 Planner Agent (Stage 3)</w:t>
      </w:r>
    </w:p>
    <w:p>
      <w:pPr>
        <w:spacing w:after="60" w:before="60"/>
      </w:pPr>
      <w:r>
        <w:rPr>
          <w:rFonts w:ascii="Arial" w:cs="Arial" w:eastAsia="Arial" w:hAnsi="Arial"/>
          <w:color w:val="1F2937"/>
          <w:sz w:val="22"/>
          <w:szCs w:val="22"/>
        </w:rPr>
        <w:t xml:space="preserve">The planner agent converts a confirmed session spec into a dashboard plan JSON. This is a higher-level intent document — not Vega-Lite, not SQL, not feature engineering. It describes what the dashboard should contain in structural terms. Vega-Lite specifications are generated from the dashboard plan in Stage 6 and can be regenerated independently without re-running earlier stages.</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B45309"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AGENT PROMPT</w:t>
            </w:r>
          </w:p>
        </w:tc>
        <w:tc>
          <w:tcPr>
            <w:tcW w:type="dxa" w:w="9120"/>
            <w:shd w:fill="FEF3C7" w:val="clear"/>
            <w:tcMar>
              <w:top w:type="dxa" w:w="80"/>
              <w:left w:type="dxa" w:w="180"/>
              <w:bottom w:type="dxa" w:w="80"/>
              <w:right w:type="dxa" w:w="120"/>
            </w:tcMar>
          </w:tcPr>
          <w:p>
            <w:r>
              <w:rPr>
                <w:rFonts w:ascii="Arial" w:cs="Arial" w:eastAsia="Arial" w:hAnsi="Arial"/>
                <w:color w:val="1F2937"/>
                <w:sz w:val="21"/>
                <w:szCs w:val="21"/>
              </w:rPr>
              <w:t xml:space="preserve">You are a dashboard planner agent. You receive a confirmed session_spec and semantic_schema. Produce a dashboard_plan JSON.
The dashboard plan includes: dashboard_id, title, description, time_range with field, default, and grain, global_filters array, sections array. Each section: id, title, description, layout with type (kpi_row | grid | table | narrative | tabs) and columns integer, components array. Each component: id, type (kpi | chart | table | text), title, metric, dimension, chart_type, filters array, comparison (none | previous_period | previous_year), limit integer.
Chart selection rules: time series intent maps to line chart. Category comparison maps to bar. Top-N ranking maps to horizontal_bar. Single aggregate maps to kpi. Detail records map to table. Two numeric measures no time axis map to scatter. Distribution maps to histogram. Matrix of two categorical dimensions maps to heatmap.
Validation rules embedded: every metric and dimension must exist in semantic_schema. No section may contain more than 8 components. No dashboard more than 6 sections. Categorical dimension with cardinality above 50 on bar axis requires a limit value.</w:t>
            </w:r>
          </w:p>
        </w:tc>
      </w:tr>
    </w:tbl>
    <w:p>
      <w:pPr>
        <w:spacing w:after="0" w:before="160"/>
      </w:pPr>
    </w:p>
    <w:p>
      <w:pPr>
        <w:pStyle w:val="Heading2"/>
        <w:spacing w:after="120" w:before="400"/>
      </w:pPr>
      <w:r>
        <w:rPr>
          <w:rFonts w:ascii="Arial" w:cs="Arial" w:eastAsia="Arial" w:hAnsi="Arial"/>
          <w:b/>
          <w:bCs/>
          <w:color w:val="1E2B5C"/>
          <w:sz w:val="30"/>
          <w:szCs w:val="30"/>
        </w:rPr>
        <w:t xml:space="preserve">5.3 Dashboard Plan Schema</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11827" w:val="clear"/>
            <w:tcMar>
              <w:top w:type="dxa" w:w="120"/>
              <w:left w:type="dxa" w:w="200"/>
              <w:bottom w:type="dxa" w:w="120"/>
              <w:right w:type="dxa" w:w="200"/>
            </w:tcMar>
          </w:tcPr>
          <w:p>
            <w:r>
              <w:rPr>
                <w:rFonts w:ascii="Courier New" w:cs="Courier New" w:eastAsia="Courier New" w:hAnsi="Courier New"/>
                <w:color w:val="A5F3FC"/>
                <w:sz w:val="18"/>
                <w:szCs w:val="18"/>
              </w:rPr>
              <w:t xml:space="preserve">dashboard_plan: {
  dashboard_id: uuid,
  title: string,
  description: string,
  created_from_session_spec_id: string,
  semantic_layer_version: string,
  governance_manifest_version: string,
  time_range: { field: semantic dimension name, default: rolling_7d | rolling_30d | rolling_90d | rolling_365d | fixed, grain: day | week | month | quarter | year },
  global_filters: [ { field: semantic dimension name, type: date_range | category | numeric_range | boolean, default: any } ],
  sections: [
    {
      id: string,
      title: string,
      description: string,
      layout: { type: kpi_row | grid | table | narrative | tabs, columns: integer },
      components: [
        {
          id: string,
          type: kpi | chart | table | text,
          title: string,
          metric: semantic metric name,
          dimension: semantic dimension name,
          chart_type: line | bar | horizontal_bar | area | scatter | heatmap | histogram,
          filters: array of filter objects,
          comparison: none | previous_period | previous_year,
          limit: integer or null,
          time_grain: day | week | month | null
        }
      ]
    }
  ]
}</w:t>
            </w:r>
          </w:p>
        </w:tc>
      </w:tr>
    </w:tbl>
    <w:p>
      <w:pPr>
        <w:spacing w:after="0" w:before="160"/>
      </w:pPr>
    </w:p>
    <w:p>
      <w:pPr>
        <w:pStyle w:val="Heading2"/>
        <w:spacing w:after="120" w:before="400"/>
      </w:pPr>
      <w:r>
        <w:rPr>
          <w:rFonts w:ascii="Arial" w:cs="Arial" w:eastAsia="Arial" w:hAnsi="Arial"/>
          <w:b/>
          <w:bCs/>
          <w:color w:val="1E2B5C"/>
          <w:sz w:val="30"/>
          <w:szCs w:val="30"/>
        </w:rPr>
        <w:t xml:space="preserve">5.4 Dashboard Plan Validation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2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1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On Failure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Catalog-only rule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Every metric and dimension reference must exist in semantic_schema</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Remove component; log missing reference; surface to user</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Section component limit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Maximum 8 components per section</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Truncate to 8; warn planner agent to consolidate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Section count limit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Maximum 6 sections per dashboard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Truncate; prompt user which to keep</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Chart type compatibility</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Quantitative measure required for y-axis on bar and line charts</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Switch to table component; notify user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Cardinality guard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Categorical dimension above 50 cardinality on bar axis without Top-N limit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Require limit; default to Top 10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Time field requirement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Line and area charts must have a primary date dimension on one axis</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Reject chart type; suggest bar alternative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Access check</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Every explore referenced must be accessible to the user's workspace role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Remove component; log access denial; do not surface reason to user</w:t>
            </w:r>
          </w:p>
        </w:tc>
      </w:tr>
    </w:tbl>
    <w:p>
      <w:pPr>
        <w:spacing w:after="0" w:before="160"/>
      </w:pPr>
    </w:p>
    <w:p>
      <w:pPr>
        <w:pStyle w:val="Heading2"/>
        <w:spacing w:after="120" w:before="400"/>
      </w:pPr>
      <w:r>
        <w:rPr>
          <w:rFonts w:ascii="Arial" w:cs="Arial" w:eastAsia="Arial" w:hAnsi="Arial"/>
          <w:b/>
          <w:bCs/>
          <w:color w:val="1E2B5C"/>
          <w:sz w:val="30"/>
          <w:szCs w:val="30"/>
        </w:rPr>
        <w:t xml:space="preserve">5.5 Proactive Insight Detection</w:t>
      </w:r>
    </w:p>
    <w:p>
      <w:pPr>
        <w:spacing w:after="60" w:before="60"/>
      </w:pPr>
      <w:r>
        <w:rPr>
          <w:rFonts w:ascii="Arial" w:cs="Arial" w:eastAsia="Arial" w:hAnsi="Arial"/>
          <w:color w:val="1F2937"/>
          <w:sz w:val="22"/>
          <w:szCs w:val="22"/>
        </w:rPr>
        <w:t xml:space="preserve">After every dashboard plan is confirmed and after every scheduled refresh, a background insight agent runs asynchronously. It delivers insights as a dismissible panel below the artifact within 60 seconds.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Point anomaly detection: </w:t>
      </w:r>
      <w:r>
        <w:rPr>
          <w:rFonts w:ascii="Arial" w:cs="Arial" w:eastAsia="Arial" w:hAnsi="Arial"/>
          <w:color w:val="1F2937"/>
          <w:sz w:val="22"/>
          <w:szCs w:val="22"/>
        </w:rPr>
        <w:t xml:space="preserve">For every measure, compute a 28-day rolling mean and standard deviation. Flag any grain value deviating more than 2.5 standard deviations. Severity proportional to deviation magnitude.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Trend break detection: </w:t>
      </w:r>
      <w:r>
        <w:rPr>
          <w:rFonts w:ascii="Arial" w:cs="Arial" w:eastAsia="Arial" w:hAnsi="Arial"/>
          <w:color w:val="1F2937"/>
          <w:sz w:val="22"/>
          <w:szCs w:val="22"/>
        </w:rPr>
        <w:t xml:space="preserve">Apply a non-parametric change point test to every time-series dimension. Flag structural breaks with p less than 0.05. Present the break date and direction in plain English.</w:t>
      </w:r>
    </w:p>
    <w:p>
      <w:pPr>
        <w:pStyle w:val="ListParagraph"/>
        <w:numPr>
          <w:ilvl w:val="0"/>
          <w:numId w:val="2"/>
        </w:numPr>
        <w:spacing w:after="40" w:before="40"/>
        <w:ind w:left="720" w:hanging="360"/>
      </w:pPr>
      <w:r>
        <w:rPr>
          <w:rFonts w:ascii="Arial" w:cs="Arial" w:eastAsia="Arial" w:hAnsi="Arial"/>
          <w:b/>
          <w:bCs/>
          <w:color w:val="1E2B5C"/>
          <w:sz w:val="22"/>
          <w:szCs w:val="22"/>
        </w:rPr>
        <w:t xml:space="preserve">Cross-dimensional outlier detection: </w:t>
      </w:r>
      <w:r>
        <w:rPr>
          <w:rFonts w:ascii="Arial" w:cs="Arial" w:eastAsia="Arial" w:hAnsi="Arial"/>
          <w:color w:val="1F2937"/>
          <w:sz w:val="22"/>
          <w:szCs w:val="22"/>
        </w:rPr>
        <w:t xml:space="preserve">For each categorical dimension compute IQR of metric values across members. Flag any member more than 1.5 IQR above or below the cohort.</w:t>
      </w:r>
    </w:p>
    <w:p>
      <w:pPr>
        <w:pStyle w:val="ListParagraph"/>
        <w:numPr>
          <w:ilvl w:val="0"/>
          <w:numId w:val="2"/>
        </w:numPr>
        <w:spacing w:after="40" w:before="40"/>
        <w:ind w:left="720" w:hanging="360"/>
      </w:pPr>
      <w:r>
        <w:rPr>
          <w:rFonts w:ascii="Arial" w:cs="Arial" w:eastAsia="Arial" w:hAnsi="Arial"/>
          <w:b/>
          <w:bCs/>
          <w:color w:val="1E2B5C"/>
          <w:sz w:val="22"/>
          <w:szCs w:val="22"/>
        </w:rPr>
        <w:t xml:space="preserve">Unexpected correlation mining: </w:t>
      </w:r>
      <w:r>
        <w:rPr>
          <w:rFonts w:ascii="Arial" w:cs="Arial" w:eastAsia="Arial" w:hAnsi="Arial"/>
          <w:color w:val="1F2937"/>
          <w:sz w:val="22"/>
          <w:szCs w:val="22"/>
        </w:rPr>
        <w:t xml:space="preserve">For every pair of measures not in the primary analysis, compute Spearman correlation. Surface pairs with absolute correlation above 0.7 and p below 0.01.</w:t>
      </w:r>
    </w:p>
    <w:p>
      <w:pPr>
        <w:spacing w:after="60" w:before="60"/>
      </w:pPr>
      <w:r>
        <w:rPr>
          <w:rFonts w:ascii="Arial" w:cs="Arial" w:eastAsia="Arial" w:hAnsi="Arial"/>
          <w:color w:val="1F2937"/>
          <w:sz w:val="22"/>
          <w:szCs w:val="22"/>
        </w:rPr>
        <w:t xml:space="preserve">Each insight produces a plain-English headline, a confidence badge, and an Investigate button starting a new session pre-seeded with the insight as the analytic goal. Dismissed insights do not re-surface unless the signal strengthens by more than 20 percent.</w:t>
      </w:r>
    </w:p>
    <w:p>
      <w:pPr>
        <w:pStyle w:val="Heading2"/>
        <w:spacing w:after="120" w:before="400"/>
      </w:pPr>
      <w:r>
        <w:rPr>
          <w:rFonts w:ascii="Arial" w:cs="Arial" w:eastAsia="Arial" w:hAnsi="Arial"/>
          <w:b/>
          <w:bCs/>
          <w:color w:val="1E2B5C"/>
          <w:sz w:val="30"/>
          <w:szCs w:val="30"/>
        </w:rPr>
        <w:t xml:space="preserve">5.6 Related Analysis Suggestions</w:t>
      </w:r>
    </w:p>
    <w:p>
      <w:pPr>
        <w:spacing w:after="60" w:before="60"/>
      </w:pPr>
      <w:r>
        <w:rPr>
          <w:rFonts w:ascii="Arial" w:cs="Arial" w:eastAsia="Arial" w:hAnsi="Arial"/>
          <w:color w:val="1F2937"/>
          <w:sz w:val="22"/>
          <w:szCs w:val="22"/>
        </w:rPr>
        <w:t xml:space="preserve">After every session completes, a suggestion agent produces five follow-up analysis suggestions classified as: deeper_cut (same metric, more granular dimension), related_metric (different metric, same grain), time_comparison (same question, different period), causal_investigation (why did this happen), or forecast_extension (extend with prediction). Suggestions requiring metrics with health_score below 60 are suppressed. Clicking a suggestion pre-populates the session planner with a suggested session spec, which the user can modify before confirming.</w:t>
      </w:r>
    </w:p>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VI — Stage 4: Data Modeling and Feature Engineering</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DC4A2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ROLE</w:t>
            </w:r>
          </w:p>
        </w:tc>
        <w:tc>
          <w:tcPr>
            <w:tcW w:type="dxa" w:w="9120"/>
            <w:shd w:fill="FEE2D5" w:val="clear"/>
            <w:tcMar>
              <w:top w:type="dxa" w:w="80"/>
              <w:left w:type="dxa" w:w="180"/>
              <w:bottom w:type="dxa" w:w="80"/>
              <w:right w:type="dxa" w:w="120"/>
            </w:tcMar>
          </w:tcPr>
          <w:p>
            <w:r>
              <w:rPr>
                <w:rFonts w:ascii="Arial" w:cs="Arial" w:eastAsia="Arial" w:hAnsi="Arial"/>
                <w:color w:val="1F2937"/>
                <w:sz w:val="21"/>
                <w:szCs w:val="21"/>
              </w:rPr>
              <w:t xml:space="preserve">Transform the confirmed dashboard plan and session spec into a production-quality gold layer analytical table. Two sequential subagents execute: the data modeler builds the base table, the feature engineering agent enriches it with derived signals. Two quality gates run between them and after.</w:t>
            </w:r>
          </w:p>
        </w:tc>
      </w:tr>
    </w:tbl>
    <w:p>
      <w:pPr>
        <w:spacing w:after="0" w:before="240"/>
      </w:pPr>
    </w:p>
    <w:p>
      <w:pPr>
        <w:pStyle w:val="Heading2"/>
        <w:spacing w:after="120" w:before="400"/>
      </w:pPr>
      <w:r>
        <w:rPr>
          <w:rFonts w:ascii="Arial" w:cs="Arial" w:eastAsia="Arial" w:hAnsi="Arial"/>
          <w:b/>
          <w:bCs/>
          <w:color w:val="1E2B5C"/>
          <w:sz w:val="30"/>
          <w:szCs w:val="30"/>
        </w:rPr>
        <w:t xml:space="preserve">6.1 Data Modeler Subagent Responsibilities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Gold table construction: </w:t>
      </w:r>
      <w:r>
        <w:rPr>
          <w:rFonts w:ascii="Arial" w:cs="Arial" w:eastAsia="Arial" w:hAnsi="Arial"/>
          <w:color w:val="1F2937"/>
          <w:sz w:val="22"/>
          <w:szCs w:val="22"/>
        </w:rPr>
        <w:t xml:space="preserve">Generates SQL CREATE TABLE and INSERT SELECT joining all required explores at the session grain using only join paths from the semantic layer. Cannot introduce joins not present in the semantic schema.</w:t>
      </w:r>
    </w:p>
    <w:p>
      <w:pPr>
        <w:pStyle w:val="ListParagraph"/>
        <w:numPr>
          <w:ilvl w:val="0"/>
          <w:numId w:val="2"/>
        </w:numPr>
        <w:spacing w:after="40" w:before="40"/>
        <w:ind w:left="720" w:hanging="360"/>
      </w:pPr>
      <w:r>
        <w:rPr>
          <w:rFonts w:ascii="Arial" w:cs="Arial" w:eastAsia="Arial" w:hAnsi="Arial"/>
          <w:b/>
          <w:bCs/>
          <w:color w:val="1E2B5C"/>
          <w:sz w:val="22"/>
          <w:szCs w:val="22"/>
        </w:rPr>
        <w:t xml:space="preserve">Temporal split definition: </w:t>
      </w:r>
      <w:r>
        <w:rPr>
          <w:rFonts w:ascii="Arial" w:cs="Arial" w:eastAsia="Arial" w:hAnsi="Arial"/>
          <w:color w:val="1F2937"/>
          <w:sz w:val="22"/>
          <w:szCs w:val="22"/>
        </w:rPr>
        <w:t xml:space="preserve">All splits are time-based without exception. Default: oldest 70 percent training, next 15 percent validation, most recent 15 percent test. Minimum 500 training rows required. If fewer, the pipeline halts and prompts the user to expand the date range.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Target leakage scan: </w:t>
      </w:r>
      <w:r>
        <w:rPr>
          <w:rFonts w:ascii="Arial" w:cs="Arial" w:eastAsia="Arial" w:hAnsi="Arial"/>
          <w:color w:val="1F2937"/>
          <w:sz w:val="22"/>
          <w:szCs w:val="22"/>
        </w:rPr>
        <w:t xml:space="preserve">Lag-zero values of the target metric are always flagged Critical. Features with leakage_risk above 0.7 are auto-dropped. Features between 0.3 and 0.7 are held for human confirmation.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Grain uniqueness validation: </w:t>
      </w:r>
      <w:r>
        <w:rPr>
          <w:rFonts w:ascii="Arial" w:cs="Arial" w:eastAsia="Arial" w:hAnsi="Arial"/>
          <w:color w:val="1F2937"/>
          <w:sz w:val="22"/>
          <w:szCs w:val="22"/>
        </w:rPr>
        <w:t xml:space="preserve">Confirms the chosen grain produces unique rows after all joins. Offending join paths are surfaced with recommended fixes.</w:t>
      </w:r>
    </w:p>
    <w:p>
      <w:pPr>
        <w:pStyle w:val="Heading2"/>
        <w:spacing w:after="120" w:before="400"/>
      </w:pPr>
      <w:r>
        <w:rPr>
          <w:rFonts w:ascii="Arial" w:cs="Arial" w:eastAsia="Arial" w:hAnsi="Arial"/>
          <w:b/>
          <w:bCs/>
          <w:color w:val="1E2B5C"/>
          <w:sz w:val="30"/>
          <w:szCs w:val="30"/>
        </w:rPr>
        <w:t xml:space="preserve">6.2 Feature Engineering Subagent System Prompt</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DC4A2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AGENT PROMPT</w:t>
            </w:r>
          </w:p>
        </w:tc>
        <w:tc>
          <w:tcPr>
            <w:tcW w:type="dxa" w:w="9120"/>
            <w:shd w:fill="FEE2D5" w:val="clear"/>
            <w:tcMar>
              <w:top w:type="dxa" w:w="80"/>
              <w:left w:type="dxa" w:w="180"/>
              <w:bottom w:type="dxa" w:w="80"/>
              <w:right w:type="dxa" w:w="120"/>
            </w:tcMar>
          </w:tcPr>
          <w:p>
            <w:r>
              <w:rPr>
                <w:rFonts w:ascii="Arial" w:cs="Arial" w:eastAsia="Arial" w:hAnsi="Arial"/>
                <w:color w:val="1F2937"/>
                <w:sz w:val="21"/>
                <w:szCs w:val="21"/>
              </w:rPr>
              <w:t xml:space="preserve">You are a feature engineering agent for time-series and tabular prediction. Given a gold_table_spec and feature_manifest, enrich the feature set.
Temporal features for all time-series targets: lag_1d, lag_3d, lag_7d, lag_14d, lag_28d, rolling_mean_7d, rolling_mean_14d, rolling_mean_28d, rolling_std_7d, rolling_std_28d, rolling_max_7d, rolling_min_7d, day_of_week integer 0 to 6, week_of_year, month, quarter, is_weekend boolean, is_holiday boolean via calendar join, days_since_last_zero streak feature.
Interaction features: for top 3 categorical dimension pairs generate combined string features. Cap at 6 total.
Encoding: cardinality below 15 uses one-hot with column prefix. Cardinality 15 to 50 uses target encoding with 5-fold CV using only out-of-fold predictions to prevent leakage. Cardinality above 50 uses hash encoding with 32 buckets plus a frequency encoding column.
Imputation in order: measures use rolling median fill window 7 then global median. Dimensions use mode fill plus is_null indicator column. Date columns use forward fill then backward fill.
Collinearity: compute Pearson correlation matrix. For pairs with absolute correlation above 0.95 keep the feature with higher mutual information and drop the other. Document all dropped features in the manifest.
Output enriched_feature_manifest listing every final column with its derivation method, leakage_risk score 0 to 1, and importance_estimate as mutual information score.</w:t>
            </w:r>
          </w:p>
        </w:tc>
      </w:tr>
    </w:tbl>
    <w:p>
      <w:pPr>
        <w:spacing w:after="0" w:before="160"/>
      </w:pPr>
    </w:p>
    <w:p>
      <w:pPr>
        <w:pStyle w:val="Heading2"/>
        <w:spacing w:after="120" w:before="400"/>
      </w:pPr>
      <w:r>
        <w:rPr>
          <w:rFonts w:ascii="Arial" w:cs="Arial" w:eastAsia="Arial" w:hAnsi="Arial"/>
          <w:b/>
          <w:bCs/>
          <w:color w:val="1E2B5C"/>
          <w:sz w:val="30"/>
          <w:szCs w:val="30"/>
        </w:rPr>
        <w:t xml:space="preserve">6.3 Data Quality Gates — Stage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100"/>
        <w:gridCol w:w="3660"/>
      </w:tblGrid>
      <w:tr>
        <w:trPr>
          <w:tblHeader/>
        </w:trPr>
        <w:tc>
          <w:tcPr>
            <w:tcW w:type="dxa" w:w="24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22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11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6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Action on Failure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Training row minimum</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500 rows after feature engineering</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Halt pipeline; prompt user to expand date range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Target leakage risk high</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leakage_risk above 0.7</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Auto-drop feature; notify user; log to manifest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Target leakage risk medium</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leakage_risk 0.3 to 0.7</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Hold feature; require explicit user confirmation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Post-imputation null rate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Below 1 percent on any feature after imputation</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Drop feature; log to manifest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Collinearity</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Absolute Pearson above 0.95 between any pair</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Drop lower MI feature; log decision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Class imbalance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Minority class below 10 percent</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Apply SMOTE; log imbalance ratio in model card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Feature count upper bound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Maximum 200 features after engineering</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Apply MI-based selection to reduce to top 200</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Grain uniqueness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Zero duplicate rows on grain key combination</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Halt pipeline; surface offending join to user</w:t>
            </w:r>
          </w:p>
        </w:tc>
      </w:tr>
    </w:tbl>
    <w:p>
      <w:pPr>
        <w:spacing w:after="0" w:before="160"/>
      </w:pPr>
    </w:p>
    <w:p>
      <w:pPr>
        <w:pStyle w:val="Heading2"/>
        <w:spacing w:after="120" w:before="400"/>
      </w:pPr>
      <w:r>
        <w:rPr>
          <w:rFonts w:ascii="Arial" w:cs="Arial" w:eastAsia="Arial" w:hAnsi="Arial"/>
          <w:b/>
          <w:bCs/>
          <w:color w:val="1E2B5C"/>
          <w:sz w:val="30"/>
          <w:szCs w:val="30"/>
        </w:rPr>
        <w:t xml:space="preserve">6.4 Cell-Based Pipeline Audit Trail</w:t>
      </w:r>
    </w:p>
    <w:p>
      <w:pPr>
        <w:spacing w:after="60" w:before="60"/>
      </w:pPr>
      <w:r>
        <w:rPr>
          <w:rFonts w:ascii="Arial" w:cs="Arial" w:eastAsia="Arial" w:hAnsi="Arial"/>
          <w:color w:val="1F2937"/>
          <w:sz w:val="22"/>
          <w:szCs w:val="22"/>
        </w:rPr>
        <w:t xml:space="preserve">Every step in Stage 4 is recorded as a step card in the session audit panel accessible via a View Pipeline link on the artifact. Each card shows: plain-English description, input and output data shapes, quality gate result, and a collapsible technical detail section with the agent prompt fragment and JSON output. Every step card has a Fork from here button opening a new session pre-loaded with that step's output as the starting state, enabling alternative feature engineering strategies without re-running earlier stages.</w:t>
      </w:r>
    </w:p>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VII — Stage 5: Query Generation and Execution</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7C3AED"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ROLE</w:t>
            </w:r>
          </w:p>
        </w:tc>
        <w:tc>
          <w:tcPr>
            <w:tcW w:type="dxa" w:w="9120"/>
            <w:shd w:fill="EDE9FE" w:val="clear"/>
            <w:tcMar>
              <w:top w:type="dxa" w:w="80"/>
              <w:left w:type="dxa" w:w="180"/>
              <w:bottom w:type="dxa" w:w="80"/>
              <w:right w:type="dxa" w:w="120"/>
            </w:tcMar>
          </w:tcPr>
          <w:p>
            <w:r>
              <w:rPr>
                <w:rFonts w:ascii="Arial" w:cs="Arial" w:eastAsia="Arial" w:hAnsi="Arial"/>
                <w:color w:val="1F2937"/>
                <w:sz w:val="21"/>
                <w:szCs w:val="21"/>
              </w:rPr>
              <w:t xml:space="preserve">Generate validated SQL queries for each dashboard component, execute them under controlled permissions, and produce data contracts that constrain all downstream visualization generation. No Vega-Lite specification may reference a field absent from its component's data contract.</w:t>
            </w:r>
          </w:p>
        </w:tc>
      </w:tr>
    </w:tbl>
    <w:p>
      <w:pPr>
        <w:spacing w:after="0" w:before="240"/>
      </w:pPr>
    </w:p>
    <w:p>
      <w:pPr>
        <w:pStyle w:val="Heading2"/>
        <w:spacing w:after="120" w:before="400"/>
      </w:pPr>
      <w:r>
        <w:rPr>
          <w:rFonts w:ascii="Arial" w:cs="Arial" w:eastAsia="Arial" w:hAnsi="Arial"/>
          <w:b/>
          <w:bCs/>
          <w:color w:val="1E2B5C"/>
          <w:sz w:val="30"/>
          <w:szCs w:val="30"/>
        </w:rPr>
        <w:t xml:space="preserve">7.1 Data Agent Responsibilities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Query generation: </w:t>
      </w:r>
      <w:r>
        <w:rPr>
          <w:rFonts w:ascii="Arial" w:cs="Arial" w:eastAsia="Arial" w:hAnsi="Arial"/>
          <w:color w:val="1F2937"/>
          <w:sz w:val="22"/>
          <w:szCs w:val="22"/>
        </w:rPr>
        <w:t xml:space="preserve">For each dashboard component, generate SQL using semantic layer sql_expression fields, component metric, dimension, filters, time range, and limit. Resolve date arithmetic using the warehouse dialect from integration metadata.</w:t>
      </w:r>
    </w:p>
    <w:p>
      <w:pPr>
        <w:pStyle w:val="ListParagraph"/>
        <w:numPr>
          <w:ilvl w:val="0"/>
          <w:numId w:val="2"/>
        </w:numPr>
        <w:spacing w:after="40" w:before="40"/>
        <w:ind w:left="720" w:hanging="360"/>
      </w:pPr>
      <w:r>
        <w:rPr>
          <w:rFonts w:ascii="Arial" w:cs="Arial" w:eastAsia="Arial" w:hAnsi="Arial"/>
          <w:b/>
          <w:bCs/>
          <w:color w:val="1E2B5C"/>
          <w:sz w:val="22"/>
          <w:szCs w:val="22"/>
        </w:rPr>
        <w:t xml:space="preserve">SQL safety validation: </w:t>
      </w:r>
      <w:r>
        <w:rPr>
          <w:rFonts w:ascii="Arial" w:cs="Arial" w:eastAsia="Arial" w:hAnsi="Arial"/>
          <w:color w:val="1F2937"/>
          <w:sz w:val="22"/>
          <w:szCs w:val="22"/>
        </w:rPr>
        <w:t xml:space="preserve">Before execution, every query passes through a deterministic SQL parser blocking: any non-SELECT statement, unbounded queries without time-field WHERE clause, cross joins not in the semantic layer, references to columns outside the semantic schema, and access to tables outside permissioned explores.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Permission enforcement: </w:t>
      </w:r>
      <w:r>
        <w:rPr>
          <w:rFonts w:ascii="Arial" w:cs="Arial" w:eastAsia="Arial" w:hAnsi="Arial"/>
          <w:color w:val="1F2937"/>
          <w:sz w:val="22"/>
          <w:szCs w:val="22"/>
        </w:rPr>
        <w:t xml:space="preserve">The data agent operates through a read-only warehouse proxy that enforces row-level security rules. The agent never receives database credentials. The proxy injects credentials at execution time.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Result handling: </w:t>
      </w:r>
      <w:r>
        <w:rPr>
          <w:rFonts w:ascii="Arial" w:cs="Arial" w:eastAsia="Arial" w:hAnsi="Arial"/>
          <w:color w:val="1F2937"/>
          <w:sz w:val="22"/>
          <w:szCs w:val="22"/>
        </w:rPr>
        <w:t xml:space="preserve">Row limits: 10,000 for chart components, 50,000 for table components, 100 for preview queries during session planning.</w:t>
      </w:r>
    </w:p>
    <w:p>
      <w:pPr>
        <w:pStyle w:val="Heading2"/>
        <w:spacing w:after="120" w:before="400"/>
      </w:pPr>
      <w:r>
        <w:rPr>
          <w:rFonts w:ascii="Arial" w:cs="Arial" w:eastAsia="Arial" w:hAnsi="Arial"/>
          <w:b/>
          <w:bCs/>
          <w:color w:val="1E2B5C"/>
          <w:sz w:val="30"/>
          <w:szCs w:val="30"/>
        </w:rPr>
        <w:t xml:space="preserve">7.2 Query Contract Schema</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11827" w:val="clear"/>
            <w:tcMar>
              <w:top w:type="dxa" w:w="120"/>
              <w:left w:type="dxa" w:w="200"/>
              <w:bottom w:type="dxa" w:w="120"/>
              <w:right w:type="dxa" w:w="200"/>
            </w:tcMar>
          </w:tcPr>
          <w:p>
            <w:r>
              <w:rPr>
                <w:rFonts w:ascii="Courier New" w:cs="Courier New" w:eastAsia="Courier New" w:hAnsi="Courier New"/>
                <w:color w:val="A5F3FC"/>
                <w:sz w:val="18"/>
                <w:szCs w:val="18"/>
              </w:rPr>
              <w:t xml:space="preserve">query_contract: {
  component_id: string,
  dashboard_id: string,
  sql: string,
  warehouse_dialect: snowflake | bigquery | redshift | postgres | duckdb,
  expected_columns: [ { name: string, type: string, semantic_source: string } ],
  filters_applied: array of filter objects,
  time_range_applied: { field, start, end },
  row_limit: integer,
  status: pending | validated | executed | failed,
  execution_time_ms: integer or null
}</w:t>
            </w:r>
          </w:p>
        </w:tc>
      </w:tr>
    </w:tbl>
    <w:p>
      <w:pPr>
        <w:spacing w:after="0" w:before="160"/>
      </w:pPr>
    </w:p>
    <w:p>
      <w:pPr>
        <w:pStyle w:val="Heading2"/>
        <w:spacing w:after="120" w:before="400"/>
      </w:pPr>
      <w:r>
        <w:rPr>
          <w:rFonts w:ascii="Arial" w:cs="Arial" w:eastAsia="Arial" w:hAnsi="Arial"/>
          <w:b/>
          <w:bCs/>
          <w:color w:val="1E2B5C"/>
          <w:sz w:val="30"/>
          <w:szCs w:val="30"/>
        </w:rPr>
        <w:t xml:space="preserve">7.3 Data Contract Schema</w:t>
      </w:r>
    </w:p>
    <w:p>
      <w:pPr>
        <w:spacing w:after="60" w:before="60"/>
      </w:pPr>
      <w:r>
        <w:rPr>
          <w:rFonts w:ascii="Arial" w:cs="Arial" w:eastAsia="Arial" w:hAnsi="Arial"/>
          <w:color w:val="1F2937"/>
          <w:sz w:val="22"/>
          <w:szCs w:val="22"/>
        </w:rPr>
        <w:t xml:space="preserve">After execution, a data contract is produced for each component. The Vega-Lite generator in Stage 6 must only reference fields present in this contract.</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11827" w:val="clear"/>
            <w:tcMar>
              <w:top w:type="dxa" w:w="120"/>
              <w:left w:type="dxa" w:w="200"/>
              <w:bottom w:type="dxa" w:w="120"/>
              <w:right w:type="dxa" w:w="200"/>
            </w:tcMar>
          </w:tcPr>
          <w:p>
            <w:r>
              <w:rPr>
                <w:rFonts w:ascii="Courier New" w:cs="Courier New" w:eastAsia="Courier New" w:hAnsi="Courier New"/>
                <w:color w:val="A5F3FC"/>
                <w:sz w:val="18"/>
                <w:szCs w:val="18"/>
              </w:rPr>
              <w:t xml:space="preserve">data_contract: {
  component_id: string,
  query_contract_id: string,
  actual_columns: [ { name: string, type: string, null_count: integer, distinct_count: integer, min: any, max: any } ],
  row_count: integer,
  sample_rows: array of up to 3 rows,
  date_range_actual: { min, max } or null,
  numeric_ranges: { [column_name]: { min, max, mean, stddev } },
  high_cardinality_warnings: array of column names with distinct_count above 50,
  empty_result: boolean,
  contract_version: string
}</w:t>
            </w:r>
          </w:p>
        </w:tc>
      </w:tr>
    </w:tbl>
    <w:p>
      <w:pPr>
        <w:spacing w:after="0" w:before="160"/>
      </w:pPr>
    </w:p>
    <w:p>
      <w:pPr>
        <w:pStyle w:val="Heading2"/>
        <w:spacing w:after="120" w:before="400"/>
      </w:pPr>
      <w:r>
        <w:rPr>
          <w:rFonts w:ascii="Arial" w:cs="Arial" w:eastAsia="Arial" w:hAnsi="Arial"/>
          <w:b/>
          <w:bCs/>
          <w:color w:val="1E2B5C"/>
          <w:sz w:val="30"/>
          <w:szCs w:val="30"/>
        </w:rPr>
        <w:t xml:space="preserve">7.4 Empty Result Handling</w:t>
      </w:r>
    </w:p>
    <w:p>
      <w:pPr>
        <w:spacing w:after="60" w:before="60"/>
      </w:pPr>
      <w:r>
        <w:rPr>
          <w:rFonts w:ascii="Arial" w:cs="Arial" w:eastAsia="Arial" w:hAnsi="Arial"/>
          <w:color w:val="1F2937"/>
          <w:sz w:val="22"/>
          <w:szCs w:val="22"/>
        </w:rPr>
        <w:t xml:space="preserve">If a query returns zero rows, the component is flagged empty_result: true. The orchestrator generates a placeholder card showing an informational message with a suggestion to broaden the date range or check filter values. Never a blank space or a broken chart.</w:t>
      </w:r>
    </w:p>
    <w:p>
      <w:pPr>
        <w:pStyle w:val="Heading2"/>
        <w:spacing w:after="120" w:before="400"/>
      </w:pPr>
      <w:r>
        <w:rPr>
          <w:rFonts w:ascii="Arial" w:cs="Arial" w:eastAsia="Arial" w:hAnsi="Arial"/>
          <w:b/>
          <w:bCs/>
          <w:color w:val="1E2B5C"/>
          <w:sz w:val="30"/>
          <w:szCs w:val="30"/>
        </w:rPr>
        <w:t xml:space="preserve">7.5 Query Caching</w:t>
      </w:r>
    </w:p>
    <w:p>
      <w:pPr>
        <w:spacing w:after="60" w:before="60"/>
      </w:pPr>
      <w:r>
        <w:rPr>
          <w:rFonts w:ascii="Arial" w:cs="Arial" w:eastAsia="Arial" w:hAnsi="Arial"/>
          <w:color w:val="1F2937"/>
          <w:sz w:val="22"/>
          <w:szCs w:val="22"/>
        </w:rPr>
        <w:t xml:space="preserve">Results are cached in Redis keyed by a hash of the SQL string, warehouse connection identifier, and execution timestamp floored to the cache TTL. Default TTL: 5 minutes for interactive sessions, 1 hour for artifact refresh jobs. Cache entries are invalidated when the source table freshness SLA timestamp advances past the cache entry creation time.</w:t>
      </w:r>
    </w:p>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VIII — Stage 6: Vega-Lite Specification Generation</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15803D"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ROLE</w:t>
            </w:r>
          </w:p>
        </w:tc>
        <w:tc>
          <w:tcPr>
            <w:tcW w:type="dxa" w:w="9120"/>
            <w:shd w:fill="DCFCE7" w:val="clear"/>
            <w:tcMar>
              <w:top w:type="dxa" w:w="80"/>
              <w:left w:type="dxa" w:w="180"/>
              <w:bottom w:type="dxa" w:w="80"/>
              <w:right w:type="dxa" w:w="120"/>
            </w:tcMar>
          </w:tcPr>
          <w:p>
            <w:r>
              <w:rPr>
                <w:rFonts w:ascii="Arial" w:cs="Arial" w:eastAsia="Arial" w:hAnsi="Arial"/>
                <w:color w:val="1F2937"/>
                <w:sz w:val="21"/>
                <w:szCs w:val="21"/>
              </w:rPr>
              <w:t xml:space="preserve">Generate a validated Vega-Lite JSON specification for every chart component in the dashboard plan, using only fields present in the component's data contract. Vega-Lite handles all chart rendering. The application layer handles layout, filters, KPI cards, tables, and cross-panel interactions.</w:t>
            </w:r>
          </w:p>
        </w:tc>
      </w:tr>
    </w:tbl>
    <w:p>
      <w:pPr>
        <w:spacing w:after="0" w:before="240"/>
      </w:pPr>
    </w:p>
    <w:p>
      <w:pPr>
        <w:pStyle w:val="Heading2"/>
        <w:spacing w:after="120" w:before="400"/>
      </w:pPr>
      <w:r>
        <w:rPr>
          <w:rFonts w:ascii="Arial" w:cs="Arial" w:eastAsia="Arial" w:hAnsi="Arial"/>
          <w:b/>
          <w:bCs/>
          <w:color w:val="1E2B5C"/>
          <w:sz w:val="30"/>
          <w:szCs w:val="30"/>
        </w:rPr>
        <w:t xml:space="preserve">8.1 Why Vega-Lite</w:t>
      </w:r>
    </w:p>
    <w:p>
      <w:pPr>
        <w:spacing w:after="60" w:before="60"/>
      </w:pPr>
      <w:r>
        <w:rPr>
          <w:rFonts w:ascii="Arial" w:cs="Arial" w:eastAsia="Arial" w:hAnsi="Arial"/>
          <w:color w:val="1F2937"/>
          <w:sz w:val="22"/>
          <w:szCs w:val="22"/>
        </w:rPr>
        <w:t xml:space="preserve">Vega-Lite is a declarative visualization grammar. A specification describes what should be shown — mark type, field encodings, aggregations, sort orders, tooltips, titles, formatting — as structured JSON. This approach has three significant advantages for an AI-powered system: specifications can be validated against the published Vega-Lite JSON schema before rendering; specifications can be stored, versioned, and regenerated independently of the rendering environment; and JSON generation is substantially more reliable from a language model than imperative JavaScript charting code.</w:t>
      </w:r>
    </w:p>
    <w:p>
      <w:pPr>
        <w:pStyle w:val="Heading2"/>
        <w:spacing w:after="120" w:before="400"/>
      </w:pPr>
      <w:r>
        <w:rPr>
          <w:rFonts w:ascii="Arial" w:cs="Arial" w:eastAsia="Arial" w:hAnsi="Arial"/>
          <w:b/>
          <w:bCs/>
          <w:color w:val="1E2B5C"/>
          <w:sz w:val="30"/>
          <w:szCs w:val="30"/>
        </w:rPr>
        <w:t xml:space="preserve">8.2 Visualization Agent System Prompt</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15803D"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AGENT PROMPT</w:t>
            </w:r>
          </w:p>
        </w:tc>
        <w:tc>
          <w:tcPr>
            <w:tcW w:type="dxa" w:w="9120"/>
            <w:shd w:fill="DCFCE7" w:val="clear"/>
            <w:tcMar>
              <w:top w:type="dxa" w:w="80"/>
              <w:left w:type="dxa" w:w="180"/>
              <w:bottom w:type="dxa" w:w="80"/>
              <w:right w:type="dxa" w:w="120"/>
            </w:tcMar>
          </w:tcPr>
          <w:p>
            <w:r>
              <w:rPr>
                <w:rFonts w:ascii="Arial" w:cs="Arial" w:eastAsia="Arial" w:hAnsi="Arial"/>
                <w:color w:val="1F2937"/>
                <w:sz w:val="21"/>
                <w:szCs w:val="21"/>
              </w:rPr>
              <w:t xml:space="preserve">You are a visualization agent. You produce Vega-Lite v5 JSON specifications. You receive a component definition from the dashboard plan and its data_contract. You must only reference fields present in the data_contract actual_columns.
For every spec: set schema to https://vega.github.io/schema/vega-lite/v5.json. Set data.name to component_id (data injection happens at render time). Apply workspace theme CSS variables as color values in config.mark, config.axis, config.legend. Include meaningful title. Include tooltip array for all encoded fields. Apply format strings: currency fields use $,.2f, percentage fields use .1%, integer fields use ,d. Apply sort minus-x for horizontal bar charts. For time-series charts set timeUnit on the date dimension matching component time_grain. For charts with cardinality above 20 on a nominal axis add a transform filter for Top-N using the component limit. Never use inline data arrays. Never use hardcoded hex color values. Never reference a field not in data_contract actual_columns.</w:t>
            </w:r>
          </w:p>
        </w:tc>
      </w:tr>
    </w:tbl>
    <w:p>
      <w:pPr>
        <w:spacing w:after="0" w:before="160"/>
      </w:pPr>
    </w:p>
    <w:p>
      <w:pPr>
        <w:pStyle w:val="Heading2"/>
        <w:spacing w:after="120" w:before="400"/>
      </w:pPr>
      <w:r>
        <w:rPr>
          <w:rFonts w:ascii="Arial" w:cs="Arial" w:eastAsia="Arial" w:hAnsi="Arial"/>
          <w:b/>
          <w:bCs/>
          <w:color w:val="1E2B5C"/>
          <w:sz w:val="30"/>
          <w:szCs w:val="30"/>
        </w:rPr>
        <w:t xml:space="preserve">8.3 Chart Type to Vega-Lite Mark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160"/>
        <w:gridCol w:w="1800"/>
      </w:tblGrid>
      <w:tr>
        <w:trPr>
          <w:tblHeader/>
        </w:trPr>
        <w:tc>
          <w:tcPr>
            <w:tcW w:type="dxa" w:w="18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Component Chart Type</w:t>
            </w:r>
          </w:p>
        </w:tc>
        <w:tc>
          <w:tcPr>
            <w:tcW w:type="dxa" w:w="16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Vega-Lite Mark</w:t>
            </w:r>
          </w:p>
        </w:tc>
        <w:tc>
          <w:tcPr>
            <w:tcW w:type="dxa" w:w="41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Required Encodings</w:t>
            </w:r>
          </w:p>
        </w:tc>
        <w:tc>
          <w:tcPr>
            <w:tcW w:type="dxa" w:w="18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Default Sort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line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line with point overlay</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x: temporal dimension, y: quantitative measure, color: optional grouping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x ascending</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bar</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bar</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x: nominal dimension, y: quantitative measure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y descending</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horizontal_bar</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bar with orient horizontal</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 nominal dimension, x: quantitative measure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x descending via sort minus-x on y</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area</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area with line overlay</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x: temporal dimension, y: quantitative measure, color: optional grouping</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x ascending</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scatter</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point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x: first quantitative measure, y: second quantitative measure, color: optional dimension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heatmap</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rect</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x: first nominal dimension, y: second nominal dimension, color: quantitative measure with sequential scheme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none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histogram</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bar with bin transform</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x: quantitative measure with bin true, y: count aggregate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x ascending</w:t>
            </w:r>
          </w:p>
        </w:tc>
      </w:tr>
    </w:tbl>
    <w:p>
      <w:pPr>
        <w:spacing w:after="0" w:before="160"/>
      </w:pPr>
    </w:p>
    <w:p>
      <w:pPr>
        <w:pStyle w:val="Heading2"/>
        <w:spacing w:after="120" w:before="400"/>
      </w:pPr>
      <w:r>
        <w:rPr>
          <w:rFonts w:ascii="Arial" w:cs="Arial" w:eastAsia="Arial" w:hAnsi="Arial"/>
          <w:b/>
          <w:bCs/>
          <w:color w:val="1E2B5C"/>
          <w:sz w:val="30"/>
          <w:szCs w:val="30"/>
        </w:rPr>
        <w:t xml:space="preserve">8.4 Vega-Lite Spec Validation</w:t>
      </w:r>
    </w:p>
    <w:p>
      <w:pPr>
        <w:spacing w:after="60" w:before="60"/>
      </w:pPr>
      <w:r>
        <w:rPr>
          <w:rFonts w:ascii="Arial" w:cs="Arial" w:eastAsia="Arial" w:hAnsi="Arial"/>
          <w:color w:val="1F2937"/>
          <w:sz w:val="22"/>
          <w:szCs w:val="22"/>
        </w:rPr>
        <w:t xml:space="preserve">Every generated spec is validated against the official Vega-Lite v5 JSON schema before being passed to the renderer. Validation failures produce a targeted repair prompt specifying exactly which schema constraint failed. Maximum two repair cycles per spec before the component is converted to a table fallback and the user is notified. Additional deterministic rules:</w:t>
      </w:r>
    </w:p>
    <w:p>
      <w:pPr>
        <w:pStyle w:val="ListParagraph"/>
        <w:numPr>
          <w:ilvl w:val="0"/>
          <w:numId w:val="2"/>
        </w:numPr>
        <w:spacing w:after="40" w:before="40"/>
        <w:ind w:left="720" w:hanging="360"/>
      </w:pPr>
      <w:r>
        <w:rPr>
          <w:rFonts w:ascii="Arial" w:cs="Arial" w:eastAsia="Arial" w:hAnsi="Arial"/>
          <w:color w:val="1F2937"/>
          <w:sz w:val="22"/>
          <w:szCs w:val="22"/>
        </w:rPr>
        <w:t xml:space="preserve">All field references in encoding, transform, and tooltip must exist in data_contract.actual_columns</w:t>
      </w:r>
    </w:p>
    <w:p>
      <w:pPr>
        <w:pStyle w:val="ListParagraph"/>
        <w:numPr>
          <w:ilvl w:val="0"/>
          <w:numId w:val="2"/>
        </w:numPr>
        <w:spacing w:after="40" w:before="40"/>
        <w:ind w:left="720" w:hanging="360"/>
      </w:pPr>
      <w:r>
        <w:rPr>
          <w:rFonts w:ascii="Arial" w:cs="Arial" w:eastAsia="Arial" w:hAnsi="Arial"/>
          <w:color w:val="1F2937"/>
          <w:sz w:val="22"/>
          <w:szCs w:val="22"/>
        </w:rPr>
        <w:t xml:space="preserve">No hardcoded color hex values in spec — all color configuration uses config properties</w:t>
      </w:r>
    </w:p>
    <w:p>
      <w:pPr>
        <w:pStyle w:val="ListParagraph"/>
        <w:numPr>
          <w:ilvl w:val="0"/>
          <w:numId w:val="2"/>
        </w:numPr>
        <w:spacing w:after="40" w:before="40"/>
        <w:ind w:left="720" w:hanging="360"/>
      </w:pPr>
      <w:r>
        <w:rPr>
          <w:rFonts w:ascii="Arial" w:cs="Arial" w:eastAsia="Arial" w:hAnsi="Arial"/>
          <w:color w:val="1F2937"/>
          <w:sz w:val="22"/>
          <w:szCs w:val="22"/>
        </w:rPr>
        <w:t xml:space="preserve">data.name must equal the component_id — no inline data arrays permitted</w:t>
      </w:r>
    </w:p>
    <w:p>
      <w:pPr>
        <w:pStyle w:val="ListParagraph"/>
        <w:numPr>
          <w:ilvl w:val="0"/>
          <w:numId w:val="2"/>
        </w:numPr>
        <w:spacing w:after="40" w:before="40"/>
        <w:ind w:left="720" w:hanging="360"/>
      </w:pPr>
      <w:r>
        <w:rPr>
          <w:rFonts w:ascii="Arial" w:cs="Arial" w:eastAsia="Arial" w:hAnsi="Arial"/>
          <w:color w:val="1F2937"/>
          <w:sz w:val="22"/>
          <w:szCs w:val="22"/>
        </w:rPr>
        <w:t xml:space="preserve">Specs for components with high_cardinality_warnings must include a Top-N transform filter</w:t>
      </w:r>
    </w:p>
    <w:p>
      <w:pPr>
        <w:pStyle w:val="ListParagraph"/>
        <w:numPr>
          <w:ilvl w:val="0"/>
          <w:numId w:val="2"/>
        </w:numPr>
        <w:spacing w:after="40" w:before="40"/>
        <w:ind w:left="720" w:hanging="360"/>
      </w:pPr>
      <w:r>
        <w:rPr>
          <w:rFonts w:ascii="Arial" w:cs="Arial" w:eastAsia="Arial" w:hAnsi="Arial"/>
          <w:color w:val="1F2937"/>
          <w:sz w:val="22"/>
          <w:szCs w:val="22"/>
        </w:rPr>
        <w:t xml:space="preserve">KPI components do not receive Vega-Lite specs — rendered by the application layer from data contract values</w:t>
      </w:r>
    </w:p>
    <w:p>
      <w:pPr>
        <w:pStyle w:val="ListParagraph"/>
        <w:numPr>
          <w:ilvl w:val="0"/>
          <w:numId w:val="2"/>
        </w:numPr>
        <w:spacing w:after="40" w:before="40"/>
        <w:ind w:left="720" w:hanging="360"/>
      </w:pPr>
      <w:r>
        <w:rPr>
          <w:rFonts w:ascii="Arial" w:cs="Arial" w:eastAsia="Arial" w:hAnsi="Arial"/>
          <w:color w:val="1F2937"/>
          <w:sz w:val="22"/>
          <w:szCs w:val="22"/>
        </w:rPr>
        <w:t xml:space="preserve">Table components do not receive Vega-Lite specs — rendered by the application layer as sortable HTML tables</w:t>
      </w:r>
    </w:p>
    <w:p>
      <w:pPr>
        <w:pStyle w:val="Heading2"/>
        <w:spacing w:after="120" w:before="400"/>
      </w:pPr>
      <w:r>
        <w:rPr>
          <w:rFonts w:ascii="Arial" w:cs="Arial" w:eastAsia="Arial" w:hAnsi="Arial"/>
          <w:b/>
          <w:bCs/>
          <w:color w:val="1E2B5C"/>
          <w:sz w:val="30"/>
          <w:szCs w:val="30"/>
        </w:rPr>
        <w:t xml:space="preserve">8.5 Application Layer Responsibilities</w:t>
      </w:r>
    </w:p>
    <w:p>
      <w:pPr>
        <w:spacing w:after="60" w:before="60"/>
      </w:pPr>
      <w:r>
        <w:rPr>
          <w:rFonts w:ascii="Arial" w:cs="Arial" w:eastAsia="Arial" w:hAnsi="Arial"/>
          <w:color w:val="1F2937"/>
          <w:sz w:val="22"/>
          <w:szCs w:val="22"/>
        </w:rPr>
        <w:t xml:space="preserve">Vega-Lite handles chart rendering exclusively. The React application layer handles everything else.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Section layout: </w:t>
      </w:r>
      <w:r>
        <w:rPr>
          <w:rFonts w:ascii="Arial" w:cs="Arial" w:eastAsia="Arial" w:hAnsi="Arial"/>
          <w:color w:val="1F2937"/>
          <w:sz w:val="22"/>
          <w:szCs w:val="22"/>
        </w:rPr>
        <w:t xml:space="preserve">CSS Grid-based responsive layout. Sections render as full-width blocks. Components arranged in a configurable column grid (1, 2, 3, or 4 columns). Below 768px all layouts collapse to single-column stacking.</w:t>
      </w:r>
    </w:p>
    <w:p>
      <w:pPr>
        <w:pStyle w:val="ListParagraph"/>
        <w:numPr>
          <w:ilvl w:val="0"/>
          <w:numId w:val="2"/>
        </w:numPr>
        <w:spacing w:after="40" w:before="40"/>
        <w:ind w:left="720" w:hanging="360"/>
      </w:pPr>
      <w:r>
        <w:rPr>
          <w:rFonts w:ascii="Arial" w:cs="Arial" w:eastAsia="Arial" w:hAnsi="Arial"/>
          <w:b/>
          <w:bCs/>
          <w:color w:val="1E2B5C"/>
          <w:sz w:val="22"/>
          <w:szCs w:val="22"/>
        </w:rPr>
        <w:t xml:space="preserve">KPI cards: </w:t>
      </w:r>
      <w:r>
        <w:rPr>
          <w:rFonts w:ascii="Arial" w:cs="Arial" w:eastAsia="Arial" w:hAnsi="Arial"/>
          <w:color w:val="1F2937"/>
          <w:sz w:val="22"/>
          <w:szCs w:val="22"/>
        </w:rPr>
        <w:t xml:space="preserve">Rendered from the data contract value formatted according to the metric's format specification. Comparison values from separate comparison query contracts. Trend arrows and percentage deltas computed client-side.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Global filters: </w:t>
      </w:r>
      <w:r>
        <w:rPr>
          <w:rFonts w:ascii="Arial" w:cs="Arial" w:eastAsia="Arial" w:hAnsi="Arial"/>
          <w:color w:val="1F2937"/>
          <w:sz w:val="22"/>
          <w:szCs w:val="22"/>
        </w:rPr>
        <w:t xml:space="preserve">Sticky filter bar at the top of the dashboard. Filter changes trigger re-execution of all query contracts with new filter values. All Vega-Lite renderers update simultaneously via the unified state store.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Cross-filtering: </w:t>
      </w:r>
      <w:r>
        <w:rPr>
          <w:rFonts w:ascii="Arial" w:cs="Arial" w:eastAsia="Arial" w:hAnsi="Arial"/>
          <w:color w:val="1F2937"/>
          <w:sz w:val="22"/>
          <w:szCs w:val="22"/>
        </w:rPr>
        <w:t xml:space="preserve">Clicking a chart element sets a cross-filter value in the unified state store. All other chart renderers update with an additional filter transform applied. Active cross-filter shows as a chip in the header bar.</w:t>
      </w:r>
    </w:p>
    <w:p>
      <w:pPr>
        <w:pStyle w:val="ListParagraph"/>
        <w:numPr>
          <w:ilvl w:val="0"/>
          <w:numId w:val="2"/>
        </w:numPr>
        <w:spacing w:after="40" w:before="40"/>
        <w:ind w:left="720" w:hanging="360"/>
      </w:pPr>
      <w:r>
        <w:rPr>
          <w:rFonts w:ascii="Arial" w:cs="Arial" w:eastAsia="Arial" w:hAnsi="Arial"/>
          <w:b/>
          <w:bCs/>
          <w:color w:val="1E2B5C"/>
          <w:sz w:val="22"/>
          <w:szCs w:val="22"/>
        </w:rPr>
        <w:t xml:space="preserve">Drill-through drawer: </w:t>
      </w:r>
      <w:r>
        <w:rPr>
          <w:rFonts w:ascii="Arial" w:cs="Arial" w:eastAsia="Arial" w:hAnsi="Arial"/>
          <w:color w:val="1F2937"/>
          <w:sz w:val="22"/>
          <w:szCs w:val="22"/>
        </w:rPr>
        <w:t xml:space="preserve">Double-clicking a chart element opens a right-side drawer fetching grain-level rows from the gold layer API, capped at 1,000 rows, rendered as a sortable table with CSV export. Drill state is URL-hash-serializable so sharing the URL shares the drilled view.</w:t>
      </w:r>
    </w:p>
    <w:p>
      <w:pPr>
        <w:pStyle w:val="ListParagraph"/>
        <w:numPr>
          <w:ilvl w:val="0"/>
          <w:numId w:val="2"/>
        </w:numPr>
        <w:spacing w:after="40" w:before="40"/>
        <w:ind w:left="720" w:hanging="360"/>
      </w:pPr>
      <w:r>
        <w:rPr>
          <w:rFonts w:ascii="Arial" w:cs="Arial" w:eastAsia="Arial" w:hAnsi="Arial"/>
          <w:b/>
          <w:bCs/>
          <w:color w:val="1E2B5C"/>
          <w:sz w:val="22"/>
          <w:szCs w:val="22"/>
        </w:rPr>
        <w:t xml:space="preserve">State management: </w:t>
      </w:r>
      <w:r>
        <w:rPr>
          <w:rFonts w:ascii="Arial" w:cs="Arial" w:eastAsia="Arial" w:hAnsi="Arial"/>
          <w:color w:val="1F2937"/>
          <w:sz w:val="22"/>
          <w:szCs w:val="22"/>
        </w:rPr>
        <w:t xml:space="preserve">Single window.__analytiq_state object holds all filter values, cross-filter selections, active drill dimensions, and annotation visibility flags. All filter updates route through a single updateFilters function that re-renders all panels simultaneously.</w:t>
      </w:r>
    </w:p>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IX — Stage 7: Predictive Model Training</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4338CA"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ROLE</w:t>
            </w:r>
          </w:p>
        </w:tc>
        <w:tc>
          <w:tcPr>
            <w:tcW w:type="dxa" w:w="9120"/>
            <w:shd w:fill="EEF2FF" w:val="clear"/>
            <w:tcMar>
              <w:top w:type="dxa" w:w="80"/>
              <w:left w:type="dxa" w:w="180"/>
              <w:bottom w:type="dxa" w:w="80"/>
              <w:right w:type="dxa" w:w="120"/>
            </w:tcMar>
          </w:tcPr>
          <w:p>
            <w:r>
              <w:rPr>
                <w:rFonts w:ascii="Arial" w:cs="Arial" w:eastAsia="Arial" w:hAnsi="Arial"/>
                <w:color w:val="1F2937"/>
                <w:sz w:val="21"/>
                <w:szCs w:val="21"/>
              </w:rPr>
              <w:t xml:space="preserve">For sessions with output_type model_plus_dashboard or model_only: train candidate predictive models using the Stage 4 gold table, validate with walk-forward backtesting, promote only models meeting defined thresholds, and write gold layer prediction tables that feed additional artifact panels.</w:t>
            </w:r>
          </w:p>
        </w:tc>
      </w:tr>
    </w:tbl>
    <w:p>
      <w:pPr>
        <w:spacing w:after="0" w:before="240"/>
      </w:pPr>
    </w:p>
    <w:p>
      <w:pPr>
        <w:pStyle w:val="Heading2"/>
        <w:spacing w:after="120" w:before="400"/>
      </w:pPr>
      <w:r>
        <w:rPr>
          <w:rFonts w:ascii="Arial" w:cs="Arial" w:eastAsia="Arial" w:hAnsi="Arial"/>
          <w:b/>
          <w:bCs/>
          <w:color w:val="1E2B5C"/>
          <w:sz w:val="30"/>
          <w:szCs w:val="30"/>
        </w:rPr>
        <w:t xml:space="preserve">9.1 Model Selection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960"/>
      </w:tblGrid>
      <w:tr>
        <w:trPr>
          <w:tblHeader/>
        </w:trPr>
        <w:tc>
          <w:tcPr>
            <w:tcW w:type="dxa" w:w="22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Target Type</w:t>
            </w:r>
          </w:p>
        </w:tc>
        <w:tc>
          <w:tcPr>
            <w:tcW w:type="dxa" w:w="18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Primary</w:t>
            </w:r>
          </w:p>
        </w:tc>
        <w:tc>
          <w:tcPr>
            <w:tcW w:type="dxa" w:w="18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Secondary</w:t>
            </w:r>
          </w:p>
        </w:tc>
        <w:tc>
          <w:tcPr>
            <w:tcW w:type="dxa" w:w="18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9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Ensemble Condition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Continuous regression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XGBoost regressor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LightGBM regressor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Ridge regression</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Top-2 validation MAPE within 3 percent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Binary classification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XGBoost classifier</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LightGBM classifier</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Logistic regression</w:t>
            </w:r>
          </w:p>
        </w:tc>
        <w:tc>
          <w:tcPr>
            <w:tcW w:type="dxa" w:w="1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Top-2 validation AUC within 0.02</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Multiclass classification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XGBoost multiclass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LightGBM multiclass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Multinomial logistic</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Top-2 within 3 percent macro-F1</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Pure time-series (date grain, no non-temporal features)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Prophet with seasonality</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XGBoost with temporal features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Ridge regression</w:t>
            </w:r>
          </w:p>
        </w:tc>
        <w:tc>
          <w:tcPr>
            <w:tcW w:type="dxa" w:w="1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Not applied for Prophet primary</w:t>
            </w:r>
          </w:p>
        </w:tc>
      </w:tr>
    </w:tbl>
    <w:p>
      <w:pPr>
        <w:spacing w:after="0" w:before="160"/>
      </w:pPr>
    </w:p>
    <w:p>
      <w:pPr>
        <w:pStyle w:val="Heading2"/>
        <w:spacing w:after="120" w:before="400"/>
      </w:pPr>
      <w:r>
        <w:rPr>
          <w:rFonts w:ascii="Arial" w:cs="Arial" w:eastAsia="Arial" w:hAnsi="Arial"/>
          <w:b/>
          <w:bCs/>
          <w:color w:val="1E2B5C"/>
          <w:sz w:val="30"/>
          <w:szCs w:val="30"/>
        </w:rPr>
        <w:t xml:space="preserve">9.2 Walk-Forward Backtesting Protocol</w:t>
      </w:r>
    </w:p>
    <w:p>
      <w:pPr>
        <w:spacing w:after="60" w:before="60"/>
      </w:pPr>
      <w:r>
        <w:rPr>
          <w:rFonts w:ascii="Arial" w:cs="Arial" w:eastAsia="Arial" w:hAnsi="Arial"/>
          <w:color w:val="1F2937"/>
          <w:sz w:val="22"/>
          <w:szCs w:val="22"/>
        </w:rPr>
        <w:t xml:space="preserve">Static train-test splits are prohibited on all temporal data without exception.</w:t>
      </w:r>
    </w:p>
    <w:p>
      <w:pPr>
        <w:pStyle w:val="ListParagraph"/>
        <w:numPr>
          <w:ilvl w:val="0"/>
          <w:numId w:val="3"/>
        </w:numPr>
        <w:spacing w:after="40" w:before="40"/>
        <w:ind w:left="720" w:hanging="360"/>
      </w:pPr>
      <w:r>
        <w:rPr>
          <w:rFonts w:ascii="Arial" w:cs="Arial" w:eastAsia="Arial" w:hAnsi="Arial"/>
          <w:color w:val="1F2937"/>
          <w:sz w:val="22"/>
          <w:szCs w:val="22"/>
        </w:rPr>
        <w:t xml:space="preserve">Divide training data into 5 equally-sized expanding windows.</w:t>
      </w:r>
    </w:p>
    <w:p>
      <w:pPr>
        <w:pStyle w:val="ListParagraph"/>
        <w:numPr>
          <w:ilvl w:val="0"/>
          <w:numId w:val="3"/>
        </w:numPr>
        <w:spacing w:after="40" w:before="40"/>
        <w:ind w:left="720" w:hanging="360"/>
      </w:pPr>
      <w:r>
        <w:rPr>
          <w:rFonts w:ascii="Arial" w:cs="Arial" w:eastAsia="Arial" w:hAnsi="Arial"/>
          <w:color w:val="1F2937"/>
          <w:sz w:val="22"/>
          <w:szCs w:val="22"/>
        </w:rPr>
        <w:t xml:space="preserve">For window i, train on windows 1 through i and predict on window i plus 1.</w:t>
      </w:r>
    </w:p>
    <w:p>
      <w:pPr>
        <w:pStyle w:val="ListParagraph"/>
        <w:numPr>
          <w:ilvl w:val="0"/>
          <w:numId w:val="3"/>
        </w:numPr>
        <w:spacing w:after="40" w:before="40"/>
        <w:ind w:left="720" w:hanging="360"/>
      </w:pPr>
      <w:r>
        <w:rPr>
          <w:rFonts w:ascii="Arial" w:cs="Arial" w:eastAsia="Arial" w:hAnsi="Arial"/>
          <w:color w:val="1F2937"/>
          <w:sz w:val="22"/>
          <w:szCs w:val="22"/>
        </w:rPr>
        <w:t xml:space="preserve">Compute MAPE, RMSE, and directional accuracy for each window.</w:t>
      </w:r>
    </w:p>
    <w:p>
      <w:pPr>
        <w:pStyle w:val="ListParagraph"/>
        <w:numPr>
          <w:ilvl w:val="0"/>
          <w:numId w:val="3"/>
        </w:numPr>
        <w:spacing w:after="40" w:before="40"/>
        <w:ind w:left="720" w:hanging="360"/>
      </w:pPr>
      <w:r>
        <w:rPr>
          <w:rFonts w:ascii="Arial" w:cs="Arial" w:eastAsia="Arial" w:hAnsi="Arial"/>
          <w:color w:val="1F2937"/>
          <w:sz w:val="22"/>
          <w:szCs w:val="22"/>
        </w:rPr>
        <w:t xml:space="preserve">Report validation metric as the mean across all 5 windows.</w:t>
      </w:r>
    </w:p>
    <w:p>
      <w:pPr>
        <w:pStyle w:val="ListParagraph"/>
        <w:numPr>
          <w:ilvl w:val="0"/>
          <w:numId w:val="3"/>
        </w:numPr>
        <w:spacing w:after="40" w:before="40"/>
        <w:ind w:left="720" w:hanging="360"/>
      </w:pPr>
      <w:r>
        <w:rPr>
          <w:rFonts w:ascii="Arial" w:cs="Arial" w:eastAsia="Arial" w:hAnsi="Arial"/>
          <w:color w:val="1F2937"/>
          <w:sz w:val="22"/>
          <w:szCs w:val="22"/>
        </w:rPr>
        <w:t xml:space="preserve">The worst single window MAPE must not exceed 1.5 times the mean. Exceeding this triggers a catastrophic window alert.</w:t>
      </w:r>
    </w:p>
    <w:p>
      <w:pPr>
        <w:pStyle w:val="ListParagraph"/>
        <w:numPr>
          <w:ilvl w:val="0"/>
          <w:numId w:val="3"/>
        </w:numPr>
        <w:spacing w:after="40" w:before="40"/>
        <w:ind w:left="720" w:hanging="360"/>
      </w:pPr>
      <w:r>
        <w:rPr>
          <w:rFonts w:ascii="Arial" w:cs="Arial" w:eastAsia="Arial" w:hAnsi="Arial"/>
          <w:color w:val="1F2937"/>
          <w:sz w:val="22"/>
          <w:szCs w:val="22"/>
        </w:rPr>
        <w:t xml:space="preserve">The held-out test set (most recent 15 percent) is used only for the promotion decision, never for hyperparameter tuning.</w:t>
      </w:r>
    </w:p>
    <w:p>
      <w:pPr>
        <w:pStyle w:val="Heading2"/>
        <w:spacing w:after="120" w:before="400"/>
      </w:pPr>
      <w:r>
        <w:rPr>
          <w:rFonts w:ascii="Arial" w:cs="Arial" w:eastAsia="Arial" w:hAnsi="Arial"/>
          <w:b/>
          <w:bCs/>
          <w:color w:val="1E2B5C"/>
          <w:sz w:val="30"/>
          <w:szCs w:val="30"/>
        </w:rPr>
        <w:t xml:space="preserve">9.3 Promotion Criteria — All Must Pass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2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3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Validation MAPE (regression)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Below 15 percent</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Operationally meaningful accuracy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Worst walk-forward window MAPE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Below 25 percent</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 catastrophic failure in any time window</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Test MAPE vs validation MAPE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Test does not exceed validation times 1.2</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Overfitting detection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Feature importance concentration</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Top 10 features explain 70 percent or more of variance</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Model uses meaningful signals not noise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Calibration for classification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Brier score below 0.2</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Predicted probabilities are trustworthy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Training time ceiling</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Below 15 minutes wall clock</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Triggers async path if exceeded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Minimum test set size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100 or more rows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Promotion decision has statistical power</w:t>
            </w:r>
          </w:p>
        </w:tc>
      </w:tr>
    </w:tbl>
    <w:p>
      <w:pPr>
        <w:spacing w:after="0" w:before="160"/>
      </w:pPr>
    </w:p>
    <w:p>
      <w:pPr>
        <w:pStyle w:val="Heading2"/>
        <w:spacing w:after="120" w:before="400"/>
      </w:pPr>
      <w:r>
        <w:rPr>
          <w:rFonts w:ascii="Arial" w:cs="Arial" w:eastAsia="Arial" w:hAnsi="Arial"/>
          <w:b/>
          <w:bCs/>
          <w:color w:val="1E2B5C"/>
          <w:sz w:val="30"/>
          <w:szCs w:val="30"/>
        </w:rPr>
        <w:t xml:space="preserve">9.4 Targeted Repair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Failure Criterion</w:t>
            </w:r>
          </w:p>
        </w:tc>
        <w:tc>
          <w:tcPr>
            <w:tcW w:type="dxa" w:w="61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Targeted Repair Action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Validation MAPE above 15 percent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Double hyperparameter search space n_trials; re-introduce top 3 dropped collinear features as candidates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Overfitting detected</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Increase regularization (XGBoost reg_lambda; LightGBM min_child_samples); reduce max_depth by 1</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Feature importance too diffuse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Apply recursive feature elimination; retrain with top 30 features only</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Worst walk-forward window failure</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Add calendar features specific to that window's time period; audit data quality for anomalies in that window</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Training time exceeded</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Switch primary to LightGBM; reduce n_trials to 15; enable early stopping</w:t>
            </w:r>
          </w:p>
        </w:tc>
      </w:tr>
    </w:tbl>
    <w:p>
      <w:pPr>
        <w:spacing w:after="0" w:before="160"/>
      </w:pPr>
    </w:p>
    <w:p>
      <w:pPr>
        <w:pStyle w:val="Heading2"/>
        <w:spacing w:after="120" w:before="400"/>
      </w:pPr>
      <w:r>
        <w:rPr>
          <w:rFonts w:ascii="Arial" w:cs="Arial" w:eastAsia="Arial" w:hAnsi="Arial"/>
          <w:b/>
          <w:bCs/>
          <w:color w:val="1E2B5C"/>
          <w:sz w:val="30"/>
          <w:szCs w:val="30"/>
        </w:rPr>
        <w:t xml:space="preserve">9.5 Model Trial Leaderboard</w:t>
      </w:r>
    </w:p>
    <w:p>
      <w:pPr>
        <w:spacing w:after="60" w:before="60"/>
      </w:pPr>
      <w:r>
        <w:rPr>
          <w:rFonts w:ascii="Arial" w:cs="Arial" w:eastAsia="Arial" w:hAnsi="Arial"/>
          <w:color w:val="1F2937"/>
          <w:sz w:val="22"/>
          <w:szCs w:val="22"/>
        </w:rPr>
        <w:t xml:space="preserve">Every algorithm and hyperparameter combination evaluated during training is recorded in a leaderboard table alongside the model card. Fields: trial_id, algorithm, hyperparameters JSON, validation_mape, test_mape, training_duration_seconds, walk_forward_mapes array, promoted boolean, trade_off_summary string. The trade-off summary is a one-sentence plain-English comparison to the promoted model. The leaderboard surfaces in the artifact as a dedicated panel, and users can override the champion via a Switch to this model button that triggers a Stage 5 re-run with the selected model. Champion overrides are logged to the workspace audit log as a first-class event.</w:t>
      </w:r>
    </w:p>
    <w:p>
      <w:pPr>
        <w:pStyle w:val="Heading2"/>
        <w:spacing w:after="120" w:before="400"/>
      </w:pPr>
      <w:r>
        <w:rPr>
          <w:rFonts w:ascii="Arial" w:cs="Arial" w:eastAsia="Arial" w:hAnsi="Arial"/>
          <w:b/>
          <w:bCs/>
          <w:color w:val="1E2B5C"/>
          <w:sz w:val="30"/>
          <w:szCs w:val="30"/>
        </w:rPr>
        <w:t xml:space="preserve">9.6 Gold Layer Prediction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2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25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gold.predictions_{model_id}</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grain_keys, actual_value, predicted_value, lower_ci_95, upper_ci_95, residual, split, prediction_date, model_id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Scored actuals and forward forecasts with confidence intervals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gold.model_insights_{model_id}</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grain_keys, feature_name, shap_value, feature_value, abs_shap_rank, model_id</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Per-row SHAP explainability values for top features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gold.forecast_{model_id}_{horizon}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grain_keys, predicted_value, lower_ci_95, upper_ci_95, prediction_date, model_id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Forward-looking predictions beyond the last actual date</w:t>
            </w:r>
          </w:p>
        </w:tc>
      </w:tr>
    </w:tbl>
    <w:p>
      <w:pPr>
        <w:spacing w:after="0" w:before="160"/>
      </w:pPr>
    </w:p>
    <w:p>
      <w:pPr>
        <w:pStyle w:val="Heading2"/>
        <w:spacing w:after="120" w:before="400"/>
      </w:pPr>
      <w:r>
        <w:rPr>
          <w:rFonts w:ascii="Arial" w:cs="Arial" w:eastAsia="Arial" w:hAnsi="Arial"/>
          <w:b/>
          <w:bCs/>
          <w:color w:val="1E2B5C"/>
          <w:sz w:val="30"/>
          <w:szCs w:val="30"/>
        </w:rPr>
        <w:t xml:space="preserve">9.7 Champion-Challenger Framework</w:t>
      </w:r>
    </w:p>
    <w:p>
      <w:pPr>
        <w:spacing w:after="60" w:before="60"/>
      </w:pPr>
      <w:r>
        <w:rPr>
          <w:rFonts w:ascii="Arial" w:cs="Arial" w:eastAsia="Arial" w:hAnsi="Arial"/>
          <w:color w:val="1F2937"/>
          <w:sz w:val="22"/>
          <w:szCs w:val="22"/>
        </w:rPr>
        <w:t xml:space="preserve">When a new model trains against an existing artifact, the new model deploys as a challenger. For 14 days both models score incoming actuals. If the challenger's rolling MAPE is more than 5 percent better than the champion's over this live period, it is automatically promoted and the champion archived. If the challenger underperforms, it is archived without promotion. Both models' daily MAPE over the comparison window surface in the artifact leaderboard panel as a live performance comparison.</w:t>
      </w:r>
    </w:p>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X — Stages 8 and 9: Critic Review, Repair, and Artifact Assembly</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DC4A2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ROLE</w:t>
            </w:r>
          </w:p>
        </w:tc>
        <w:tc>
          <w:tcPr>
            <w:tcW w:type="dxa" w:w="9120"/>
            <w:shd w:fill="FEE2D5" w:val="clear"/>
            <w:tcMar>
              <w:top w:type="dxa" w:w="80"/>
              <w:left w:type="dxa" w:w="180"/>
              <w:bottom w:type="dxa" w:w="80"/>
              <w:right w:type="dxa" w:w="120"/>
            </w:tcMar>
          </w:tcPr>
          <w:p>
            <w:r>
              <w:rPr>
                <w:rFonts w:ascii="Arial" w:cs="Arial" w:eastAsia="Arial" w:hAnsi="Arial"/>
                <w:color w:val="1F2937"/>
                <w:sz w:val="21"/>
                <w:szCs w:val="21"/>
              </w:rPr>
              <w:t xml:space="preserve">Stage 8 applies a skeptical quality review across the full dashboard plan and all Vega-Lite specs, then executes targeted repairs. Stage 9 assembles the final self-contained hostable artifact, runs a deterministic post-assembly validator, and delivers the artifact to the workspace.</w:t>
            </w:r>
          </w:p>
        </w:tc>
      </w:tr>
    </w:tbl>
    <w:p>
      <w:pPr>
        <w:spacing w:after="0" w:before="240"/>
      </w:pPr>
    </w:p>
    <w:p>
      <w:pPr>
        <w:pStyle w:val="Heading2"/>
        <w:spacing w:after="120" w:before="400"/>
      </w:pPr>
      <w:r>
        <w:rPr>
          <w:rFonts w:ascii="Arial" w:cs="Arial" w:eastAsia="Arial" w:hAnsi="Arial"/>
          <w:b/>
          <w:bCs/>
          <w:color w:val="1E2B5C"/>
          <w:sz w:val="30"/>
          <w:szCs w:val="30"/>
        </w:rPr>
        <w:t xml:space="preserve">10.1 Critic Agent System Prompt</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DC4A2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AGENT PROMPT</w:t>
            </w:r>
          </w:p>
        </w:tc>
        <w:tc>
          <w:tcPr>
            <w:tcW w:type="dxa" w:w="9120"/>
            <w:shd w:fill="FEE2D5" w:val="clear"/>
            <w:tcMar>
              <w:top w:type="dxa" w:w="80"/>
              <w:left w:type="dxa" w:w="180"/>
              <w:bottom w:type="dxa" w:w="80"/>
              <w:right w:type="dxa" w:w="120"/>
            </w:tcMar>
          </w:tcPr>
          <w:p>
            <w:r>
              <w:rPr>
                <w:rFonts w:ascii="Arial" w:cs="Arial" w:eastAsia="Arial" w:hAnsi="Arial"/>
                <w:color w:val="1F2937"/>
                <w:sz w:val="21"/>
                <w:szCs w:val="21"/>
              </w:rPr>
              <w:t xml:space="preserve">You are a dashboard critic agent. You are intentionally skeptical. You receive the complete dashboard_plan and all vega_lite_specs.
Check for: charts with too many categories that will be unreadable (nominal axis with above 15 values and no Top-N limit). Time-series charts without meaningful trend visible (fewer than 7 data points). KPI cards without comparison values when comparison was specified. Sections that answer the same question as another section with no added value. Components where comparison query returned no data. Any Vega-Lite spec where the primary insight is obscured by scale (very small values next to very large on the same axis without dual-axis treatment). Dashboards with more than 4 sections not organized summary to detail.
For each issue output a repair_instruction with: component_id or section_id, issue_type, severity (critical blocks delivery, warning surfaces to user), and exact_fix_description. Do not generate fixes yourself.</w:t>
            </w:r>
          </w:p>
        </w:tc>
      </w:tr>
    </w:tbl>
    <w:p>
      <w:pPr>
        <w:spacing w:after="0" w:before="160"/>
      </w:pPr>
    </w:p>
    <w:p>
      <w:pPr>
        <w:pStyle w:val="Heading2"/>
        <w:spacing w:after="120" w:before="400"/>
      </w:pPr>
      <w:r>
        <w:rPr>
          <w:rFonts w:ascii="Arial" w:cs="Arial" w:eastAsia="Arial" w:hAnsi="Arial"/>
          <w:b/>
          <w:bCs/>
          <w:color w:val="1E2B5C"/>
          <w:sz w:val="30"/>
          <w:szCs w:val="30"/>
        </w:rPr>
        <w:t xml:space="preserve">10.2 Repair Agent Targeted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Issue Type</w:t>
            </w:r>
          </w:p>
        </w:tc>
        <w:tc>
          <w:tcPr>
            <w:tcW w:type="dxa" w:w="65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Repair Action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Too many categories on nominal axis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Add Top-N transform filter; default N to 15; add footnote to chart title noting Top-15 shown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Too few data points for time-series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Convert line chart to bar or KPI; notify planner agent of data density issue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Missing comparison values on KPI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Re-run comparison query with expanded date range; if still empty remove comparison encoding and log failure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Duplicate sections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Merge duplicate sections; preserve richer component set; update section titles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Scale obscuring primary insight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Add log scale transform on y-axis; or split into two charts with independent y-axes; prefer split for clarity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Sections not summary-to-detail ordered</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Re-order: KPI row first, then trend charts, then breakdowns, then tables and details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Invalid Vega-Lite field reference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Remove the offending encoding; if required for chart type, convert component to table fallback</w:t>
            </w:r>
          </w:p>
        </w:tc>
      </w:tr>
    </w:tbl>
    <w:p>
      <w:pPr>
        <w:spacing w:after="0" w:before="160"/>
      </w:pPr>
    </w:p>
    <w:p>
      <w:pPr>
        <w:pStyle w:val="Heading2"/>
        <w:spacing w:after="120" w:before="400"/>
      </w:pPr>
      <w:r>
        <w:rPr>
          <w:rFonts w:ascii="Arial" w:cs="Arial" w:eastAsia="Arial" w:hAnsi="Arial"/>
          <w:b/>
          <w:bCs/>
          <w:color w:val="1E2B5C"/>
          <w:sz w:val="30"/>
          <w:szCs w:val="30"/>
        </w:rPr>
        <w:t xml:space="preserve">10.3 Repair Loop Limits</w:t>
      </w:r>
    </w:p>
    <w:p>
      <w:pPr>
        <w:spacing w:after="60" w:before="60"/>
      </w:pPr>
      <w:r>
        <w:rPr>
          <w:rFonts w:ascii="Arial" w:cs="Arial" w:eastAsia="Arial" w:hAnsi="Arial"/>
          <w:color w:val="1F2937"/>
          <w:sz w:val="22"/>
          <w:szCs w:val="22"/>
        </w:rPr>
        <w:t xml:space="preserve">Maximum 2 repair cycles per failed component or section. Maximum 3 total repair cycles across the full dashboard before the orchestrator halts and presents the user with a plain-English summary of what could not be resolved and what information would allow the pipeline to proceed.</w:t>
      </w:r>
    </w:p>
    <w:p>
      <w:pPr>
        <w:pStyle w:val="Heading2"/>
        <w:spacing w:after="120" w:before="400"/>
      </w:pPr>
      <w:r>
        <w:rPr>
          <w:rFonts w:ascii="Arial" w:cs="Arial" w:eastAsia="Arial" w:hAnsi="Arial"/>
          <w:b/>
          <w:bCs/>
          <w:color w:val="1E2B5C"/>
          <w:sz w:val="30"/>
          <w:szCs w:val="30"/>
        </w:rPr>
        <w:t xml:space="preserve">10.4 Artifact Assembly</w:t>
      </w:r>
    </w:p>
    <w:p>
      <w:pPr>
        <w:pStyle w:val="ListParagraph"/>
        <w:numPr>
          <w:ilvl w:val="0"/>
          <w:numId w:val="2"/>
        </w:numPr>
        <w:spacing w:after="40" w:before="40"/>
        <w:ind w:left="720" w:hanging="360"/>
      </w:pPr>
      <w:r>
        <w:rPr>
          <w:rFonts w:ascii="Arial" w:cs="Arial" w:eastAsia="Arial" w:hAnsi="Arial"/>
          <w:b/>
          <w:bCs/>
          <w:color w:val="1E2B5C"/>
          <w:sz w:val="22"/>
          <w:szCs w:val="22"/>
        </w:rPr>
        <w:t xml:space="preserve">Data layer: </w:t>
      </w:r>
      <w:r>
        <w:rPr>
          <w:rFonts w:ascii="Arial" w:cs="Arial" w:eastAsia="Arial" w:hAnsi="Arial"/>
          <w:color w:val="1F2937"/>
          <w:sz w:val="22"/>
          <w:szCs w:val="22"/>
        </w:rPr>
        <w:t xml:space="preserve">All chart data is fetched at artifact load time via authenticated REST API calls to the gold layer query API. No data is embedded in the HTML file. This keeps file size below 250KB and ensures the artifact always shows current data.</w:t>
      </w:r>
    </w:p>
    <w:p>
      <w:pPr>
        <w:pStyle w:val="ListParagraph"/>
        <w:numPr>
          <w:ilvl w:val="0"/>
          <w:numId w:val="2"/>
        </w:numPr>
        <w:spacing w:after="40" w:before="40"/>
        <w:ind w:left="720" w:hanging="360"/>
      </w:pPr>
      <w:r>
        <w:rPr>
          <w:rFonts w:ascii="Arial" w:cs="Arial" w:eastAsia="Arial" w:hAnsi="Arial"/>
          <w:b/>
          <w:bCs/>
          <w:color w:val="1E2B5C"/>
          <w:sz w:val="22"/>
          <w:szCs w:val="22"/>
        </w:rPr>
        <w:t xml:space="preserve">Rendering layer: </w:t>
      </w:r>
      <w:r>
        <w:rPr>
          <w:rFonts w:ascii="Arial" w:cs="Arial" w:eastAsia="Arial" w:hAnsi="Arial"/>
          <w:color w:val="1F2937"/>
          <w:sz w:val="22"/>
          <w:szCs w:val="22"/>
        </w:rPr>
        <w:t xml:space="preserve">Vega-Lite specs are rendered using Vega-Embed loaded from the cdnjs CDN. The application layer renders KPI cards, filter bars, table components, drill-through drawers, and annotation overlays.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State management: </w:t>
      </w:r>
      <w:r>
        <w:rPr>
          <w:rFonts w:ascii="Arial" w:cs="Arial" w:eastAsia="Arial" w:hAnsi="Arial"/>
          <w:color w:val="1F2937"/>
          <w:sz w:val="22"/>
          <w:szCs w:val="22"/>
        </w:rPr>
        <w:t xml:space="preserve">Single window.__analytiq_state object holds all filter values, cross-filter selections, active drill dimensions, and annotation visibility flags. All updates route through a single updateFilters function re-rendering all panels simultaneously.</w:t>
      </w:r>
    </w:p>
    <w:p>
      <w:pPr>
        <w:pStyle w:val="ListParagraph"/>
        <w:numPr>
          <w:ilvl w:val="0"/>
          <w:numId w:val="2"/>
        </w:numPr>
        <w:spacing w:after="40" w:before="40"/>
        <w:ind w:left="720" w:hanging="360"/>
      </w:pPr>
      <w:r>
        <w:rPr>
          <w:rFonts w:ascii="Arial" w:cs="Arial" w:eastAsia="Arial" w:hAnsi="Arial"/>
          <w:b/>
          <w:bCs/>
          <w:color w:val="1E2B5C"/>
          <w:sz w:val="22"/>
          <w:szCs w:val="22"/>
        </w:rPr>
        <w:t xml:space="preserve">Dark mode: </w:t>
      </w:r>
      <w:r>
        <w:rPr>
          <w:rFonts w:ascii="Arial" w:cs="Arial" w:eastAsia="Arial" w:hAnsi="Arial"/>
          <w:color w:val="1F2937"/>
          <w:sz w:val="22"/>
          <w:szCs w:val="22"/>
        </w:rPr>
        <w:t xml:space="preserve">All colors use CSS custom properties that auto-detect prefers-color-scheme. Vega-Lite specs use config properties referencing CSS variables rather than hardcoded hex values.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Accessibility: </w:t>
      </w:r>
      <w:r>
        <w:rPr>
          <w:rFonts w:ascii="Arial" w:cs="Arial" w:eastAsia="Arial" w:hAnsi="Arial"/>
          <w:color w:val="1F2937"/>
          <w:sz w:val="22"/>
          <w:szCs w:val="22"/>
        </w:rPr>
        <w:t xml:space="preserve">All Vega-Lite SVGs carry aria-label and role img. All filter controls have aria-label. Keyboard navigation supported on all interactive elements.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Error states: </w:t>
      </w:r>
      <w:r>
        <w:rPr>
          <w:rFonts w:ascii="Arial" w:cs="Arial" w:eastAsia="Arial" w:hAnsi="Arial"/>
          <w:color w:val="1F2937"/>
          <w:sz w:val="22"/>
          <w:szCs w:val="22"/>
        </w:rPr>
        <w:t xml:space="preserve">If any gold layer API call fails, the panel shows a bordered error card with the error type in plain English and a Retry button. Panels never blank.</w:t>
      </w:r>
    </w:p>
    <w:p>
      <w:pPr>
        <w:pStyle w:val="ListParagraph"/>
        <w:numPr>
          <w:ilvl w:val="0"/>
          <w:numId w:val="2"/>
        </w:numPr>
        <w:spacing w:after="40" w:before="40"/>
        <w:ind w:left="720" w:hanging="360"/>
      </w:pPr>
      <w:r>
        <w:rPr>
          <w:rFonts w:ascii="Arial" w:cs="Arial" w:eastAsia="Arial" w:hAnsi="Arial"/>
          <w:b/>
          <w:bCs/>
          <w:color w:val="1E2B5C"/>
          <w:sz w:val="22"/>
          <w:szCs w:val="22"/>
        </w:rPr>
        <w:t xml:space="preserve">Loading states: </w:t>
      </w:r>
      <w:r>
        <w:rPr>
          <w:rFonts w:ascii="Arial" w:cs="Arial" w:eastAsia="Arial" w:hAnsi="Arial"/>
          <w:color w:val="1F2937"/>
          <w:sz w:val="22"/>
          <w:szCs w:val="22"/>
        </w:rPr>
        <w:t xml:space="preserve">All panels show skeleton loaders during initial data fetch. Panels resolve progressively as API calls complete rather than blocking the full dashboard on the slowest query.</w:t>
      </w:r>
    </w:p>
    <w:p>
      <w:pPr>
        <w:pStyle w:val="Heading2"/>
        <w:spacing w:after="120" w:before="400"/>
      </w:pPr>
      <w:r>
        <w:rPr>
          <w:rFonts w:ascii="Arial" w:cs="Arial" w:eastAsia="Arial" w:hAnsi="Arial"/>
          <w:b/>
          <w:bCs/>
          <w:color w:val="1E2B5C"/>
          <w:sz w:val="30"/>
          <w:szCs w:val="30"/>
        </w:rPr>
        <w:t xml:space="preserve">10.5 Post-Assembly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2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1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On Failure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 hardcoded colors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 color hex values in inline CSS or Vega-Lite config</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Targeted repair to replace with CSS variable references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 data embedding</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 inline data arrays in any Vega-Lite spec</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Targeted repair to replace with data.name reference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Aria attributes present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SVG elements and interactive controls carry aria-label or role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Targeted repair to add missing attributes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 prohibited APIs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 localStorage, sessionStorage, or document.cookie usage</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Targeted repair to replace with in-memory state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fetches wrapped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fetch calls wrapped in try-catch with error state rendering</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Targeted repair to add error handling</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State management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window.__analytiq_state defined; all filter updates through updateFilters</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Targeted repair to centralize filter logic</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Meta tags present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analytiq-artifact-id and workspace-id meta tags in document head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Targeted repair to inject meta tags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File size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Uncompressed HTML below 250KB</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Apply minification; re-validate; surface if still over limit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Embed compliance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 renders in 680px wide iframe without horizontal scroll</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Targeted repair to fix overflow styles</w:t>
            </w:r>
          </w:p>
        </w:tc>
      </w:tr>
    </w:tbl>
    <w:p>
      <w:pPr>
        <w:spacing w:after="0" w:before="160"/>
      </w:pPr>
    </w:p>
    <w:p>
      <w:pPr>
        <w:pStyle w:val="Heading2"/>
        <w:spacing w:after="120" w:before="400"/>
      </w:pPr>
      <w:r>
        <w:rPr>
          <w:rFonts w:ascii="Arial" w:cs="Arial" w:eastAsia="Arial" w:hAnsi="Arial"/>
          <w:b/>
          <w:bCs/>
          <w:color w:val="1E2B5C"/>
          <w:sz w:val="30"/>
          <w:szCs w:val="30"/>
        </w:rPr>
        <w:t xml:space="preserve">10.6 Natural Language Annotations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Creation: </w:t>
      </w:r>
      <w:r>
        <w:rPr>
          <w:rFonts w:ascii="Arial" w:cs="Arial" w:eastAsia="Arial" w:hAnsi="Arial"/>
          <w:color w:val="1F2937"/>
          <w:sz w:val="22"/>
          <w:szCs w:val="22"/>
        </w:rPr>
        <w:t xml:space="preserve">Any viewer right-clicks or long-presses a data point. Grain key values and timestamp are captured automatically. User types up to 500 characters and selects a category: Operational Event, External Factor, Data Quality Note, Model Anomaly, or Business Decision.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Rendering: </w:t>
      </w:r>
      <w:r>
        <w:rPr>
          <w:rFonts w:ascii="Arial" w:cs="Arial" w:eastAsia="Arial" w:hAnsi="Arial"/>
          <w:color w:val="1F2937"/>
          <w:sz w:val="22"/>
          <w:szCs w:val="22"/>
        </w:rPr>
        <w:t xml:space="preserve">Marker dots on relevant chart panels at corresponding data point positions. Hovering shows annotation text, author, category, and timestamp. Togglable via show-hide control in the artifact header.</w:t>
      </w:r>
    </w:p>
    <w:p>
      <w:pPr>
        <w:pStyle w:val="ListParagraph"/>
        <w:numPr>
          <w:ilvl w:val="0"/>
          <w:numId w:val="2"/>
        </w:numPr>
        <w:spacing w:after="40" w:before="40"/>
        <w:ind w:left="720" w:hanging="360"/>
      </w:pPr>
      <w:r>
        <w:rPr>
          <w:rFonts w:ascii="Arial" w:cs="Arial" w:eastAsia="Arial" w:hAnsi="Arial"/>
          <w:b/>
          <w:bCs/>
          <w:color w:val="1E2B5C"/>
          <w:sz w:val="22"/>
          <w:szCs w:val="22"/>
        </w:rPr>
        <w:t xml:space="preserve">ML injection: </w:t>
      </w:r>
      <w:r>
        <w:rPr>
          <w:rFonts w:ascii="Arial" w:cs="Arial" w:eastAsia="Arial" w:hAnsi="Arial"/>
          <w:color w:val="1F2937"/>
          <w:sz w:val="22"/>
          <w:szCs w:val="22"/>
        </w:rPr>
        <w:t xml:space="preserve">When a new session covers the same grain and target metric as an annotated artifact, the session planner offers to inject is_annotated_event (binary) and annotation_category (one-hot-encoded) as features. These carry leakage_risk: 0.0.</w:t>
      </w:r>
    </w:p>
    <w:p>
      <w:pPr>
        <w:pStyle w:val="ListParagraph"/>
        <w:numPr>
          <w:ilvl w:val="0"/>
          <w:numId w:val="2"/>
        </w:numPr>
        <w:spacing w:after="40" w:before="40"/>
        <w:ind w:left="720" w:hanging="360"/>
      </w:pPr>
      <w:r>
        <w:rPr>
          <w:rFonts w:ascii="Arial" w:cs="Arial" w:eastAsia="Arial" w:hAnsi="Arial"/>
          <w:b/>
          <w:bCs/>
          <w:color w:val="1E2B5C"/>
          <w:sz w:val="22"/>
          <w:szCs w:val="22"/>
        </w:rPr>
        <w:t xml:space="preserve">Storage: </w:t>
      </w:r>
      <w:r>
        <w:rPr>
          <w:rFonts w:ascii="Arial" w:cs="Arial" w:eastAsia="Arial" w:hAnsi="Arial"/>
          <w:color w:val="1F2937"/>
          <w:sz w:val="22"/>
          <w:szCs w:val="22"/>
        </w:rPr>
        <w:t xml:space="preserve">annotation_id, artifact_id, grain_keys JSON, chart_panel_id, annotation_text, category, author_id, created_at, is_ml_feature_candidate boolean.</w:t>
      </w:r>
    </w:p>
    <w:p>
      <w:pPr>
        <w:pStyle w:val="Heading2"/>
        <w:spacing w:after="120" w:before="400"/>
      </w:pPr>
      <w:r>
        <w:rPr>
          <w:rFonts w:ascii="Arial" w:cs="Arial" w:eastAsia="Arial" w:hAnsi="Arial"/>
          <w:b/>
          <w:bCs/>
          <w:color w:val="1E2B5C"/>
          <w:sz w:val="30"/>
          <w:szCs w:val="30"/>
        </w:rPr>
        <w:t xml:space="preserve">10.7 Metric Alert Subscriptions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Definition: </w:t>
      </w:r>
      <w:r>
        <w:rPr>
          <w:rFonts w:ascii="Arial" w:cs="Arial" w:eastAsia="Arial" w:hAnsi="Arial"/>
          <w:color w:val="1F2937"/>
          <w:sz w:val="22"/>
          <w:szCs w:val="22"/>
        </w:rPr>
        <w:t xml:space="preserve">Any viewer creates a threshold rule: select metric, operator (greater than, less than, percent change week-over-week or month-over-month), threshold, and optional dimension scope.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Evaluation: </w:t>
      </w:r>
      <w:r>
        <w:rPr>
          <w:rFonts w:ascii="Arial" w:cs="Arial" w:eastAsia="Arial" w:hAnsi="Arial"/>
          <w:color w:val="1F2937"/>
          <w:sz w:val="22"/>
          <w:szCs w:val="22"/>
        </w:rPr>
        <w:t xml:space="preserve">On every scheduled artifact refresh, the alert service runs all active rules against new predictions and actuals. Uses actual_value where available, predicted_value for future periods.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Delivery: </w:t>
      </w:r>
      <w:r>
        <w:rPr>
          <w:rFonts w:ascii="Arial" w:cs="Arial" w:eastAsia="Arial" w:hAnsi="Arial"/>
          <w:color w:val="1F2937"/>
          <w:sz w:val="22"/>
          <w:szCs w:val="22"/>
        </w:rPr>
        <w:t xml:space="preserve">Email or Slack. Message includes metric name, current value, threshold, triggering dimension, and a deep link to the artifact pre-filtered to that dimension.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Muting: </w:t>
      </w:r>
      <w:r>
        <w:rPr>
          <w:rFonts w:ascii="Arial" w:cs="Arial" w:eastAsia="Arial" w:hAnsi="Arial"/>
          <w:color w:val="1F2937"/>
          <w:sz w:val="22"/>
          <w:szCs w:val="22"/>
        </w:rPr>
        <w:t xml:space="preserve">Subscribers mute for 1, 7, or 30 days directly from the notification without opening the artifact.</w:t>
      </w:r>
    </w:p>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XI — Workspace, Artifact Lifecycle, and Sharing</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9CA3AF"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ROLE</w:t>
            </w:r>
          </w:p>
        </w:tc>
        <w:tc>
          <w:tcPr>
            <w:tcW w:type="dxa" w:w="9120"/>
            <w:shd w:fill="F3F4F6" w:val="clear"/>
            <w:tcMar>
              <w:top w:type="dxa" w:w="80"/>
              <w:left w:type="dxa" w:w="180"/>
              <w:bottom w:type="dxa" w:w="80"/>
              <w:right w:type="dxa" w:w="120"/>
            </w:tcMar>
          </w:tcPr>
          <w:p>
            <w:r>
              <w:rPr>
                <w:rFonts w:ascii="Arial" w:cs="Arial" w:eastAsia="Arial" w:hAnsi="Arial"/>
                <w:color w:val="1F2937"/>
                <w:sz w:val="21"/>
                <w:szCs w:val="21"/>
              </w:rPr>
              <w:t xml:space="preserve">Manage the complete artifact lifecycle: versioning, access control, scheduled refresh, drift monitoring, share link generation, embed token issuance, and cross-account distribution. This is a deterministic service layer — no AI agents involved.</w:t>
            </w:r>
          </w:p>
        </w:tc>
      </w:tr>
    </w:tbl>
    <w:p>
      <w:pPr>
        <w:spacing w:after="0" w:before="240"/>
      </w:pPr>
    </w:p>
    <w:p>
      <w:pPr>
        <w:pStyle w:val="Heading2"/>
        <w:spacing w:after="120" w:before="400"/>
      </w:pPr>
      <w:r>
        <w:rPr>
          <w:rFonts w:ascii="Arial" w:cs="Arial" w:eastAsia="Arial" w:hAnsi="Arial"/>
          <w:b/>
          <w:bCs/>
          <w:color w:val="1E2B5C"/>
          <w:sz w:val="30"/>
          <w:szCs w:val="30"/>
        </w:rPr>
        <w:t xml:space="preserve">11.1 Workspace Artifact Record Schema</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11827" w:val="clear"/>
            <w:tcMar>
              <w:top w:type="dxa" w:w="120"/>
              <w:left w:type="dxa" w:w="200"/>
              <w:bottom w:type="dxa" w:w="120"/>
              <w:right w:type="dxa" w:w="200"/>
            </w:tcMar>
          </w:tcPr>
          <w:p>
            <w:r>
              <w:rPr>
                <w:rFonts w:ascii="Courier New" w:cs="Courier New" w:eastAsia="Courier New" w:hAnsi="Courier New"/>
                <w:color w:val="A5F3FC"/>
                <w:sz w:val="18"/>
                <w:szCs w:val="18"/>
              </w:rPr>
              <w:t xml:space="preserve">workspace_artifact: {
  artifact_id: uuid,
  name: string,
  description: string,
  owner_id: string,
  workspace_id: string,
  version: semver string,
  created_at: ISO8601,
  updated_at: ISO8601,
  session_spec: SessionSpec object,
  dashboard_plan_id: string,
  model_card_id: string or null,
  lineage: {
    source_tables: string array,
    gold_table: string,
    feature_manifest_version: string or null,
    governance_manifest_version: string,
    semantic_layer_version: string,
    model_id: string or null
  },
  access: [ { principal_id, principal_type: user | group | public, role: viewer | editor | owner } ],
  share_links: [ { token, expires_at, role, password_hash or null, created_by, view_count } ],
  embed_tokens: [ { token, scope: read_only | interactive, expires_at, allowed_origins: string array } ],
  refresh_schedule: { cron, timezone, paused: boolean },
  dq_monitor: { last_check, status: PASS | WARN | FAIL, alerts: array },
  artifact_url: string,
  embed_url: string,
  html_size_bytes: integer
}</w:t>
            </w:r>
          </w:p>
        </w:tc>
      </w:tr>
    </w:tbl>
    <w:p>
      <w:pPr>
        <w:spacing w:after="0" w:before="160"/>
      </w:pPr>
    </w:p>
    <w:p>
      <w:pPr>
        <w:pStyle w:val="Heading2"/>
        <w:spacing w:after="120" w:before="400"/>
      </w:pPr>
      <w:r>
        <w:rPr>
          <w:rFonts w:ascii="Arial" w:cs="Arial" w:eastAsia="Arial" w:hAnsi="Arial"/>
          <w:b/>
          <w:bCs/>
          <w:color w:val="1E2B5C"/>
          <w:sz w:val="30"/>
          <w:szCs w:val="30"/>
        </w:rPr>
        <w:t xml:space="preserve">11.2 Sharing Model</w:t>
      </w:r>
    </w:p>
    <w:p>
      <w:pPr>
        <w:pStyle w:val="ListParagraph"/>
        <w:numPr>
          <w:ilvl w:val="0"/>
          <w:numId w:val="2"/>
        </w:numPr>
        <w:spacing w:after="40" w:before="40"/>
        <w:ind w:left="720" w:hanging="360"/>
      </w:pPr>
      <w:r>
        <w:rPr>
          <w:rFonts w:ascii="Arial" w:cs="Arial" w:eastAsia="Arial" w:hAnsi="Arial"/>
          <w:b/>
          <w:bCs/>
          <w:color w:val="1E2B5C"/>
          <w:sz w:val="22"/>
          <w:szCs w:val="22"/>
        </w:rPr>
        <w:t xml:space="preserve">Within-workspace sharing: </w:t>
      </w:r>
      <w:r>
        <w:rPr>
          <w:rFonts w:ascii="Arial" w:cs="Arial" w:eastAsia="Arial" w:hAnsi="Arial"/>
          <w:color w:val="1F2937"/>
          <w:sz w:val="22"/>
          <w:szCs w:val="22"/>
        </w:rPr>
        <w:t xml:space="preserve">Three roles. Viewer: interact with filters, drill-through, annotations, create alert subscriptions. Editor: all Viewer plus fork to create a new session from the same pipeline state. Owner: full control including share link management, re-publication, and deletion.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Cross-workspace sharing: </w:t>
      </w:r>
      <w:r>
        <w:rPr>
          <w:rFonts w:ascii="Arial" w:cs="Arial" w:eastAsia="Arial" w:hAnsi="Arial"/>
          <w:color w:val="1F2937"/>
          <w:sz w:val="22"/>
          <w:szCs w:val="22"/>
        </w:rPr>
        <w:t xml:space="preserve">Admins enable cross-workspace sharing. Recipients receive a scoped embed token granting read-only access to the artifact's gold layer API endpoints for that artifact only. They never access source tables, the semantic layer, or any other workspace data.</w:t>
      </w:r>
    </w:p>
    <w:p>
      <w:pPr>
        <w:pStyle w:val="ListParagraph"/>
        <w:numPr>
          <w:ilvl w:val="0"/>
          <w:numId w:val="2"/>
        </w:numPr>
        <w:spacing w:after="40" w:before="40"/>
        <w:ind w:left="720" w:hanging="360"/>
      </w:pPr>
      <w:r>
        <w:rPr>
          <w:rFonts w:ascii="Arial" w:cs="Arial" w:eastAsia="Arial" w:hAnsi="Arial"/>
          <w:b/>
          <w:bCs/>
          <w:color w:val="1E2B5C"/>
          <w:sz w:val="22"/>
          <w:szCs w:val="22"/>
        </w:rPr>
        <w:t xml:space="preserve">Public share links: </w:t>
      </w:r>
      <w:r>
        <w:rPr>
          <w:rFonts w:ascii="Arial" w:cs="Arial" w:eastAsia="Arial" w:hAnsi="Arial"/>
          <w:color w:val="1F2937"/>
          <w:sz w:val="22"/>
          <w:szCs w:val="22"/>
        </w:rPr>
        <w:t xml:space="preserve">Password-optional with expiry from 1 hour to never. Rate-limited to 100 gold layer API requests per hour per artifact. View counts tracked in the artifact record.</w:t>
      </w:r>
    </w:p>
    <w:p>
      <w:pPr>
        <w:pStyle w:val="ListParagraph"/>
        <w:numPr>
          <w:ilvl w:val="0"/>
          <w:numId w:val="2"/>
        </w:numPr>
        <w:spacing w:after="40" w:before="40"/>
        <w:ind w:left="720" w:hanging="360"/>
      </w:pPr>
      <w:r>
        <w:rPr>
          <w:rFonts w:ascii="Arial" w:cs="Arial" w:eastAsia="Arial" w:hAnsi="Arial"/>
          <w:b/>
          <w:bCs/>
          <w:color w:val="1E2B5C"/>
          <w:sz w:val="22"/>
          <w:szCs w:val="22"/>
        </w:rPr>
        <w:t xml:space="preserve">Embed tokens: </w:t>
      </w:r>
      <w:r>
        <w:rPr>
          <w:rFonts w:ascii="Arial" w:cs="Arial" w:eastAsia="Arial" w:hAnsi="Arial"/>
          <w:color w:val="1F2937"/>
          <w:sz w:val="22"/>
          <w:szCs w:val="22"/>
        </w:rPr>
        <w:t xml:space="preserve">HS256 JWTs signed with a workspace-specific secret. Scoped to one artifact_id and one workspace_id. allowed_origins enforced server-side. Default expiry 24 hours, configurable to 1 year. read_only tokens cannot be elevated without re-issuance.</w:t>
      </w:r>
    </w:p>
    <w:p>
      <w:pPr>
        <w:pStyle w:val="Heading2"/>
        <w:spacing w:after="120" w:before="400"/>
      </w:pPr>
      <w:r>
        <w:rPr>
          <w:rFonts w:ascii="Arial" w:cs="Arial" w:eastAsia="Arial" w:hAnsi="Arial"/>
          <w:b/>
          <w:bCs/>
          <w:color w:val="1E2B5C"/>
          <w:sz w:val="30"/>
          <w:szCs w:val="30"/>
        </w:rPr>
        <w:t xml:space="preserve">11.3 Scheduled Refresh and Drift Monitoring</w:t>
      </w:r>
    </w:p>
    <w:p>
      <w:pPr>
        <w:pStyle w:val="ListParagraph"/>
        <w:numPr>
          <w:ilvl w:val="0"/>
          <w:numId w:val="2"/>
        </w:numPr>
        <w:spacing w:after="40" w:before="40"/>
        <w:ind w:left="720" w:hanging="360"/>
      </w:pPr>
      <w:r>
        <w:rPr>
          <w:rFonts w:ascii="Arial" w:cs="Arial" w:eastAsia="Arial" w:hAnsi="Arial"/>
          <w:b/>
          <w:bCs/>
          <w:color w:val="1E2B5C"/>
          <w:sz w:val="22"/>
          <w:szCs w:val="22"/>
        </w:rPr>
        <w:t xml:space="preserve">Refresh schedule: </w:t>
      </w:r>
      <w:r>
        <w:rPr>
          <w:rFonts w:ascii="Arial" w:cs="Arial" w:eastAsia="Arial" w:hAnsi="Arial"/>
          <w:color w:val="1F2937"/>
          <w:sz w:val="22"/>
          <w:szCs w:val="22"/>
        </w:rPr>
        <w:t xml:space="preserve">Default daily at 06:00 workspace timezone. Configurable via cron. Each refresh: re-execute all query contracts, re-score with existing model (no retrain unless triggered), update forecast table, update predictions for new actuals.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Model drift detection: </w:t>
      </w:r>
      <w:r>
        <w:rPr>
          <w:rFonts w:ascii="Arial" w:cs="Arial" w:eastAsia="Arial" w:hAnsi="Arial"/>
          <w:color w:val="1F2937"/>
          <w:sz w:val="22"/>
          <w:szCs w:val="22"/>
        </w:rPr>
        <w:t xml:space="preserve">If rolling MAPE over trailing 30 days exceeds original validation MAPE by more than 50 percent for 7 consecutive days, a drift alert fires and the artifact banner shows a data quality warning with a one-click retrain option.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Source table health monitoring: </w:t>
      </w:r>
      <w:r>
        <w:rPr>
          <w:rFonts w:ascii="Arial" w:cs="Arial" w:eastAsia="Arial" w:hAnsi="Arial"/>
          <w:color w:val="1F2937"/>
          <w:sz w:val="22"/>
          <w:szCs w:val="22"/>
        </w:rPr>
        <w:t xml:space="preserve">If any source table health_score drops more than 10 points since artifact creation, or a schema change increments the governance manifest major version, the artifact refresh pauses and the owner is notified.</w:t>
      </w:r>
    </w:p>
    <w:p>
      <w:pPr>
        <w:pStyle w:val="ListParagraph"/>
        <w:numPr>
          <w:ilvl w:val="0"/>
          <w:numId w:val="2"/>
        </w:numPr>
        <w:spacing w:after="40" w:before="40"/>
        <w:ind w:left="720" w:hanging="360"/>
      </w:pPr>
      <w:r>
        <w:rPr>
          <w:rFonts w:ascii="Arial" w:cs="Arial" w:eastAsia="Arial" w:hAnsi="Arial"/>
          <w:b/>
          <w:bCs/>
          <w:color w:val="1E2B5C"/>
          <w:sz w:val="22"/>
          <w:szCs w:val="22"/>
        </w:rPr>
        <w:t xml:space="preserve">One-click retrain: </w:t>
      </w:r>
      <w:r>
        <w:rPr>
          <w:rFonts w:ascii="Arial" w:cs="Arial" w:eastAsia="Arial" w:hAnsi="Arial"/>
          <w:color w:val="1F2937"/>
          <w:sz w:val="22"/>
          <w:szCs w:val="22"/>
        </w:rPr>
        <w:t xml:space="preserve">Uses the same session_spec with date_range rolled forward to current date. Previous model version is archived with a record noting the triggering event.</w:t>
      </w:r>
    </w:p>
    <w:p>
      <w:pPr>
        <w:pStyle w:val="Heading2"/>
        <w:spacing w:after="120" w:before="400"/>
      </w:pPr>
      <w:r>
        <w:rPr>
          <w:rFonts w:ascii="Arial" w:cs="Arial" w:eastAsia="Arial" w:hAnsi="Arial"/>
          <w:b/>
          <w:bCs/>
          <w:color w:val="1E2B5C"/>
          <w:sz w:val="30"/>
          <w:szCs w:val="30"/>
        </w:rPr>
        <w:t xml:space="preserve">11.4 Lineage DAG</w:t>
      </w:r>
    </w:p>
    <w:p>
      <w:pPr>
        <w:pStyle w:val="ListParagraph"/>
        <w:numPr>
          <w:ilvl w:val="0"/>
          <w:numId w:val="2"/>
        </w:numPr>
        <w:spacing w:after="40" w:before="40"/>
        <w:ind w:left="720" w:hanging="360"/>
      </w:pPr>
      <w:r>
        <w:rPr>
          <w:rFonts w:ascii="Arial" w:cs="Arial" w:eastAsia="Arial" w:hAnsi="Arial"/>
          <w:b/>
          <w:bCs/>
          <w:color w:val="1E2B5C"/>
          <w:sz w:val="22"/>
          <w:szCs w:val="22"/>
        </w:rPr>
        <w:t xml:space="preserve">Visualization: </w:t>
      </w:r>
      <w:r>
        <w:rPr>
          <w:rFonts w:ascii="Arial" w:cs="Arial" w:eastAsia="Arial" w:hAnsi="Arial"/>
          <w:color w:val="1F2937"/>
          <w:sz w:val="22"/>
          <w:szCs w:val="22"/>
        </w:rPr>
        <w:t xml:space="preserve">Interactive directed graph in the governance console. Nodes represent source tables, persistent derived tables, gold tables, and artifacts. Edge color encodes freshness. Node size encodes artifact count.</w:t>
      </w:r>
    </w:p>
    <w:p>
      <w:pPr>
        <w:pStyle w:val="ListParagraph"/>
        <w:numPr>
          <w:ilvl w:val="0"/>
          <w:numId w:val="2"/>
        </w:numPr>
        <w:spacing w:after="40" w:before="40"/>
        <w:ind w:left="720" w:hanging="360"/>
      </w:pPr>
      <w:r>
        <w:rPr>
          <w:rFonts w:ascii="Arial" w:cs="Arial" w:eastAsia="Arial" w:hAnsi="Arial"/>
          <w:b/>
          <w:bCs/>
          <w:color w:val="1E2B5C"/>
          <w:sz w:val="22"/>
          <w:szCs w:val="22"/>
        </w:rPr>
        <w:t xml:space="preserve">Upstream tracing: </w:t>
      </w:r>
      <w:r>
        <w:rPr>
          <w:rFonts w:ascii="Arial" w:cs="Arial" w:eastAsia="Arial" w:hAnsi="Arial"/>
          <w:color w:val="1F2937"/>
          <w:sz w:val="22"/>
          <w:szCs w:val="22"/>
        </w:rPr>
        <w:t xml:space="preserve">Clicking an artifact node traces all upstream dependencies to source tables with column-level lineage for every metric.</w:t>
      </w:r>
    </w:p>
    <w:p>
      <w:pPr>
        <w:pStyle w:val="ListParagraph"/>
        <w:numPr>
          <w:ilvl w:val="0"/>
          <w:numId w:val="2"/>
        </w:numPr>
        <w:spacing w:after="40" w:before="40"/>
        <w:ind w:left="720" w:hanging="360"/>
      </w:pPr>
      <w:r>
        <w:rPr>
          <w:rFonts w:ascii="Arial" w:cs="Arial" w:eastAsia="Arial" w:hAnsi="Arial"/>
          <w:b/>
          <w:bCs/>
          <w:color w:val="1E2B5C"/>
          <w:sz w:val="22"/>
          <w:szCs w:val="22"/>
        </w:rPr>
        <w:t xml:space="preserve">Downstream impact analysis: </w:t>
      </w:r>
      <w:r>
        <w:rPr>
          <w:rFonts w:ascii="Arial" w:cs="Arial" w:eastAsia="Arial" w:hAnsi="Arial"/>
          <w:color w:val="1F2937"/>
          <w:sz w:val="22"/>
          <w:szCs w:val="22"/>
        </w:rPr>
        <w:t xml:space="preserve">Clicking a source table node shows What would break with severity: Critical (primary grain), Warning (dimension join), Info (annotation feature only). Bulk notification sends email to all affected artifact owners in one action.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Schema change simulation: </w:t>
      </w:r>
      <w:r>
        <w:rPr>
          <w:rFonts w:ascii="Arial" w:cs="Arial" w:eastAsia="Arial" w:hAnsi="Arial"/>
          <w:color w:val="1F2937"/>
          <w:sz w:val="22"/>
          <w:szCs w:val="22"/>
        </w:rPr>
        <w:t xml:space="preserve">What-if simulation traverses the full lineage graph and produces an impact report listing affected artifacts, semantic layer definitions requiring updates, and governance manifest versions that would be invalidated.</w:t>
      </w:r>
    </w:p>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XII — Agent Architecture and Orchestration</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7C3AED"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ROLE</w:t>
            </w:r>
          </w:p>
        </w:tc>
        <w:tc>
          <w:tcPr>
            <w:tcW w:type="dxa" w:w="9120"/>
            <w:shd w:fill="EDE9FE" w:val="clear"/>
            <w:tcMar>
              <w:top w:type="dxa" w:w="80"/>
              <w:left w:type="dxa" w:w="180"/>
              <w:bottom w:type="dxa" w:w="80"/>
              <w:right w:type="dxa" w:w="120"/>
            </w:tcMar>
          </w:tcPr>
          <w:p>
            <w:r>
              <w:rPr>
                <w:rFonts w:ascii="Arial" w:cs="Arial" w:eastAsia="Arial" w:hAnsi="Arial"/>
                <w:color w:val="1F2937"/>
                <w:sz w:val="21"/>
                <w:szCs w:val="21"/>
              </w:rPr>
              <w:t xml:space="preserve">Full agent roster, orchestrator dispatch logic, inter-agent communication protocols, retry handling, and the streaming event model delivering pipeline progress to the user interface in real time.</w:t>
            </w:r>
          </w:p>
        </w:tc>
      </w:tr>
    </w:tbl>
    <w:p>
      <w:pPr>
        <w:spacing w:after="0" w:before="240"/>
      </w:pPr>
    </w:p>
    <w:p>
      <w:pPr>
        <w:pStyle w:val="Heading2"/>
        <w:spacing w:after="120" w:before="400"/>
      </w:pPr>
      <w:r>
        <w:rPr>
          <w:rFonts w:ascii="Arial" w:cs="Arial" w:eastAsia="Arial" w:hAnsi="Arial"/>
          <w:b/>
          <w:bCs/>
          <w:color w:val="1E2B5C"/>
          <w:sz w:val="30"/>
          <w:szCs w:val="30"/>
        </w:rPr>
        <w:t xml:space="preserve">12.1 Agent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2400"/>
        <w:gridCol w:w="2400"/>
        <w:gridCol w:w="1860"/>
      </w:tblGrid>
      <w:tr>
        <w:trPr>
          <w:tblHeader/>
        </w:trPr>
        <w:tc>
          <w:tcPr>
            <w:tcW w:type="dxa" w:w="20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7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4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8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Model</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Governance agent</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Connection metadata, server-side statistical summaries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governance_manifest JSON</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claude-sonnet-4-6</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Semantic layer agent</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governance_manifest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semantic_schema JSON</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claude-sonnet-4-6</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 planner agent</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 message, semantic_schema, session history</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session_spec JSON</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claude-sonnet-4-6</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Planner agent</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session_spec, semantic_schema</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dashboard_plan JSON</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claude-sonnet-4-6</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 modeler subagent</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session_spec, semantic_schema</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gold_table_ddl SQL, split_config</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claude-sonnet-4-6</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Feature engineering subagent</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gold_table_spec, feature_candidates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enriched_feature_manifest JSON</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claude-sonnet-4-6</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 agent</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dashboard_plan, semantic_schema, warehouse dialect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query_contracts and data_contracts</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claude-sonnet-4-6</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Visualization agent</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component definitions, data_contracts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vega_lite_specs array</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claude-sonnet-4-6</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Training orchestrator</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gold_table, enriched_feature_manifest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model_card, leaderboard</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claude-sonnet-4-6</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Insight agent</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Background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gold_table data summary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insight_events array</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claude-sonnet-4-6</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Suggestion agent</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Background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session_spec, session history</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suggestion_cards array</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claude-sonnet-4-6</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 agent</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8</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dashboard_plan, vega_lite_specs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repair_instructions array</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claude-sonnet-4-6</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Repair agent</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repair_instructions, affected components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repaired plan and specs</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claude-sonnet-4-6</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Artifact engine agent</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9</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dashboard_plan, specs, model_card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assembled HTML artifact</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claude-sonnet-4-6</w:t>
            </w:r>
          </w:p>
        </w:tc>
      </w:tr>
    </w:tbl>
    <w:p>
      <w:pPr>
        <w:spacing w:after="0" w:before="160"/>
      </w:pPr>
    </w:p>
    <w:p>
      <w:pPr>
        <w:pStyle w:val="Heading2"/>
        <w:spacing w:after="120" w:before="400"/>
      </w:pPr>
      <w:r>
        <w:rPr>
          <w:rFonts w:ascii="Arial" w:cs="Arial" w:eastAsia="Arial" w:hAnsi="Arial"/>
          <w:b/>
          <w:bCs/>
          <w:color w:val="1E2B5C"/>
          <w:sz w:val="30"/>
          <w:szCs w:val="30"/>
        </w:rPr>
        <w:t xml:space="preserve">12.2 Orchestrator Responsibilities</w:t>
      </w:r>
    </w:p>
    <w:p>
      <w:pPr>
        <w:spacing w:after="60" w:before="60"/>
      </w:pPr>
      <w:r>
        <w:rPr>
          <w:rFonts w:ascii="Arial" w:cs="Arial" w:eastAsia="Arial" w:hAnsi="Arial"/>
          <w:color w:val="1F2937"/>
          <w:sz w:val="22"/>
          <w:szCs w:val="22"/>
        </w:rPr>
        <w:t xml:space="preserve">The master orchestrator is a deterministic state machine, not an LLM. Key responsibilities: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Dispatch logic: </w:t>
      </w:r>
      <w:r>
        <w:rPr>
          <w:rFonts w:ascii="Arial" w:cs="Arial" w:eastAsia="Arial" w:hAnsi="Arial"/>
          <w:color w:val="1F2937"/>
          <w:sz w:val="22"/>
          <w:szCs w:val="22"/>
        </w:rPr>
        <w:t xml:space="preserve">Determines which agent to invoke at each stage. For stages with subagents (Stage 4), dispatches them in sequence with the first output as input to the second.</w:t>
      </w:r>
    </w:p>
    <w:p>
      <w:pPr>
        <w:pStyle w:val="ListParagraph"/>
        <w:numPr>
          <w:ilvl w:val="0"/>
          <w:numId w:val="2"/>
        </w:numPr>
        <w:spacing w:after="40" w:before="40"/>
        <w:ind w:left="720" w:hanging="360"/>
      </w:pPr>
      <w:r>
        <w:rPr>
          <w:rFonts w:ascii="Arial" w:cs="Arial" w:eastAsia="Arial" w:hAnsi="Arial"/>
          <w:b/>
          <w:bCs/>
          <w:color w:val="1E2B5C"/>
          <w:sz w:val="22"/>
          <w:szCs w:val="22"/>
        </w:rPr>
        <w:t xml:space="preserve">State persistence: </w:t>
      </w:r>
      <w:r>
        <w:rPr>
          <w:rFonts w:ascii="Arial" w:cs="Arial" w:eastAsia="Arial" w:hAnsi="Arial"/>
          <w:color w:val="1F2937"/>
          <w:sz w:val="22"/>
          <w:szCs w:val="22"/>
        </w:rPr>
        <w:t xml:space="preserve">Writes every agent invocation output to a durable pipeline run store keyed by run_id. Pipeline resumption from the last completed stage is supported without re-running earlier stages.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Retry management: </w:t>
      </w:r>
      <w:r>
        <w:rPr>
          <w:rFonts w:ascii="Arial" w:cs="Arial" w:eastAsia="Arial" w:hAnsi="Arial"/>
          <w:color w:val="1F2937"/>
          <w:sz w:val="22"/>
          <w:szCs w:val="22"/>
        </w:rPr>
        <w:t xml:space="preserve">On agent output failing stage boundary validation, sends a targeted repair prompt with the validation error details. Maximum 2 retries per stage before escalating to the user.</w:t>
      </w:r>
    </w:p>
    <w:p>
      <w:pPr>
        <w:pStyle w:val="ListParagraph"/>
        <w:numPr>
          <w:ilvl w:val="0"/>
          <w:numId w:val="2"/>
        </w:numPr>
        <w:spacing w:after="40" w:before="40"/>
        <w:ind w:left="720" w:hanging="360"/>
      </w:pPr>
      <w:r>
        <w:rPr>
          <w:rFonts w:ascii="Arial" w:cs="Arial" w:eastAsia="Arial" w:hAnsi="Arial"/>
          <w:b/>
          <w:bCs/>
          <w:color w:val="1E2B5C"/>
          <w:sz w:val="22"/>
          <w:szCs w:val="22"/>
        </w:rPr>
        <w:t xml:space="preserve">Human-required pause: </w:t>
      </w:r>
      <w:r>
        <w:rPr>
          <w:rFonts w:ascii="Arial" w:cs="Arial" w:eastAsia="Arial" w:hAnsi="Arial"/>
          <w:color w:val="1F2937"/>
          <w:sz w:val="22"/>
          <w:szCs w:val="22"/>
        </w:rPr>
        <w:t xml:space="preserve">Emits a human_required SSE event with structured payload describing what decision is needed. Pauses until the user responds.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Parallel execution: </w:t>
      </w:r>
      <w:r>
        <w:rPr>
          <w:rFonts w:ascii="Arial" w:cs="Arial" w:eastAsia="Arial" w:hAnsi="Arial"/>
          <w:color w:val="1F2937"/>
          <w:sz w:val="22"/>
          <w:szCs w:val="22"/>
        </w:rPr>
        <w:t xml:space="preserve">Within Stage 5, all query contracts execute in parallel. Within Stage 6, all Vega-Lite specs generate in parallel. The orchestrator collects all outputs before advancing.</w:t>
      </w:r>
    </w:p>
    <w:p>
      <w:pPr>
        <w:pStyle w:val="ListParagraph"/>
        <w:numPr>
          <w:ilvl w:val="0"/>
          <w:numId w:val="2"/>
        </w:numPr>
        <w:spacing w:after="40" w:before="40"/>
        <w:ind w:left="720" w:hanging="360"/>
      </w:pPr>
      <w:r>
        <w:rPr>
          <w:rFonts w:ascii="Arial" w:cs="Arial" w:eastAsia="Arial" w:hAnsi="Arial"/>
          <w:b/>
          <w:bCs/>
          <w:color w:val="1E2B5C"/>
          <w:sz w:val="22"/>
          <w:szCs w:val="22"/>
        </w:rPr>
        <w:t xml:space="preserve">Background agent management: </w:t>
      </w:r>
      <w:r>
        <w:rPr>
          <w:rFonts w:ascii="Arial" w:cs="Arial" w:eastAsia="Arial" w:hAnsi="Arial"/>
          <w:color w:val="1F2937"/>
          <w:sz w:val="22"/>
          <w:szCs w:val="22"/>
        </w:rPr>
        <w:t xml:space="preserve">The insight and suggestion agents run as detached background jobs delivering outputs via a separate event stream that does not block main pipeline delivery.</w:t>
      </w:r>
    </w:p>
    <w:p>
      <w:pPr>
        <w:pStyle w:val="Heading2"/>
        <w:spacing w:after="120" w:before="400"/>
      </w:pPr>
      <w:r>
        <w:rPr>
          <w:rFonts w:ascii="Arial" w:cs="Arial" w:eastAsia="Arial" w:hAnsi="Arial"/>
          <w:b/>
          <w:bCs/>
          <w:color w:val="1E2B5C"/>
          <w:sz w:val="30"/>
          <w:szCs w:val="30"/>
        </w:rPr>
        <w:t xml:space="preserve">12.3 Inter-Agent Communication</w:t>
      </w:r>
    </w:p>
    <w:p>
      <w:pPr>
        <w:spacing w:after="60" w:before="60"/>
      </w:pPr>
      <w:r>
        <w:rPr>
          <w:rFonts w:ascii="Arial" w:cs="Arial" w:eastAsia="Arial" w:hAnsi="Arial"/>
          <w:color w:val="1F2937"/>
          <w:sz w:val="22"/>
          <w:szCs w:val="22"/>
        </w:rPr>
        <w:t xml:space="preserve">Agents communicate exclusively through typed JSON objects. All outputs are parsed, validated against their output schema, and wrapped in a standardized envelope before passing to the next agent.</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11827" w:val="clear"/>
            <w:tcMar>
              <w:top w:type="dxa" w:w="120"/>
              <w:left w:type="dxa" w:w="200"/>
              <w:bottom w:type="dxa" w:w="120"/>
              <w:right w:type="dxa" w:w="200"/>
            </w:tcMar>
          </w:tcPr>
          <w:p>
            <w:r>
              <w:rPr>
                <w:rFonts w:ascii="Courier New" w:cs="Courier New" w:eastAsia="Courier New" w:hAnsi="Courier New"/>
                <w:color w:val="A5F3FC"/>
                <w:sz w:val="18"/>
                <w:szCs w:val="18"/>
              </w:rPr>
              <w:t xml:space="preserve">agent_output_envelope: {
  agent_name: string,
  stage: integer,
  run_id: string,
  output_schema_version: string,
  output: typed JSON object specific to agent,
  validation_status: PASS | FAIL,
  validation_errors: array of error strings,
  retry_count: integer,
  produced_at: ISO8601
}</w:t>
            </w:r>
          </w:p>
        </w:tc>
      </w:tr>
    </w:tbl>
    <w:p>
      <w:pPr>
        <w:spacing w:after="0" w:before="160"/>
      </w:pPr>
    </w:p>
    <w:p>
      <w:pPr>
        <w:pStyle w:val="Heading2"/>
        <w:spacing w:after="120" w:before="400"/>
      </w:pPr>
      <w:r>
        <w:rPr>
          <w:rFonts w:ascii="Arial" w:cs="Arial" w:eastAsia="Arial" w:hAnsi="Arial"/>
          <w:b/>
          <w:bCs/>
          <w:color w:val="1E2B5C"/>
          <w:sz w:val="30"/>
          <w:szCs w:val="30"/>
        </w:rPr>
        <w:t xml:space="preserve">12.4 Streaming Event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32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41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UI Behavior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session_planning</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intent_classification, intent_confidence, suggested_explores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Shows intent classification badge and explore suggestion chips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agent_start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agent_name, stage, estimated_duration_seconds</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Shows active agent step card with spinner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dq_gate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stage, gate_name, status, details string</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Shows colored gate result badge on active step card</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human_required</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checkpoint_type, decision_description, options array</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Pauses pipeline; shows decision card with options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agent_complete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agent_name, stage, output_summary string, retry_count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Collapses step card to completed state with summary</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repair_cycle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stage, issue_type, repair_description, cycle_count</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Shows repair step card with issue and fix description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background_insights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insight_events array</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Appends insights panel below artifact asynchronously</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background_suggestions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suggestion_cards array</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Appends suggestion cards below artifact asynchronously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artifact_ready</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artifact_id, artifact_url, embed_url, html_size_bytes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Shows artifact inline with share and save controls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pipeline_error</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stage, error_type, error_description, remediation_suggestion</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Shows error card with plain-English remediation steps</w:t>
            </w:r>
          </w:p>
        </w:tc>
      </w:tr>
    </w:tbl>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XIII — API, Technology Stack, and Performance</w:t>
      </w:r>
    </w:p>
    <w:p>
      <w:pPr>
        <w:spacing w:after="0" w:before="160"/>
      </w:pPr>
    </w:p>
    <w:p>
      <w:pPr>
        <w:pStyle w:val="Heading2"/>
        <w:spacing w:after="120" w:before="400"/>
      </w:pPr>
      <w:r>
        <w:rPr>
          <w:rFonts w:ascii="Arial" w:cs="Arial" w:eastAsia="Arial" w:hAnsi="Arial"/>
          <w:b/>
          <w:bCs/>
          <w:color w:val="1E2B5C"/>
          <w:sz w:val="30"/>
          <w:szCs w:val="30"/>
        </w:rPr>
        <w:t xml:space="preserve">13.1 Core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3400"/>
        <w:gridCol w:w="2060"/>
      </w:tblGrid>
      <w:tr>
        <w:trPr>
          <w:tblHeader/>
        </w:trPr>
        <w:tc>
          <w:tcPr>
            <w:tcW w:type="dxa" w:w="32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7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/api/v1/integrations</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Register new database integration</w:t>
            </w:r>
          </w:p>
        </w:tc>
        <w:tc>
          <w:tcPr>
            <w:tcW w:type="dxa" w:w="2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Workspace admin</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/api/v1/integrations/{id}/manifest</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Retrieve current governance manifest</w:t>
            </w:r>
          </w:p>
        </w:tc>
        <w:tc>
          <w:tcPr>
            <w:tcW w:type="dxa" w:w="2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Workspace member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/api/v1/semantic/{workspace_id}/schema</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Retrieve current semantic schema</w:t>
            </w:r>
          </w:p>
        </w:tc>
        <w:tc>
          <w:tcPr>
            <w:tcW w:type="dxa" w:w="2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Workspace member</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/api/v1/sessions</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Start a new analytics session</w:t>
            </w:r>
          </w:p>
        </w:tc>
        <w:tc>
          <w:tcPr>
            <w:tcW w:type="dxa" w:w="2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Workspace member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/api/v1/sessions/{id}/message</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Send message in session via SSE streaming</w:t>
            </w:r>
          </w:p>
        </w:tc>
        <w:tc>
          <w:tcPr>
            <w:tcW w:type="dxa" w:w="2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 owner</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/api/v1/sessions/{id}/pipeline</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Retrieve full pipeline audit trail</w:t>
            </w:r>
          </w:p>
        </w:tc>
        <w:tc>
          <w:tcPr>
            <w:tcW w:type="dxa" w:w="2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Session owner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/api/v1/gold/{workspace_id}/{table}</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Query gold layer table with filter params paginated</w:t>
            </w:r>
          </w:p>
        </w:tc>
        <w:tc>
          <w:tcPr>
            <w:tcW w:type="dxa" w:w="2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Token or member</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/api/v1/models/{model_id}</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Retrieve model card</w:t>
            </w:r>
          </w:p>
        </w:tc>
        <w:tc>
          <w:tcPr>
            <w:tcW w:type="dxa" w:w="2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Workspace member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/api/v1/models/{model_id}/leaderboard</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Retrieve trial leaderboard for model</w:t>
            </w:r>
          </w:p>
        </w:tc>
        <w:tc>
          <w:tcPr>
            <w:tcW w:type="dxa" w:w="2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Workspace member</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/api/v1/artifacts</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List workspace artifacts with metadata</w:t>
            </w:r>
          </w:p>
        </w:tc>
        <w:tc>
          <w:tcPr>
            <w:tcW w:type="dxa" w:w="2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Workspace member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/api/v1/artifacts/{id}</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Retrieve artifact metadata and HTML URL</w:t>
            </w:r>
          </w:p>
        </w:tc>
        <w:tc>
          <w:tcPr>
            <w:tcW w:type="dxa" w:w="2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Access-controlled per artifact ACL</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/api/v1/artifacts/{id}/share</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Generate share link or embed token</w:t>
            </w:r>
          </w:p>
        </w:tc>
        <w:tc>
          <w:tcPr>
            <w:tcW w:type="dxa" w:w="2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Artifact owner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/api/v1/artifacts/{id}/refresh</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Trigger manual artifact refresh</w:t>
            </w:r>
          </w:p>
        </w:tc>
        <w:tc>
          <w:tcPr>
            <w:tcW w:type="dxa" w:w="2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 owner</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/api/v1/artifacts/{id}/annotations</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Retrieve all annotations for artifact</w:t>
            </w:r>
          </w:p>
        </w:tc>
        <w:tc>
          <w:tcPr>
            <w:tcW w:type="dxa" w:w="2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Artifact viewer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/api/v1/artifacts/{id}/annotations</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 new annotation on a data point</w:t>
            </w:r>
          </w:p>
        </w:tc>
        <w:tc>
          <w:tcPr>
            <w:tcW w:type="dxa" w:w="2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 viewer</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/api/v1/artifacts/{id}/alerts</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Create metric alert subscription</w:t>
            </w:r>
          </w:p>
        </w:tc>
        <w:tc>
          <w:tcPr>
            <w:tcW w:type="dxa" w:w="2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Artifact viewer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/api/v1/workspace/{id}/lineage</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Retrieve full lineage DAG for workspace</w:t>
            </w:r>
          </w:p>
        </w:tc>
        <w:tc>
          <w:tcPr>
            <w:tcW w:type="dxa" w:w="2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Workspace member</w:t>
            </w:r>
          </w:p>
        </w:tc>
      </w:tr>
    </w:tbl>
    <w:p>
      <w:pPr>
        <w:spacing w:after="0" w:before="160"/>
      </w:pPr>
    </w:p>
    <w:p>
      <w:pPr>
        <w:pStyle w:val="Heading2"/>
        <w:spacing w:after="120" w:before="400"/>
      </w:pPr>
      <w:r>
        <w:rPr>
          <w:rFonts w:ascii="Arial" w:cs="Arial" w:eastAsia="Arial" w:hAnsi="Arial"/>
          <w:b/>
          <w:bCs/>
          <w:color w:val="1E2B5C"/>
          <w:sz w:val="30"/>
          <w:szCs w:val="30"/>
        </w:rPr>
        <w:t xml:space="preserve">13.2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Frontend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18 with TypeScript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Component model suits dashboard panel architecture; TypeScript enforces API contract types at build time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Chart rendering</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Vega-Embed with Vega-Lite v5</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Declarative JSON specs are more reliably generated by LLMs than imperative code; specs are schema-validatable; renderable from any host environment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 layout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CSS Grid with responsive breakpoints</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Native CSS Grid handles variable column counts without a dependency; collapses to single column at 768px</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State management</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Single window.__analytiq_state with updateFilters function</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Prevents stale panel states; unified update path ensures simultaneous re-render of all panels on filter change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Backend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Python FastAPI</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Async support suits parallel agent invocation and SSE streaming; Pydantic models enforce schema contracts at runtime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Agent orchestration</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Custom deterministic state machine consuming Anthropic Messages API</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Deterministic orchestration prevents runaway agent loops; all agents pinned to claude-sonnet-4-6</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SQL execution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Warehouse-dialect-aware query builder with read-only proxy</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Proxy enforces permissions and blocks destructive SQL; dialect awareness handles Snowflake versus BigQuery differences in date arithmetic</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Schema validation</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JSON Schema (AJV) for dashboard plans; official Vega-Lite schema for specs; Pydantic for API contracts</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Each artifact type validated against its own schema; validation is fast and deterministic</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Query result cache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Redis with configurable TTL per integration freshness SLA</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Prevents redundant warehouse queries from multiple artifact refreshes; invalidated on source freshness advance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Model training</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scikit-learn (XGBoost, LightGBM, Ridge, LogisticRegression), Prophet</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Consistent API across model types; SHAP library produces explainability values; scikit-learn Pipeline ensures no leakage between folds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Hyperparameter search</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Optuna with random search and pruning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Handles parallel trials; pruning reduces wasted computation on poor hyperparameter regions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Model registry</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MLflow-compatible artifact store</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Version-controlled model binaries; ONNX export for cross-runtime portability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Semantic layer storage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Cube.dev-compatible YAML in workspace Git repository</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Version-controlled schema enables change tracking and rollback; compatible with Cube.dev for future native integration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Pipeline state and audit log</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Postgres with append-only audit table</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Durable state enables pipeline resumption; append-only prevents audit log tampering</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 storage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S3-compatible object storage with CDN</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 HTML served via CDN with 1-hour TTL; invalidated on refresh</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Job queue</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Redis with BullMQ</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Handles parallel stage execution, background agent jobs, and scheduled refresh queue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Observability</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OpenTelemetry traces; structured logs to ELK stack</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Distributed tracing across all agent calls and warehouse queries with a single trace_id per pipeline run</w:t>
            </w:r>
          </w:p>
        </w:tc>
      </w:tr>
    </w:tbl>
    <w:p>
      <w:pPr>
        <w:spacing w:after="0" w:before="160"/>
      </w:pPr>
    </w:p>
    <w:p>
      <w:pPr>
        <w:pStyle w:val="Heading2"/>
        <w:spacing w:after="120" w:before="400"/>
      </w:pPr>
      <w:r>
        <w:rPr>
          <w:rFonts w:ascii="Arial" w:cs="Arial" w:eastAsia="Arial" w:hAnsi="Arial"/>
          <w:b/>
          <w:bCs/>
          <w:color w:val="1E2B5C"/>
          <w:sz w:val="30"/>
          <w:szCs w:val="30"/>
        </w:rPr>
        <w:t xml:space="preserve">13.3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90"/>
        <w:gridCol w:w="1990"/>
        <w:gridCol w:w="1980"/>
      </w:tblGrid>
      <w:tr>
        <w:trPr>
          <w:tblHeader/>
        </w:trPr>
        <w:tc>
          <w:tcPr>
            <w:tcW w:type="dxa" w:w="34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99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P50</w:t>
            </w:r>
          </w:p>
        </w:tc>
        <w:tc>
          <w:tcPr>
            <w:tcW w:type="dxa" w:w="199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P95</w:t>
            </w:r>
          </w:p>
        </w:tc>
        <w:tc>
          <w:tcPr>
            <w:tcW w:type="dxa" w:w="198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P99</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Governance manifest generation per table</w:t>
            </w:r>
          </w:p>
        </w:tc>
        <w:tc>
          <w:tcPr>
            <w:tcW w:type="dxa" w:w="199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30 seconds</w:t>
            </w:r>
          </w:p>
        </w:tc>
        <w:tc>
          <w:tcPr>
            <w:tcW w:type="dxa" w:w="199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90 seconds</w:t>
            </w:r>
          </w:p>
        </w:tc>
        <w:tc>
          <w:tcPr>
            <w:tcW w:type="dxa" w:w="19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180 seconds</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Session message first token</w:t>
            </w:r>
          </w:p>
        </w:tc>
        <w:tc>
          <w:tcPr>
            <w:tcW w:type="dxa" w:w="199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 seconds</w:t>
            </w:r>
          </w:p>
        </w:tc>
        <w:tc>
          <w:tcPr>
            <w:tcW w:type="dxa" w:w="199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5 seconds</w:t>
            </w:r>
          </w:p>
        </w:tc>
        <w:tc>
          <w:tcPr>
            <w:tcW w:type="dxa" w:w="19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10 seconds</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 plan generation</w:t>
            </w:r>
          </w:p>
        </w:tc>
        <w:tc>
          <w:tcPr>
            <w:tcW w:type="dxa" w:w="199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 seconds</w:t>
            </w:r>
          </w:p>
        </w:tc>
        <w:tc>
          <w:tcPr>
            <w:tcW w:type="dxa" w:w="199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 seconds</w:t>
            </w:r>
          </w:p>
        </w:tc>
        <w:tc>
          <w:tcPr>
            <w:tcW w:type="dxa" w:w="19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40 seconds</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Query execution per chart component</w:t>
            </w:r>
          </w:p>
        </w:tc>
        <w:tc>
          <w:tcPr>
            <w:tcW w:type="dxa" w:w="199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500 milliseconds</w:t>
            </w:r>
          </w:p>
        </w:tc>
        <w:tc>
          <w:tcPr>
            <w:tcW w:type="dxa" w:w="199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 seconds</w:t>
            </w:r>
          </w:p>
        </w:tc>
        <w:tc>
          <w:tcPr>
            <w:tcW w:type="dxa" w:w="19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8 seconds</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Vega-Lite spec generation per component</w:t>
            </w:r>
          </w:p>
        </w:tc>
        <w:tc>
          <w:tcPr>
            <w:tcW w:type="dxa" w:w="199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 seconds</w:t>
            </w:r>
          </w:p>
        </w:tc>
        <w:tc>
          <w:tcPr>
            <w:tcW w:type="dxa" w:w="199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 seconds</w:t>
            </w:r>
          </w:p>
        </w:tc>
        <w:tc>
          <w:tcPr>
            <w:tcW w:type="dxa" w:w="19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15 seconds</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Model training below 100K training rows</w:t>
            </w:r>
          </w:p>
        </w:tc>
        <w:tc>
          <w:tcPr>
            <w:tcW w:type="dxa" w:w="199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 minutes</w:t>
            </w:r>
          </w:p>
        </w:tc>
        <w:tc>
          <w:tcPr>
            <w:tcW w:type="dxa" w:w="199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8 minutes</w:t>
            </w:r>
          </w:p>
        </w:tc>
        <w:tc>
          <w:tcPr>
            <w:tcW w:type="dxa" w:w="19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15 minutes</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 training above 1M rows</w:t>
            </w:r>
          </w:p>
        </w:tc>
        <w:tc>
          <w:tcPr>
            <w:tcW w:type="dxa" w:w="199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Async — no UX target</w:t>
            </w:r>
          </w:p>
        </w:tc>
        <w:tc>
          <w:tcPr>
            <w:tcW w:type="dxa" w:w="199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Async</w:t>
            </w:r>
          </w:p>
        </w:tc>
        <w:tc>
          <w:tcPr>
            <w:tcW w:type="dxa" w:w="19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Async</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Artifact assembly and validation</w:t>
            </w:r>
          </w:p>
        </w:tc>
        <w:tc>
          <w:tcPr>
            <w:tcW w:type="dxa" w:w="199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10 seconds</w:t>
            </w:r>
          </w:p>
        </w:tc>
        <w:tc>
          <w:tcPr>
            <w:tcW w:type="dxa" w:w="199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25 seconds</w:t>
            </w:r>
          </w:p>
        </w:tc>
        <w:tc>
          <w:tcPr>
            <w:tcW w:type="dxa" w:w="19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45 seconds</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 layer API query for artifact data fetch</w:t>
            </w:r>
          </w:p>
        </w:tc>
        <w:tc>
          <w:tcPr>
            <w:tcW w:type="dxa" w:w="199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500 milliseconds</w:t>
            </w:r>
          </w:p>
        </w:tc>
        <w:tc>
          <w:tcPr>
            <w:tcW w:type="dxa" w:w="199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1.5 seconds</w:t>
            </w:r>
          </w:p>
        </w:tc>
        <w:tc>
          <w:tcPr>
            <w:tcW w:type="dxa" w:w="19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 seconds</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Artifact page load all panels rendered</w:t>
            </w:r>
          </w:p>
        </w:tc>
        <w:tc>
          <w:tcPr>
            <w:tcW w:type="dxa" w:w="199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 seconds</w:t>
            </w:r>
          </w:p>
        </w:tc>
        <w:tc>
          <w:tcPr>
            <w:tcW w:type="dxa" w:w="199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6 seconds</w:t>
            </w:r>
          </w:p>
        </w:tc>
        <w:tc>
          <w:tcPr>
            <w:tcW w:type="dxa" w:w="19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10 seconds</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Proactive insight detection</w:t>
            </w:r>
          </w:p>
        </w:tc>
        <w:tc>
          <w:tcPr>
            <w:tcW w:type="dxa" w:w="199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45 seconds</w:t>
            </w:r>
          </w:p>
        </w:tc>
        <w:tc>
          <w:tcPr>
            <w:tcW w:type="dxa" w:w="199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90 seconds</w:t>
            </w:r>
          </w:p>
        </w:tc>
        <w:tc>
          <w:tcPr>
            <w:tcW w:type="dxa" w:w="19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180 seconds</w:t>
            </w:r>
          </w:p>
        </w:tc>
      </w:tr>
    </w:tbl>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XIV — Security, Privacy, and Governance</w:t>
      </w:r>
    </w:p>
    <w:p>
      <w:pPr>
        <w:spacing w:after="0" w:before="160"/>
      </w:pPr>
    </w:p>
    <w:p>
      <w:pPr>
        <w:pStyle w:val="Heading2"/>
        <w:spacing w:after="120" w:before="400"/>
      </w:pPr>
      <w:r>
        <w:rPr>
          <w:rFonts w:ascii="Arial" w:cs="Arial" w:eastAsia="Arial" w:hAnsi="Arial"/>
          <w:b/>
          <w:bCs/>
          <w:color w:val="1E2B5C"/>
          <w:sz w:val="30"/>
          <w:szCs w:val="30"/>
        </w:rPr>
        <w:t xml:space="preserve">14.1 Authentication and Authorization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Authentication: </w:t>
      </w:r>
      <w:r>
        <w:rPr>
          <w:rFonts w:ascii="Arial" w:cs="Arial" w:eastAsia="Arial" w:hAnsi="Arial"/>
          <w:color w:val="1F2937"/>
          <w:sz w:val="22"/>
          <w:szCs w:val="22"/>
        </w:rPr>
        <w:t xml:space="preserve">OAuth 2.0 with PKCE for browser clients. API keys for server-to-server. 1-hour access tokens, 30-day refresh tokens with rotation on use.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Authorization model: </w:t>
      </w:r>
      <w:r>
        <w:rPr>
          <w:rFonts w:ascii="Arial" w:cs="Arial" w:eastAsia="Arial" w:hAnsi="Arial"/>
          <w:color w:val="1F2937"/>
          <w:sz w:val="22"/>
          <w:szCs w:val="22"/>
        </w:rPr>
        <w:t xml:space="preserve">Attribute-based access control. Every resource carries resource-level ACLs. Workspace roles set defaults; resource ACLs can restrict but not expand beyond the workspace role ceiling.</w:t>
      </w:r>
    </w:p>
    <w:p>
      <w:pPr>
        <w:pStyle w:val="ListParagraph"/>
        <w:numPr>
          <w:ilvl w:val="0"/>
          <w:numId w:val="2"/>
        </w:numPr>
        <w:spacing w:after="40" w:before="40"/>
        <w:ind w:left="720" w:hanging="360"/>
      </w:pPr>
      <w:r>
        <w:rPr>
          <w:rFonts w:ascii="Arial" w:cs="Arial" w:eastAsia="Arial" w:hAnsi="Arial"/>
          <w:b/>
          <w:bCs/>
          <w:color w:val="1E2B5C"/>
          <w:sz w:val="22"/>
          <w:szCs w:val="22"/>
        </w:rPr>
        <w:t xml:space="preserve">Database credentials: </w:t>
      </w:r>
      <w:r>
        <w:rPr>
          <w:rFonts w:ascii="Arial" w:cs="Arial" w:eastAsia="Arial" w:hAnsi="Arial"/>
          <w:color w:val="1F2937"/>
          <w:sz w:val="22"/>
          <w:szCs w:val="22"/>
        </w:rPr>
        <w:t xml:space="preserve">Stored AES-256 encrypted in a secrets manager. Never logged, never transmitted to agents, never in any manifest or audit record. Agents submit queries to a read-only proxy that injects credentials at execution time.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Embed token security: </w:t>
      </w:r>
      <w:r>
        <w:rPr>
          <w:rFonts w:ascii="Arial" w:cs="Arial" w:eastAsia="Arial" w:hAnsi="Arial"/>
          <w:color w:val="1F2937"/>
          <w:sz w:val="22"/>
          <w:szCs w:val="22"/>
        </w:rPr>
        <w:t xml:space="preserve">HS256 JWTs signed with a workspace-specific secret. Single-purpose: one artifact_id, one workspace_id. allowed_origins enforced server-side on every gold layer API request from an embedded context. read_only tokens cannot be elevated without re-issuance.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Row-level security: </w:t>
      </w:r>
      <w:r>
        <w:rPr>
          <w:rFonts w:ascii="Arial" w:cs="Arial" w:eastAsia="Arial" w:hAnsi="Arial"/>
          <w:color w:val="1F2937"/>
          <w:sz w:val="22"/>
          <w:szCs w:val="22"/>
        </w:rPr>
        <w:t xml:space="preserve">The gold layer API proxy passes requesting user identity to the warehouse enforcing RLS policies configured on source tables. Public share links and embed tokens apply the artifact owner's access policy.</w:t>
      </w:r>
    </w:p>
    <w:p>
      <w:pPr>
        <w:pStyle w:val="Heading2"/>
        <w:spacing w:after="120" w:before="400"/>
      </w:pPr>
      <w:r>
        <w:rPr>
          <w:rFonts w:ascii="Arial" w:cs="Arial" w:eastAsia="Arial" w:hAnsi="Arial"/>
          <w:b/>
          <w:bCs/>
          <w:color w:val="1E2B5C"/>
          <w:sz w:val="30"/>
          <w:szCs w:val="30"/>
        </w:rPr>
        <w:t xml:space="preserve">14.2 Data Privacy</w:t>
      </w:r>
    </w:p>
    <w:p>
      <w:pPr>
        <w:pStyle w:val="ListParagraph"/>
        <w:numPr>
          <w:ilvl w:val="0"/>
          <w:numId w:val="2"/>
        </w:numPr>
        <w:spacing w:after="40" w:before="40"/>
        <w:ind w:left="720" w:hanging="360"/>
      </w:pPr>
      <w:r>
        <w:rPr>
          <w:rFonts w:ascii="Arial" w:cs="Arial" w:eastAsia="Arial" w:hAnsi="Arial"/>
          <w:b/>
          <w:bCs/>
          <w:color w:val="1E2B5C"/>
          <w:sz w:val="22"/>
          <w:szCs w:val="22"/>
        </w:rPr>
        <w:t xml:space="preserve">No raw data to LLMs: </w:t>
      </w:r>
      <w:r>
        <w:rPr>
          <w:rFonts w:ascii="Arial" w:cs="Arial" w:eastAsia="Arial" w:hAnsi="Arial"/>
          <w:color w:val="1F2937"/>
          <w:sz w:val="22"/>
          <w:szCs w:val="22"/>
        </w:rPr>
        <w:t xml:space="preserve">Agents receive schemas, statistical summaries (min, max, percentiles, distinct count, top 5 values), and governance definitions. No actual data rows transmitted to any LLM endpoint under any condition.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PII isolation: </w:t>
      </w:r>
      <w:r>
        <w:rPr>
          <w:rFonts w:ascii="Arial" w:cs="Arial" w:eastAsia="Arial" w:hAnsi="Arial"/>
          <w:color w:val="1F2937"/>
          <w:sz w:val="22"/>
          <w:szCs w:val="22"/>
        </w:rPr>
        <w:t xml:space="preserve">Confirmed PII columns are blocked from feature engineering and model training. Not included in SHAP explainability tables or any gold layer output. Using a PII column in ML requires explicit workspace admin approval with an audit log entry.</w:t>
      </w:r>
    </w:p>
    <w:p>
      <w:pPr>
        <w:pStyle w:val="ListParagraph"/>
        <w:numPr>
          <w:ilvl w:val="0"/>
          <w:numId w:val="2"/>
        </w:numPr>
        <w:spacing w:after="40" w:before="40"/>
        <w:ind w:left="720" w:hanging="360"/>
      </w:pPr>
      <w:r>
        <w:rPr>
          <w:rFonts w:ascii="Arial" w:cs="Arial" w:eastAsia="Arial" w:hAnsi="Arial"/>
          <w:b/>
          <w:bCs/>
          <w:color w:val="1E2B5C"/>
          <w:sz w:val="22"/>
          <w:szCs w:val="22"/>
        </w:rPr>
        <w:t xml:space="preserve">Artifact data minimization: </w:t>
      </w:r>
      <w:r>
        <w:rPr>
          <w:rFonts w:ascii="Arial" w:cs="Arial" w:eastAsia="Arial" w:hAnsi="Arial"/>
          <w:color w:val="1F2937"/>
          <w:sz w:val="22"/>
          <w:szCs w:val="22"/>
        </w:rPr>
        <w:t xml:space="preserve">No raw data embedded in HTML artifact files. Data fetched at render time from the gold layer API using a signed token.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LLM call logging: </w:t>
      </w:r>
      <w:r>
        <w:rPr>
          <w:rFonts w:ascii="Arial" w:cs="Arial" w:eastAsia="Arial" w:hAnsi="Arial"/>
          <w:color w:val="1F2937"/>
          <w:sz w:val="22"/>
          <w:szCs w:val="22"/>
        </w:rPr>
        <w:t xml:space="preserve">All agent inference calls logged with: model identifier, prompt_tokens, completion_tokens, latency_ms. Prompt content retained 90 days accessible to workspace admins. No prompt content shared externally.</w:t>
      </w:r>
    </w:p>
    <w:p>
      <w:pPr>
        <w:pStyle w:val="Heading2"/>
        <w:spacing w:after="120" w:before="400"/>
      </w:pPr>
      <w:r>
        <w:rPr>
          <w:rFonts w:ascii="Arial" w:cs="Arial" w:eastAsia="Arial" w:hAnsi="Arial"/>
          <w:b/>
          <w:bCs/>
          <w:color w:val="1E2B5C"/>
          <w:sz w:val="30"/>
          <w:szCs w:val="30"/>
        </w:rPr>
        <w:t xml:space="preserve">14.3 SQL Safety</w:t>
      </w:r>
    </w:p>
    <w:p>
      <w:pPr>
        <w:pStyle w:val="ListParagraph"/>
        <w:numPr>
          <w:ilvl w:val="0"/>
          <w:numId w:val="2"/>
        </w:numPr>
        <w:spacing w:after="40" w:before="40"/>
        <w:ind w:left="720" w:hanging="360"/>
      </w:pPr>
      <w:r>
        <w:rPr>
          <w:rFonts w:ascii="Arial" w:cs="Arial" w:eastAsia="Arial" w:hAnsi="Arial"/>
          <w:color w:val="1F2937"/>
          <w:sz w:val="22"/>
          <w:szCs w:val="22"/>
        </w:rPr>
        <w:t xml:space="preserve">Only SELECT statements permitted. Any other statement type rejected immediately with a security event logged.</w:t>
      </w:r>
    </w:p>
    <w:p>
      <w:pPr>
        <w:pStyle w:val="ListParagraph"/>
        <w:numPr>
          <w:ilvl w:val="0"/>
          <w:numId w:val="2"/>
        </w:numPr>
        <w:spacing w:after="40" w:before="40"/>
        <w:ind w:left="720" w:hanging="360"/>
      </w:pPr>
      <w:r>
        <w:rPr>
          <w:rFonts w:ascii="Arial" w:cs="Arial" w:eastAsia="Arial" w:hAnsi="Arial"/>
          <w:color w:val="1F2937"/>
          <w:sz w:val="22"/>
          <w:szCs w:val="22"/>
        </w:rPr>
        <w:t xml:space="preserve">All queries must include a WHERE clause filtering on the time field. Unbounded queries rejected.</w:t>
      </w:r>
    </w:p>
    <w:p>
      <w:pPr>
        <w:pStyle w:val="ListParagraph"/>
        <w:numPr>
          <w:ilvl w:val="0"/>
          <w:numId w:val="2"/>
        </w:numPr>
        <w:spacing w:after="40" w:before="40"/>
        <w:ind w:left="720" w:hanging="360"/>
      </w:pPr>
      <w:r>
        <w:rPr>
          <w:rFonts w:ascii="Arial" w:cs="Arial" w:eastAsia="Arial" w:hAnsi="Arial"/>
          <w:color w:val="1F2937"/>
          <w:sz w:val="22"/>
          <w:szCs w:val="22"/>
        </w:rPr>
        <w:t xml:space="preserve">Cross joins not present in the semantic layer join paths are rejected.</w:t>
      </w:r>
    </w:p>
    <w:p>
      <w:pPr>
        <w:pStyle w:val="ListParagraph"/>
        <w:numPr>
          <w:ilvl w:val="0"/>
          <w:numId w:val="2"/>
        </w:numPr>
        <w:spacing w:after="40" w:before="40"/>
        <w:ind w:left="720" w:hanging="360"/>
      </w:pPr>
      <w:r>
        <w:rPr>
          <w:rFonts w:ascii="Arial" w:cs="Arial" w:eastAsia="Arial" w:hAnsi="Arial"/>
          <w:color w:val="1F2937"/>
          <w:sz w:val="22"/>
          <w:szCs w:val="22"/>
        </w:rPr>
        <w:t xml:space="preserve">References to tables outside permissioned explores for the requesting user are rejected.</w:t>
      </w:r>
    </w:p>
    <w:p>
      <w:pPr>
        <w:pStyle w:val="ListParagraph"/>
        <w:numPr>
          <w:ilvl w:val="0"/>
          <w:numId w:val="2"/>
        </w:numPr>
        <w:spacing w:after="40" w:before="40"/>
        <w:ind w:left="720" w:hanging="360"/>
      </w:pPr>
      <w:r>
        <w:rPr>
          <w:rFonts w:ascii="Arial" w:cs="Arial" w:eastAsia="Arial" w:hAnsi="Arial"/>
          <w:color w:val="1F2937"/>
          <w:sz w:val="22"/>
          <w:szCs w:val="22"/>
        </w:rPr>
        <w:t xml:space="preserve">References to confirmed PII columns without explicit admin approval are rejected.</w:t>
      </w:r>
    </w:p>
    <w:p>
      <w:pPr>
        <w:pStyle w:val="ListParagraph"/>
        <w:numPr>
          <w:ilvl w:val="0"/>
          <w:numId w:val="2"/>
        </w:numPr>
        <w:spacing w:after="40" w:before="40"/>
        <w:ind w:left="720" w:hanging="360"/>
      </w:pPr>
      <w:r>
        <w:rPr>
          <w:rFonts w:ascii="Arial" w:cs="Arial" w:eastAsia="Arial" w:hAnsi="Arial"/>
          <w:color w:val="1F2937"/>
          <w:sz w:val="22"/>
          <w:szCs w:val="22"/>
        </w:rPr>
        <w:t xml:space="preserve">Query execution time limit of 120 seconds. Cancelled queries notify the user.</w:t>
      </w:r>
    </w:p>
    <w:p>
      <w:pPr>
        <w:pStyle w:val="ListParagraph"/>
        <w:numPr>
          <w:ilvl w:val="0"/>
          <w:numId w:val="2"/>
        </w:numPr>
        <w:spacing w:after="40" w:before="40"/>
        <w:ind w:left="720" w:hanging="360"/>
      </w:pPr>
      <w:r>
        <w:rPr>
          <w:rFonts w:ascii="Arial" w:cs="Arial" w:eastAsia="Arial" w:hAnsi="Arial"/>
          <w:color w:val="1F2937"/>
          <w:sz w:val="22"/>
          <w:szCs w:val="22"/>
        </w:rPr>
        <w:t xml:space="preserve">Result row limits: 10,000 for chart components, 50,000 for table components, 100 for preview queries.</w:t>
      </w:r>
    </w:p>
    <w:p>
      <w:pPr>
        <w:pStyle w:val="Heading2"/>
        <w:spacing w:after="120" w:before="400"/>
      </w:pPr>
      <w:r>
        <w:rPr>
          <w:rFonts w:ascii="Arial" w:cs="Arial" w:eastAsia="Arial" w:hAnsi="Arial"/>
          <w:b/>
          <w:bCs/>
          <w:color w:val="1E2B5C"/>
          <w:sz w:val="30"/>
          <w:szCs w:val="30"/>
        </w:rPr>
        <w:t xml:space="preserve">14.4 Audit Log Events</w:t>
      </w:r>
    </w:p>
    <w:p>
      <w:pPr>
        <w:spacing w:after="60" w:before="60"/>
      </w:pPr>
      <w:r>
        <w:rPr>
          <w:rFonts w:ascii="Arial" w:cs="Arial" w:eastAsia="Arial" w:hAnsi="Arial"/>
          <w:color w:val="1F2937"/>
          <w:sz w:val="22"/>
          <w:szCs w:val="22"/>
        </w:rPr>
        <w:t xml:space="preserve">The audit log is append-only and records every significant system event with actor identity and timestamp:</w:t>
      </w:r>
    </w:p>
    <w:p>
      <w:pPr>
        <w:pStyle w:val="ListParagraph"/>
        <w:numPr>
          <w:ilvl w:val="0"/>
          <w:numId w:val="2"/>
        </w:numPr>
        <w:spacing w:after="40" w:before="40"/>
        <w:ind w:left="720" w:hanging="360"/>
      </w:pPr>
      <w:r>
        <w:rPr>
          <w:rFonts w:ascii="Arial" w:cs="Arial" w:eastAsia="Arial" w:hAnsi="Arial"/>
          <w:color w:val="1F2937"/>
          <w:sz w:val="22"/>
          <w:szCs w:val="22"/>
        </w:rPr>
        <w:t xml:space="preserve">Governance manifest creation, update, and human review decisions</w:t>
      </w:r>
    </w:p>
    <w:p>
      <w:pPr>
        <w:pStyle w:val="ListParagraph"/>
        <w:numPr>
          <w:ilvl w:val="0"/>
          <w:numId w:val="2"/>
        </w:numPr>
        <w:spacing w:after="40" w:before="40"/>
        <w:ind w:left="720" w:hanging="360"/>
      </w:pPr>
      <w:r>
        <w:rPr>
          <w:rFonts w:ascii="Arial" w:cs="Arial" w:eastAsia="Arial" w:hAnsi="Arial"/>
          <w:color w:val="1F2937"/>
          <w:sz w:val="22"/>
          <w:szCs w:val="22"/>
        </w:rPr>
        <w:t xml:space="preserve">Semantic layer definition creation, update, and conflict resolution</w:t>
      </w:r>
    </w:p>
    <w:p>
      <w:pPr>
        <w:pStyle w:val="ListParagraph"/>
        <w:numPr>
          <w:ilvl w:val="0"/>
          <w:numId w:val="2"/>
        </w:numPr>
        <w:spacing w:after="40" w:before="40"/>
        <w:ind w:left="720" w:hanging="360"/>
      </w:pPr>
      <w:r>
        <w:rPr>
          <w:rFonts w:ascii="Arial" w:cs="Arial" w:eastAsia="Arial" w:hAnsi="Arial"/>
          <w:color w:val="1F2937"/>
          <w:sz w:val="22"/>
          <w:szCs w:val="22"/>
        </w:rPr>
        <w:t xml:space="preserve">Pipeline stage completions, quality gate results, and repair cycle attempts</w:t>
      </w:r>
    </w:p>
    <w:p>
      <w:pPr>
        <w:pStyle w:val="ListParagraph"/>
        <w:numPr>
          <w:ilvl w:val="0"/>
          <w:numId w:val="2"/>
        </w:numPr>
        <w:spacing w:after="40" w:before="40"/>
        <w:ind w:left="720" w:hanging="360"/>
      </w:pPr>
      <w:r>
        <w:rPr>
          <w:rFonts w:ascii="Arial" w:cs="Arial" w:eastAsia="Arial" w:hAnsi="Arial"/>
          <w:color w:val="1F2937"/>
          <w:sz w:val="22"/>
          <w:szCs w:val="22"/>
        </w:rPr>
        <w:t xml:space="preserve">Model promotion decisions including automated and human-override promotions</w:t>
      </w:r>
    </w:p>
    <w:p>
      <w:pPr>
        <w:pStyle w:val="ListParagraph"/>
        <w:numPr>
          <w:ilvl w:val="0"/>
          <w:numId w:val="2"/>
        </w:numPr>
        <w:spacing w:after="40" w:before="40"/>
        <w:ind w:left="720" w:hanging="360"/>
      </w:pPr>
      <w:r>
        <w:rPr>
          <w:rFonts w:ascii="Arial" w:cs="Arial" w:eastAsia="Arial" w:hAnsi="Arial"/>
          <w:color w:val="1F2937"/>
          <w:sz w:val="22"/>
          <w:szCs w:val="22"/>
        </w:rPr>
        <w:t xml:space="preserve">Artifact creation, refresh, publication, and deletion</w:t>
      </w:r>
    </w:p>
    <w:p>
      <w:pPr>
        <w:pStyle w:val="ListParagraph"/>
        <w:numPr>
          <w:ilvl w:val="0"/>
          <w:numId w:val="2"/>
        </w:numPr>
        <w:spacing w:after="40" w:before="40"/>
        <w:ind w:left="720" w:hanging="360"/>
      </w:pPr>
      <w:r>
        <w:rPr>
          <w:rFonts w:ascii="Arial" w:cs="Arial" w:eastAsia="Arial" w:hAnsi="Arial"/>
          <w:color w:val="1F2937"/>
          <w:sz w:val="22"/>
          <w:szCs w:val="22"/>
        </w:rPr>
        <w:t xml:space="preserve">Share link creation, embed token issuance, and access events including view count increments</w:t>
      </w:r>
    </w:p>
    <w:p>
      <w:pPr>
        <w:pStyle w:val="ListParagraph"/>
        <w:numPr>
          <w:ilvl w:val="0"/>
          <w:numId w:val="2"/>
        </w:numPr>
        <w:spacing w:after="40" w:before="40"/>
        <w:ind w:left="720" w:hanging="360"/>
      </w:pPr>
      <w:r>
        <w:rPr>
          <w:rFonts w:ascii="Arial" w:cs="Arial" w:eastAsia="Arial" w:hAnsi="Arial"/>
          <w:color w:val="1F2937"/>
          <w:sz w:val="22"/>
          <w:szCs w:val="22"/>
        </w:rPr>
        <w:t xml:space="preserve">Annotation creation and deletion</w:t>
      </w:r>
    </w:p>
    <w:p>
      <w:pPr>
        <w:pStyle w:val="ListParagraph"/>
        <w:numPr>
          <w:ilvl w:val="0"/>
          <w:numId w:val="2"/>
        </w:numPr>
        <w:spacing w:after="40" w:before="40"/>
        <w:ind w:left="720" w:hanging="360"/>
      </w:pPr>
      <w:r>
        <w:rPr>
          <w:rFonts w:ascii="Arial" w:cs="Arial" w:eastAsia="Arial" w:hAnsi="Arial"/>
          <w:color w:val="1F2937"/>
          <w:sz w:val="22"/>
          <w:szCs w:val="22"/>
        </w:rPr>
        <w:t xml:space="preserve">Alert subscription creation and alert delivery events</w:t>
      </w:r>
    </w:p>
    <w:p>
      <w:pPr>
        <w:pStyle w:val="ListParagraph"/>
        <w:numPr>
          <w:ilvl w:val="0"/>
          <w:numId w:val="2"/>
        </w:numPr>
        <w:spacing w:after="40" w:before="40"/>
        <w:ind w:left="720" w:hanging="360"/>
      </w:pPr>
      <w:r>
        <w:rPr>
          <w:rFonts w:ascii="Arial" w:cs="Arial" w:eastAsia="Arial" w:hAnsi="Arial"/>
          <w:color w:val="1F2937"/>
          <w:sz w:val="22"/>
          <w:szCs w:val="22"/>
        </w:rPr>
        <w:t xml:space="preserve">Access denied events for both data access and artifact access</w:t>
      </w:r>
    </w:p>
    <w:p>
      <w:pPr>
        <w:pStyle w:val="ListParagraph"/>
        <w:numPr>
          <w:ilvl w:val="0"/>
          <w:numId w:val="2"/>
        </w:numPr>
        <w:spacing w:after="40" w:before="40"/>
        <w:ind w:left="720" w:hanging="360"/>
      </w:pPr>
      <w:r>
        <w:rPr>
          <w:rFonts w:ascii="Arial" w:cs="Arial" w:eastAsia="Arial" w:hAnsi="Arial"/>
          <w:color w:val="1F2937"/>
          <w:sz w:val="22"/>
          <w:szCs w:val="22"/>
        </w:rPr>
        <w:t xml:space="preserve">Workspace admin configuration changes including role assignments and data contract modifications</w:t>
      </w:r>
    </w:p>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XV — Implementation Roadmap</w:t>
      </w:r>
    </w:p>
    <w:p>
      <w:pPr>
        <w:spacing w:after="0" w:before="160"/>
      </w:pPr>
    </w:p>
    <w:p>
      <w:pPr>
        <w:pStyle w:val="Heading2"/>
        <w:spacing w:after="120" w:before="400"/>
      </w:pPr>
      <w:r>
        <w:rPr>
          <w:rFonts w:ascii="Arial" w:cs="Arial" w:eastAsia="Arial" w:hAnsi="Arial"/>
          <w:b/>
          <w:bCs/>
          <w:color w:val="1E2B5C"/>
          <w:sz w:val="30"/>
          <w:szCs w:val="30"/>
        </w:rPr>
        <w:t xml:space="preserve">15.1 Phase 1 — Foundation (Months 1 through 3)</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4338CA"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GOAL</w:t>
            </w:r>
          </w:p>
        </w:tc>
        <w:tc>
          <w:tcPr>
            <w:tcW w:type="dxa" w:w="9120"/>
            <w:shd w:fill="EEF2FF" w:val="clear"/>
            <w:tcMar>
              <w:top w:type="dxa" w:w="80"/>
              <w:left w:type="dxa" w:w="180"/>
              <w:bottom w:type="dxa" w:w="80"/>
              <w:right w:type="dxa" w:w="120"/>
            </w:tcMar>
          </w:tcPr>
          <w:p>
            <w:r>
              <w:rPr>
                <w:rFonts w:ascii="Arial" w:cs="Arial" w:eastAsia="Arial" w:hAnsi="Arial"/>
                <w:color w:val="1F2937"/>
                <w:sz w:val="21"/>
                <w:szCs w:val="21"/>
              </w:rPr>
              <w:t xml:space="preserve">Core pipeline working end to end for a single warehouse connector. Manual governance review UI. Vega-Lite rendering for line, bar, and KPI components. Basic artifact delivery. No predictive modeling.</w:t>
            </w:r>
          </w:p>
        </w:tc>
      </w:tr>
    </w:tbl>
    <w:p>
      <w:pPr>
        <w:spacing w:after="0" w:before="160"/>
      </w:pPr>
    </w:p>
    <w:p>
      <w:pPr>
        <w:pStyle w:val="ListParagraph"/>
        <w:numPr>
          <w:ilvl w:val="0"/>
          <w:numId w:val="2"/>
        </w:numPr>
        <w:spacing w:after="40" w:before="40"/>
        <w:ind w:left="720" w:hanging="360"/>
      </w:pPr>
      <w:r>
        <w:rPr>
          <w:rFonts w:ascii="Arial" w:cs="Arial" w:eastAsia="Arial" w:hAnsi="Arial"/>
          <w:color w:val="1F2937"/>
          <w:sz w:val="22"/>
          <w:szCs w:val="22"/>
        </w:rPr>
        <w:t xml:space="preserve">Snowflake connector and governance agent producing governance manifest with health scores</w:t>
      </w:r>
    </w:p>
    <w:p>
      <w:pPr>
        <w:pStyle w:val="ListParagraph"/>
        <w:numPr>
          <w:ilvl w:val="0"/>
          <w:numId w:val="2"/>
        </w:numPr>
        <w:spacing w:after="40" w:before="40"/>
        <w:ind w:left="720" w:hanging="360"/>
      </w:pPr>
      <w:r>
        <w:rPr>
          <w:rFonts w:ascii="Arial" w:cs="Arial" w:eastAsia="Arial" w:hAnsi="Arial"/>
          <w:color w:val="1F2937"/>
          <w:sz w:val="22"/>
          <w:szCs w:val="22"/>
        </w:rPr>
        <w:t xml:space="preserve">Semantic layer builder for schemas with up to 3 explores</w:t>
      </w:r>
    </w:p>
    <w:p>
      <w:pPr>
        <w:pStyle w:val="ListParagraph"/>
        <w:numPr>
          <w:ilvl w:val="0"/>
          <w:numId w:val="2"/>
        </w:numPr>
        <w:spacing w:after="40" w:before="40"/>
        <w:ind w:left="720" w:hanging="360"/>
      </w:pPr>
      <w:r>
        <w:rPr>
          <w:rFonts w:ascii="Arial" w:cs="Arial" w:eastAsia="Arial" w:hAnsi="Arial"/>
          <w:color w:val="1F2937"/>
          <w:sz w:val="22"/>
          <w:szCs w:val="22"/>
        </w:rPr>
        <w:t xml:space="preserve">Session planner agent with intent classification and one-clarification protocol</w:t>
      </w:r>
    </w:p>
    <w:p>
      <w:pPr>
        <w:pStyle w:val="ListParagraph"/>
        <w:numPr>
          <w:ilvl w:val="0"/>
          <w:numId w:val="2"/>
        </w:numPr>
        <w:spacing w:after="40" w:before="40"/>
        <w:ind w:left="720" w:hanging="360"/>
      </w:pPr>
      <w:r>
        <w:rPr>
          <w:rFonts w:ascii="Arial" w:cs="Arial" w:eastAsia="Arial" w:hAnsi="Arial"/>
          <w:color w:val="1F2937"/>
          <w:sz w:val="22"/>
          <w:szCs w:val="22"/>
        </w:rPr>
        <w:t xml:space="preserve">Planner agent producing dashboard plan for up to 4 components</w:t>
      </w:r>
    </w:p>
    <w:p>
      <w:pPr>
        <w:pStyle w:val="ListParagraph"/>
        <w:numPr>
          <w:ilvl w:val="0"/>
          <w:numId w:val="2"/>
        </w:numPr>
        <w:spacing w:after="40" w:before="40"/>
        <w:ind w:left="720" w:hanging="360"/>
      </w:pPr>
      <w:r>
        <w:rPr>
          <w:rFonts w:ascii="Arial" w:cs="Arial" w:eastAsia="Arial" w:hAnsi="Arial"/>
          <w:color w:val="1F2937"/>
          <w:sz w:val="22"/>
          <w:szCs w:val="22"/>
        </w:rPr>
        <w:t xml:space="preserve">Data agent with SQL generation, safety validation, and execution for Snowflake dialect</w:t>
      </w:r>
    </w:p>
    <w:p>
      <w:pPr>
        <w:pStyle w:val="ListParagraph"/>
        <w:numPr>
          <w:ilvl w:val="0"/>
          <w:numId w:val="2"/>
        </w:numPr>
        <w:spacing w:after="40" w:before="40"/>
        <w:ind w:left="720" w:hanging="360"/>
      </w:pPr>
      <w:r>
        <w:rPr>
          <w:rFonts w:ascii="Arial" w:cs="Arial" w:eastAsia="Arial" w:hAnsi="Arial"/>
          <w:color w:val="1F2937"/>
          <w:sz w:val="22"/>
          <w:szCs w:val="22"/>
        </w:rPr>
        <w:t xml:space="preserve">Visualization agent generating Vega-Lite v5 specs for line, bar, horizontal_bar, and KPI types</w:t>
      </w:r>
    </w:p>
    <w:p>
      <w:pPr>
        <w:pStyle w:val="ListParagraph"/>
        <w:numPr>
          <w:ilvl w:val="0"/>
          <w:numId w:val="2"/>
        </w:numPr>
        <w:spacing w:after="40" w:before="40"/>
        <w:ind w:left="720" w:hanging="360"/>
      </w:pPr>
      <w:r>
        <w:rPr>
          <w:rFonts w:ascii="Arial" w:cs="Arial" w:eastAsia="Arial" w:hAnsi="Arial"/>
          <w:color w:val="1F2937"/>
          <w:sz w:val="22"/>
          <w:szCs w:val="22"/>
        </w:rPr>
        <w:t xml:space="preserve">Vega-Lite v5 JSON schema validation gate</w:t>
      </w:r>
    </w:p>
    <w:p>
      <w:pPr>
        <w:pStyle w:val="ListParagraph"/>
        <w:numPr>
          <w:ilvl w:val="0"/>
          <w:numId w:val="2"/>
        </w:numPr>
        <w:spacing w:after="40" w:before="40"/>
        <w:ind w:left="720" w:hanging="360"/>
      </w:pPr>
      <w:r>
        <w:rPr>
          <w:rFonts w:ascii="Arial" w:cs="Arial" w:eastAsia="Arial" w:hAnsi="Arial"/>
          <w:color w:val="1F2937"/>
          <w:sz w:val="22"/>
          <w:szCs w:val="22"/>
        </w:rPr>
        <w:t xml:space="preserve">Critic agent with basic readability checks and repair agent with Top-N and type-conversion repairs</w:t>
      </w:r>
    </w:p>
    <w:p>
      <w:pPr>
        <w:pStyle w:val="ListParagraph"/>
        <w:numPr>
          <w:ilvl w:val="0"/>
          <w:numId w:val="2"/>
        </w:numPr>
        <w:spacing w:after="40" w:before="40"/>
        <w:ind w:left="720" w:hanging="360"/>
      </w:pPr>
      <w:r>
        <w:rPr>
          <w:rFonts w:ascii="Arial" w:cs="Arial" w:eastAsia="Arial" w:hAnsi="Arial"/>
          <w:color w:val="1F2937"/>
          <w:sz w:val="22"/>
          <w:szCs w:val="22"/>
        </w:rPr>
        <w:t xml:space="preserve">Artifact assembly producing self-contained HTML with Vega-Embed and gold layer API data fetching</w:t>
      </w:r>
    </w:p>
    <w:p>
      <w:pPr>
        <w:pStyle w:val="ListParagraph"/>
        <w:numPr>
          <w:ilvl w:val="0"/>
          <w:numId w:val="2"/>
        </w:numPr>
        <w:spacing w:after="40" w:before="40"/>
        <w:ind w:left="720" w:hanging="360"/>
      </w:pPr>
      <w:r>
        <w:rPr>
          <w:rFonts w:ascii="Arial" w:cs="Arial" w:eastAsia="Arial" w:hAnsi="Arial"/>
          <w:color w:val="1F2937"/>
          <w:sz w:val="22"/>
          <w:szCs w:val="22"/>
        </w:rPr>
        <w:t xml:space="preserve">Workspace artifact list with save and basic share link generation</w:t>
      </w:r>
    </w:p>
    <w:p>
      <w:pPr>
        <w:pStyle w:val="ListParagraph"/>
        <w:numPr>
          <w:ilvl w:val="0"/>
          <w:numId w:val="2"/>
        </w:numPr>
        <w:spacing w:after="40" w:before="40"/>
        <w:ind w:left="720" w:hanging="360"/>
      </w:pPr>
      <w:r>
        <w:rPr>
          <w:rFonts w:ascii="Arial" w:cs="Arial" w:eastAsia="Arial" w:hAnsi="Arial"/>
          <w:color w:val="1F2937"/>
          <w:sz w:val="22"/>
          <w:szCs w:val="22"/>
        </w:rPr>
        <w:t xml:space="preserve">SSE streaming for pipeline progress with agent_start, dq_gate, agent_complete, and artifact_ready events</w:t>
      </w:r>
    </w:p>
    <w:p>
      <w:pPr>
        <w:pStyle w:val="Heading2"/>
        <w:spacing w:after="120" w:before="400"/>
      </w:pPr>
      <w:r>
        <w:rPr>
          <w:rFonts w:ascii="Arial" w:cs="Arial" w:eastAsia="Arial" w:hAnsi="Arial"/>
          <w:b/>
          <w:bCs/>
          <w:color w:val="1E2B5C"/>
          <w:sz w:val="30"/>
          <w:szCs w:val="30"/>
        </w:rPr>
        <w:t xml:space="preserve">15.2 Phase 2 — Completeness (Months 4 through 6)</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0D9488"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GOAL</w:t>
            </w:r>
          </w:p>
        </w:tc>
        <w:tc>
          <w:tcPr>
            <w:tcW w:type="dxa" w:w="9120"/>
            <w:shd w:fill="CCFBF1" w:val="clear"/>
            <w:tcMar>
              <w:top w:type="dxa" w:w="80"/>
              <w:left w:type="dxa" w:w="180"/>
              <w:bottom w:type="dxa" w:w="80"/>
              <w:right w:type="dxa" w:w="120"/>
            </w:tcMar>
          </w:tcPr>
          <w:p>
            <w:r>
              <w:rPr>
                <w:rFonts w:ascii="Arial" w:cs="Arial" w:eastAsia="Arial" w:hAnsi="Arial"/>
                <w:color w:val="1F2937"/>
                <w:sz w:val="21"/>
                <w:szCs w:val="21"/>
              </w:rPr>
              <w:t xml:space="preserve">All dashboard component types supported. Full feature engineering and predictive modeling pipeline. Drill-through, annotations, cross-filtering, and metric alerts. BigQuery and Postgres connectors.</w:t>
            </w:r>
          </w:p>
        </w:tc>
      </w:tr>
    </w:tbl>
    <w:p>
      <w:pPr>
        <w:spacing w:after="0" w:before="160"/>
      </w:pPr>
    </w:p>
    <w:p>
      <w:pPr>
        <w:pStyle w:val="ListParagraph"/>
        <w:numPr>
          <w:ilvl w:val="0"/>
          <w:numId w:val="2"/>
        </w:numPr>
        <w:spacing w:after="40" w:before="40"/>
        <w:ind w:left="720" w:hanging="360"/>
      </w:pPr>
      <w:r>
        <w:rPr>
          <w:rFonts w:ascii="Arial" w:cs="Arial" w:eastAsia="Arial" w:hAnsi="Arial"/>
          <w:color w:val="1F2937"/>
          <w:sz w:val="22"/>
          <w:szCs w:val="22"/>
        </w:rPr>
        <w:t xml:space="preserve">Full feature engineering subagent with all encoding, imputation, and collinearity strategies</w:t>
      </w:r>
    </w:p>
    <w:p>
      <w:pPr>
        <w:pStyle w:val="ListParagraph"/>
        <w:numPr>
          <w:ilvl w:val="0"/>
          <w:numId w:val="2"/>
        </w:numPr>
        <w:spacing w:after="40" w:before="40"/>
        <w:ind w:left="720" w:hanging="360"/>
      </w:pPr>
      <w:r>
        <w:rPr>
          <w:rFonts w:ascii="Arial" w:cs="Arial" w:eastAsia="Arial" w:hAnsi="Arial"/>
          <w:color w:val="1F2937"/>
          <w:sz w:val="22"/>
          <w:szCs w:val="22"/>
        </w:rPr>
        <w:t xml:space="preserve">XGBoost, LightGBM, Ridge, and Prophet model training with walk-forward backtesting</w:t>
      </w:r>
    </w:p>
    <w:p>
      <w:pPr>
        <w:pStyle w:val="ListParagraph"/>
        <w:numPr>
          <w:ilvl w:val="0"/>
          <w:numId w:val="2"/>
        </w:numPr>
        <w:spacing w:after="40" w:before="40"/>
        <w:ind w:left="720" w:hanging="360"/>
      </w:pPr>
      <w:r>
        <w:rPr>
          <w:rFonts w:ascii="Arial" w:cs="Arial" w:eastAsia="Arial" w:hAnsi="Arial"/>
          <w:color w:val="1F2937"/>
          <w:sz w:val="22"/>
          <w:szCs w:val="22"/>
        </w:rPr>
        <w:t xml:space="preserve">Model trial leaderboard with champion override flow and trade-off summary generation</w:t>
      </w:r>
    </w:p>
    <w:p>
      <w:pPr>
        <w:pStyle w:val="ListParagraph"/>
        <w:numPr>
          <w:ilvl w:val="0"/>
          <w:numId w:val="2"/>
        </w:numPr>
        <w:spacing w:after="40" w:before="40"/>
        <w:ind w:left="720" w:hanging="360"/>
      </w:pPr>
      <w:r>
        <w:rPr>
          <w:rFonts w:ascii="Arial" w:cs="Arial" w:eastAsia="Arial" w:hAnsi="Arial"/>
          <w:color w:val="1F2937"/>
          <w:sz w:val="22"/>
          <w:szCs w:val="22"/>
        </w:rPr>
        <w:t xml:space="preserve">Gold layer prediction, model insights, and forecast tables with DQ gate validation</w:t>
      </w:r>
    </w:p>
    <w:p>
      <w:pPr>
        <w:pStyle w:val="ListParagraph"/>
        <w:numPr>
          <w:ilvl w:val="0"/>
          <w:numId w:val="2"/>
        </w:numPr>
        <w:spacing w:after="40" w:before="40"/>
        <w:ind w:left="720" w:hanging="360"/>
      </w:pPr>
      <w:r>
        <w:rPr>
          <w:rFonts w:ascii="Arial" w:cs="Arial" w:eastAsia="Arial" w:hAnsi="Arial"/>
          <w:color w:val="1F2937"/>
          <w:sz w:val="22"/>
          <w:szCs w:val="22"/>
        </w:rPr>
        <w:t xml:space="preserve">SHAP explainability tables and feature importance panel in artifacts</w:t>
      </w:r>
    </w:p>
    <w:p>
      <w:pPr>
        <w:pStyle w:val="ListParagraph"/>
        <w:numPr>
          <w:ilvl w:val="0"/>
          <w:numId w:val="2"/>
        </w:numPr>
        <w:spacing w:after="40" w:before="40"/>
        <w:ind w:left="720" w:hanging="360"/>
      </w:pPr>
      <w:r>
        <w:rPr>
          <w:rFonts w:ascii="Arial" w:cs="Arial" w:eastAsia="Arial" w:hAnsi="Arial"/>
          <w:color w:val="1F2937"/>
          <w:sz w:val="22"/>
          <w:szCs w:val="22"/>
        </w:rPr>
        <w:t xml:space="preserve">Predictive dashboard panels: forecast with CI ribbon, model comparison leaderboard, actual vs predicted time series</w:t>
      </w:r>
    </w:p>
    <w:p>
      <w:pPr>
        <w:pStyle w:val="ListParagraph"/>
        <w:numPr>
          <w:ilvl w:val="0"/>
          <w:numId w:val="2"/>
        </w:numPr>
        <w:spacing w:after="40" w:before="40"/>
        <w:ind w:left="720" w:hanging="360"/>
      </w:pPr>
      <w:r>
        <w:rPr>
          <w:rFonts w:ascii="Arial" w:cs="Arial" w:eastAsia="Arial" w:hAnsi="Arial"/>
          <w:color w:val="1F2937"/>
          <w:sz w:val="22"/>
          <w:szCs w:val="22"/>
        </w:rPr>
        <w:t xml:space="preserve">Click-to-drill cross-filtering and drill-through drawer with grain-level row data</w:t>
      </w:r>
    </w:p>
    <w:p>
      <w:pPr>
        <w:pStyle w:val="ListParagraph"/>
        <w:numPr>
          <w:ilvl w:val="0"/>
          <w:numId w:val="2"/>
        </w:numPr>
        <w:spacing w:after="40" w:before="40"/>
        <w:ind w:left="720" w:hanging="360"/>
      </w:pPr>
      <w:r>
        <w:rPr>
          <w:rFonts w:ascii="Arial" w:cs="Arial" w:eastAsia="Arial" w:hAnsi="Arial"/>
          <w:color w:val="1F2937"/>
          <w:sz w:val="22"/>
          <w:szCs w:val="22"/>
        </w:rPr>
        <w:t xml:space="preserve">Natural language annotations with storage, rendering, and ML injection opt-in</w:t>
      </w:r>
    </w:p>
    <w:p>
      <w:pPr>
        <w:pStyle w:val="ListParagraph"/>
        <w:numPr>
          <w:ilvl w:val="0"/>
          <w:numId w:val="2"/>
        </w:numPr>
        <w:spacing w:after="40" w:before="40"/>
        <w:ind w:left="720" w:hanging="360"/>
      </w:pPr>
      <w:r>
        <w:rPr>
          <w:rFonts w:ascii="Arial" w:cs="Arial" w:eastAsia="Arial" w:hAnsi="Arial"/>
          <w:color w:val="1F2937"/>
          <w:sz w:val="22"/>
          <w:szCs w:val="22"/>
        </w:rPr>
        <w:t xml:space="preserve">Metric alert subscriptions with email delivery and muting support</w:t>
      </w:r>
    </w:p>
    <w:p>
      <w:pPr>
        <w:pStyle w:val="ListParagraph"/>
        <w:numPr>
          <w:ilvl w:val="0"/>
          <w:numId w:val="2"/>
        </w:numPr>
        <w:spacing w:after="40" w:before="40"/>
        <w:ind w:left="720" w:hanging="360"/>
      </w:pPr>
      <w:r>
        <w:rPr>
          <w:rFonts w:ascii="Arial" w:cs="Arial" w:eastAsia="Arial" w:hAnsi="Arial"/>
          <w:color w:val="1F2937"/>
          <w:sz w:val="22"/>
          <w:szCs w:val="22"/>
        </w:rPr>
        <w:t xml:space="preserve">Proactive insight detection agent running as background job</w:t>
      </w:r>
    </w:p>
    <w:p>
      <w:pPr>
        <w:pStyle w:val="ListParagraph"/>
        <w:numPr>
          <w:ilvl w:val="0"/>
          <w:numId w:val="2"/>
        </w:numPr>
        <w:spacing w:after="40" w:before="40"/>
        <w:ind w:left="720" w:hanging="360"/>
      </w:pPr>
      <w:r>
        <w:rPr>
          <w:rFonts w:ascii="Arial" w:cs="Arial" w:eastAsia="Arial" w:hAnsi="Arial"/>
          <w:color w:val="1F2937"/>
          <w:sz w:val="22"/>
          <w:szCs w:val="22"/>
        </w:rPr>
        <w:t xml:space="preserve">Related analysis suggestion agent</w:t>
      </w:r>
    </w:p>
    <w:p>
      <w:pPr>
        <w:pStyle w:val="ListParagraph"/>
        <w:numPr>
          <w:ilvl w:val="0"/>
          <w:numId w:val="2"/>
        </w:numPr>
        <w:spacing w:after="40" w:before="40"/>
        <w:ind w:left="720" w:hanging="360"/>
      </w:pPr>
      <w:r>
        <w:rPr>
          <w:rFonts w:ascii="Arial" w:cs="Arial" w:eastAsia="Arial" w:hAnsi="Arial"/>
          <w:color w:val="1F2937"/>
          <w:sz w:val="22"/>
          <w:szCs w:val="22"/>
        </w:rPr>
        <w:t xml:space="preserve">Area, scatter, heatmap, histogram, and table Vega-Lite components</w:t>
      </w:r>
    </w:p>
    <w:p>
      <w:pPr>
        <w:pStyle w:val="ListParagraph"/>
        <w:numPr>
          <w:ilvl w:val="0"/>
          <w:numId w:val="2"/>
        </w:numPr>
        <w:spacing w:after="40" w:before="40"/>
        <w:ind w:left="720" w:hanging="360"/>
      </w:pPr>
      <w:r>
        <w:rPr>
          <w:rFonts w:ascii="Arial" w:cs="Arial" w:eastAsia="Arial" w:hAnsi="Arial"/>
          <w:color w:val="1F2937"/>
          <w:sz w:val="22"/>
          <w:szCs w:val="22"/>
        </w:rPr>
        <w:t xml:space="preserve">BigQuery and Postgres connectors</w:t>
      </w:r>
    </w:p>
    <w:p>
      <w:pPr>
        <w:pStyle w:val="ListParagraph"/>
        <w:numPr>
          <w:ilvl w:val="0"/>
          <w:numId w:val="2"/>
        </w:numPr>
        <w:spacing w:after="40" w:before="40"/>
        <w:ind w:left="720" w:hanging="360"/>
      </w:pPr>
      <w:r>
        <w:rPr>
          <w:rFonts w:ascii="Arial" w:cs="Arial" w:eastAsia="Arial" w:hAnsi="Arial"/>
          <w:color w:val="1F2937"/>
          <w:sz w:val="22"/>
          <w:szCs w:val="22"/>
        </w:rPr>
        <w:t xml:space="preserve">Scheduled refresh with drift detection and one-click retrain</w:t>
      </w:r>
    </w:p>
    <w:p>
      <w:pPr>
        <w:pStyle w:val="ListParagraph"/>
        <w:numPr>
          <w:ilvl w:val="0"/>
          <w:numId w:val="2"/>
        </w:numPr>
        <w:spacing w:after="40" w:before="40"/>
        <w:ind w:left="720" w:hanging="360"/>
      </w:pPr>
      <w:r>
        <w:rPr>
          <w:rFonts w:ascii="Arial" w:cs="Arial" w:eastAsia="Arial" w:hAnsi="Arial"/>
          <w:color w:val="1F2937"/>
          <w:sz w:val="22"/>
          <w:szCs w:val="22"/>
        </w:rPr>
        <w:t xml:space="preserve">Cell-based pipeline audit trail with fork-from-step</w:t>
      </w:r>
    </w:p>
    <w:p>
      <w:pPr>
        <w:pStyle w:val="Heading2"/>
        <w:spacing w:after="120" w:before="400"/>
      </w:pPr>
      <w:r>
        <w:rPr>
          <w:rFonts w:ascii="Arial" w:cs="Arial" w:eastAsia="Arial" w:hAnsi="Arial"/>
          <w:b/>
          <w:bCs/>
          <w:color w:val="1E2B5C"/>
          <w:sz w:val="30"/>
          <w:szCs w:val="30"/>
        </w:rPr>
        <w:t xml:space="preserve">15.3 Phase 3 — Scale and Enterprise (Months 7 through 12)</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DC4A2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GOAL</w:t>
            </w:r>
          </w:p>
        </w:tc>
        <w:tc>
          <w:tcPr>
            <w:tcW w:type="dxa" w:w="9120"/>
            <w:shd w:fill="FEE2D5" w:val="clear"/>
            <w:tcMar>
              <w:top w:type="dxa" w:w="80"/>
              <w:left w:type="dxa" w:w="180"/>
              <w:bottom w:type="dxa" w:w="80"/>
              <w:right w:type="dxa" w:w="120"/>
            </w:tcMar>
          </w:tcPr>
          <w:p>
            <w:r>
              <w:rPr>
                <w:rFonts w:ascii="Arial" w:cs="Arial" w:eastAsia="Arial" w:hAnsi="Arial"/>
                <w:color w:val="1F2937"/>
                <w:sz w:val="21"/>
                <w:szCs w:val="21"/>
              </w:rPr>
              <w:t xml:space="preserve">Enterprise-grade access control, audit, and governance. dbt integration. Champion-challenger live comparison. Custom feature injection. SSO. Slack integration. Databricks and Redshift connectors.</w:t>
            </w:r>
          </w:p>
        </w:tc>
      </w:tr>
    </w:tbl>
    <w:p>
      <w:pPr>
        <w:spacing w:after="0" w:before="160"/>
      </w:pPr>
    </w:p>
    <w:p>
      <w:pPr>
        <w:pStyle w:val="ListParagraph"/>
        <w:numPr>
          <w:ilvl w:val="0"/>
          <w:numId w:val="2"/>
        </w:numPr>
        <w:spacing w:after="40" w:before="40"/>
        <w:ind w:left="720" w:hanging="360"/>
      </w:pPr>
      <w:r>
        <w:rPr>
          <w:rFonts w:ascii="Arial" w:cs="Arial" w:eastAsia="Arial" w:hAnsi="Arial"/>
          <w:color w:val="1F2937"/>
          <w:sz w:val="22"/>
          <w:szCs w:val="22"/>
        </w:rPr>
        <w:t xml:space="preserve">dbt project import as semantic layer explores with dbt test inheritance</w:t>
      </w:r>
    </w:p>
    <w:p>
      <w:pPr>
        <w:pStyle w:val="ListParagraph"/>
        <w:numPr>
          <w:ilvl w:val="0"/>
          <w:numId w:val="2"/>
        </w:numPr>
        <w:spacing w:after="40" w:before="40"/>
        <w:ind w:left="720" w:hanging="360"/>
      </w:pPr>
      <w:r>
        <w:rPr>
          <w:rFonts w:ascii="Arial" w:cs="Arial" w:eastAsia="Arial" w:hAnsi="Arial"/>
          <w:color w:val="1F2937"/>
          <w:sz w:val="22"/>
          <w:szCs w:val="22"/>
        </w:rPr>
        <w:t xml:space="preserve">Champion-challenger 14-day live comparison framework</w:t>
      </w:r>
    </w:p>
    <w:p>
      <w:pPr>
        <w:pStyle w:val="ListParagraph"/>
        <w:numPr>
          <w:ilvl w:val="0"/>
          <w:numId w:val="2"/>
        </w:numPr>
        <w:spacing w:after="40" w:before="40"/>
        <w:ind w:left="720" w:hanging="360"/>
      </w:pPr>
      <w:r>
        <w:rPr>
          <w:rFonts w:ascii="Arial" w:cs="Arial" w:eastAsia="Arial" w:hAnsi="Arial"/>
          <w:color w:val="1F2937"/>
          <w:sz w:val="22"/>
          <w:szCs w:val="22"/>
        </w:rPr>
        <w:t xml:space="preserve">Custom feature injection via sandboxed Python function upload</w:t>
      </w:r>
    </w:p>
    <w:p>
      <w:pPr>
        <w:pStyle w:val="ListParagraph"/>
        <w:numPr>
          <w:ilvl w:val="0"/>
          <w:numId w:val="2"/>
        </w:numPr>
        <w:spacing w:after="40" w:before="40"/>
        <w:ind w:left="720" w:hanging="360"/>
      </w:pPr>
      <w:r>
        <w:rPr>
          <w:rFonts w:ascii="Arial" w:cs="Arial" w:eastAsia="Arial" w:hAnsi="Arial"/>
          <w:color w:val="1F2937"/>
          <w:sz w:val="22"/>
          <w:szCs w:val="22"/>
        </w:rPr>
        <w:t xml:space="preserve">Row-level security pass-through from warehouse to artifact gold API</w:t>
      </w:r>
    </w:p>
    <w:p>
      <w:pPr>
        <w:pStyle w:val="ListParagraph"/>
        <w:numPr>
          <w:ilvl w:val="0"/>
          <w:numId w:val="2"/>
        </w:numPr>
        <w:spacing w:after="40" w:before="40"/>
        <w:ind w:left="720" w:hanging="360"/>
      </w:pPr>
      <w:r>
        <w:rPr>
          <w:rFonts w:ascii="Arial" w:cs="Arial" w:eastAsia="Arial" w:hAnsi="Arial"/>
          <w:color w:val="1F2937"/>
          <w:sz w:val="22"/>
          <w:szCs w:val="22"/>
        </w:rPr>
        <w:t xml:space="preserve">Async training pipeline for datasets exceeding 1 million rows with email and Slack notification</w:t>
      </w:r>
    </w:p>
    <w:p>
      <w:pPr>
        <w:pStyle w:val="ListParagraph"/>
        <w:numPr>
          <w:ilvl w:val="0"/>
          <w:numId w:val="2"/>
        </w:numPr>
        <w:spacing w:after="40" w:before="40"/>
        <w:ind w:left="720" w:hanging="360"/>
      </w:pPr>
      <w:r>
        <w:rPr>
          <w:rFonts w:ascii="Arial" w:cs="Arial" w:eastAsia="Arial" w:hAnsi="Arial"/>
          <w:color w:val="1F2937"/>
          <w:sz w:val="22"/>
          <w:szCs w:val="22"/>
        </w:rPr>
        <w:t xml:space="preserve">Databricks SQL and Redshift connectors</w:t>
      </w:r>
    </w:p>
    <w:p>
      <w:pPr>
        <w:pStyle w:val="ListParagraph"/>
        <w:numPr>
          <w:ilvl w:val="0"/>
          <w:numId w:val="2"/>
        </w:numPr>
        <w:spacing w:after="40" w:before="40"/>
        <w:ind w:left="720" w:hanging="360"/>
      </w:pPr>
      <w:r>
        <w:rPr>
          <w:rFonts w:ascii="Arial" w:cs="Arial" w:eastAsia="Arial" w:hAnsi="Arial"/>
          <w:color w:val="1F2937"/>
          <w:sz w:val="22"/>
          <w:szCs w:val="22"/>
        </w:rPr>
        <w:t xml:space="preserve">Cross-workspace sharing with scoped embed tokens</w:t>
      </w:r>
    </w:p>
    <w:p>
      <w:pPr>
        <w:pStyle w:val="ListParagraph"/>
        <w:numPr>
          <w:ilvl w:val="0"/>
          <w:numId w:val="2"/>
        </w:numPr>
        <w:spacing w:after="40" w:before="40"/>
        <w:ind w:left="720" w:hanging="360"/>
      </w:pPr>
      <w:r>
        <w:rPr>
          <w:rFonts w:ascii="Arial" w:cs="Arial" w:eastAsia="Arial" w:hAnsi="Arial"/>
          <w:color w:val="1F2937"/>
          <w:sz w:val="22"/>
          <w:szCs w:val="22"/>
        </w:rPr>
        <w:t xml:space="preserve">Workspace branding customization propagated to all artifacts</w:t>
      </w:r>
    </w:p>
    <w:p>
      <w:pPr>
        <w:pStyle w:val="ListParagraph"/>
        <w:numPr>
          <w:ilvl w:val="0"/>
          <w:numId w:val="2"/>
        </w:numPr>
        <w:spacing w:after="40" w:before="40"/>
        <w:ind w:left="720" w:hanging="360"/>
      </w:pPr>
      <w:r>
        <w:rPr>
          <w:rFonts w:ascii="Arial" w:cs="Arial" w:eastAsia="Arial" w:hAnsi="Arial"/>
          <w:color w:val="1F2937"/>
          <w:sz w:val="22"/>
          <w:szCs w:val="22"/>
        </w:rPr>
        <w:t xml:space="preserve">SSO integration via SAML 2.0 and OIDC</w:t>
      </w:r>
    </w:p>
    <w:p>
      <w:pPr>
        <w:pStyle w:val="ListParagraph"/>
        <w:numPr>
          <w:ilvl w:val="0"/>
          <w:numId w:val="2"/>
        </w:numPr>
        <w:spacing w:after="40" w:before="40"/>
        <w:ind w:left="720" w:hanging="360"/>
      </w:pPr>
      <w:r>
        <w:rPr>
          <w:rFonts w:ascii="Arial" w:cs="Arial" w:eastAsia="Arial" w:hAnsi="Arial"/>
          <w:color w:val="1F2937"/>
          <w:sz w:val="22"/>
          <w:szCs w:val="22"/>
        </w:rPr>
        <w:t xml:space="preserve">Slack integration for alert delivery and daily insight summaries</w:t>
      </w:r>
    </w:p>
    <w:p>
      <w:pPr>
        <w:pStyle w:val="ListParagraph"/>
        <w:numPr>
          <w:ilvl w:val="0"/>
          <w:numId w:val="2"/>
        </w:numPr>
        <w:spacing w:after="40" w:before="40"/>
        <w:ind w:left="720" w:hanging="360"/>
      </w:pPr>
      <w:r>
        <w:rPr>
          <w:rFonts w:ascii="Arial" w:cs="Arial" w:eastAsia="Arial" w:hAnsi="Arial"/>
          <w:color w:val="1F2937"/>
          <w:sz w:val="22"/>
          <w:szCs w:val="22"/>
        </w:rPr>
        <w:t xml:space="preserve">Lineage DAG visualization with downstream impact analysis and schema change simulation</w:t>
      </w:r>
    </w:p>
    <w:p>
      <w:pPr>
        <w:pStyle w:val="ListParagraph"/>
        <w:numPr>
          <w:ilvl w:val="0"/>
          <w:numId w:val="2"/>
        </w:numPr>
        <w:spacing w:after="40" w:before="40"/>
        <w:ind w:left="720" w:hanging="360"/>
      </w:pPr>
      <w:r>
        <w:rPr>
          <w:rFonts w:ascii="Arial" w:cs="Arial" w:eastAsia="Arial" w:hAnsi="Arial"/>
          <w:color w:val="1F2937"/>
          <w:sz w:val="22"/>
          <w:szCs w:val="22"/>
        </w:rPr>
        <w:t xml:space="preserve">Pre-aggregation recommendation engine with auto-materialization and cost ceiling configuration</w:t>
      </w:r>
    </w:p>
    <w:p>
      <w:pPr>
        <w:pStyle w:val="ListParagraph"/>
        <w:numPr>
          <w:ilvl w:val="0"/>
          <w:numId w:val="2"/>
        </w:numPr>
        <w:spacing w:after="40" w:before="40"/>
        <w:ind w:left="720" w:hanging="360"/>
      </w:pPr>
      <w:r>
        <w:rPr>
          <w:rFonts w:ascii="Arial" w:cs="Arial" w:eastAsia="Arial" w:hAnsi="Arial"/>
          <w:color w:val="1F2937"/>
          <w:sz w:val="22"/>
          <w:szCs w:val="22"/>
        </w:rPr>
        <w:t xml:space="preserve">Visual field picker as alternative to conversational session entry</w:t>
      </w:r>
    </w:p>
    <w:p>
      <w:pPr>
        <w:pStyle w:val="ListParagraph"/>
        <w:numPr>
          <w:ilvl w:val="0"/>
          <w:numId w:val="2"/>
        </w:numPr>
        <w:spacing w:after="40" w:before="40"/>
        <w:ind w:left="720" w:hanging="360"/>
      </w:pPr>
      <w:r>
        <w:rPr>
          <w:rFonts w:ascii="Arial" w:cs="Arial" w:eastAsia="Arial" w:hAnsi="Arial"/>
          <w:color w:val="1F2937"/>
          <w:sz w:val="22"/>
          <w:szCs w:val="22"/>
        </w:rPr>
        <w:t xml:space="preserve">Persistent derived tables defined by workspace admins in the semantic layer</w:t>
      </w:r>
    </w:p>
    <w:p>
      <w:pPr>
        <w:pStyle w:val="ListParagraph"/>
        <w:numPr>
          <w:ilvl w:val="0"/>
          <w:numId w:val="2"/>
        </w:numPr>
        <w:spacing w:after="40" w:before="40"/>
        <w:ind w:left="720" w:hanging="360"/>
      </w:pPr>
      <w:r>
        <w:rPr>
          <w:rFonts w:ascii="Arial" w:cs="Arial" w:eastAsia="Arial" w:hAnsi="Arial"/>
          <w:color w:val="1F2937"/>
          <w:sz w:val="22"/>
          <w:szCs w:val="22"/>
        </w:rPr>
        <w:t xml:space="preserve">Comprehensive audit log export with filtering by event type, actor, and date range</w:t>
      </w:r>
    </w:p>
    <w:p>
      <w:pPr>
        <w:pStyle w:val="ListParagraph"/>
        <w:numPr>
          <w:ilvl w:val="0"/>
          <w:numId w:val="2"/>
        </w:numPr>
        <w:spacing w:after="40" w:before="40"/>
        <w:ind w:left="720" w:hanging="360"/>
      </w:pPr>
      <w:r>
        <w:rPr>
          <w:rFonts w:ascii="Arial" w:cs="Arial" w:eastAsia="Arial" w:hAnsi="Arial"/>
          <w:color w:val="1F2937"/>
          <w:sz w:val="22"/>
          <w:szCs w:val="22"/>
        </w:rPr>
        <w:t xml:space="preserve">Usage analytics dashboard built as a native AnalytIQ artifact for workspace admins</w:t>
      </w:r>
    </w:p>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XVI — Glossary and Quality Gate Master Reference</w:t>
      </w:r>
    </w:p>
    <w:p>
      <w:pPr>
        <w:spacing w:after="0" w:before="160"/>
      </w:pPr>
    </w:p>
    <w:p>
      <w:pPr>
        <w:pStyle w:val="Heading2"/>
        <w:spacing w:after="120" w:before="400"/>
      </w:pPr>
      <w:r>
        <w:rPr>
          <w:rFonts w:ascii="Arial" w:cs="Arial" w:eastAsia="Arial" w:hAnsi="Arial"/>
          <w:b/>
          <w:bCs/>
          <w:color w:val="1E2B5C"/>
          <w:sz w:val="30"/>
          <w:szCs w:val="30"/>
        </w:rPr>
        <w:t xml:space="preserve">16.1 Canonical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Governance manifest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Versioned JSON document produced by Stage 0 containing schema catalog, column statistical profiles, health scores, PII flags, and lineage edges. Ground truth for all downstream stages.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Semantic layer</w:t>
            </w:r>
          </w:p>
        </w:tc>
        <w:tc>
          <w:tcPr>
            <w:tcW w:type="dxa" w:w="7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Version-controlled YAML schema defining every metric, dimension, and join path exactly once in business vocabulary. The only vocabulary visible in the conversational session interface.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Explore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 named grouping of metrics and dimensions representing a coherent business topic. Maximum 8 per workspace.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Session spec</w:t>
            </w:r>
          </w:p>
        </w:tc>
        <w:tc>
          <w:tcPr>
            <w:tcW w:type="dxa" w:w="7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Structured JSON produced by the session planner agent fully describing analytic intent. Fully reproducible: re-running the same spec from the same manifest and schema versions produces the same pipeline.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 plan</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Higher-level intent document produced by the planner agent describing dashboard structure using semantic layer vocabulary. Durable artifact: Vega-Lite specs can be regenerated from it without re-running earlier stages.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Query contract</w:t>
            </w:r>
          </w:p>
        </w:tc>
        <w:tc>
          <w:tcPr>
            <w:tcW w:type="dxa" w:w="7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Per-component SQL query definition including expected column shapes, filters applied, row limit, and execution status. Validated for safety before execution.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 contract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Post-execution summary of actual query results for one component: actual column names and types, row count, null counts, distinct counts, numeric ranges, and sample rows. The only source of field names the visualization agent may reference.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Vega-Lite spec</w:t>
            </w:r>
          </w:p>
        </w:tc>
        <w:tc>
          <w:tcPr>
            <w:tcW w:type="dxa" w:w="7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JSON specification in Vega-Lite v5 format describing one chart's mark type, encodings, transforms, formatting, and tooltip fields. Validated against the official Vega-Lite JSON schema before rendering.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 layer</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Curated analytical data layer in the workspace warehouse schema. Contains gold tables from feature engineering, prediction tables from model training, and pre-aggregation tables. All carry governance metadata.</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Feature manifest</w:t>
            </w:r>
          </w:p>
        </w:tc>
        <w:tc>
          <w:tcPr>
            <w:tcW w:type="dxa" w:w="7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Versioned document listing every column in the gold analytical table including derivation method, encoding strategy, imputation approach, leakage risk score, and mutual information estimate.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 card</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Structured document recording every aspect of a trained model: algorithm, hyperparameters, training data lineage, walk-forward backtest results per window, promotion status, repair cycle count, and feature importance ranking.</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Walk-forward backtest</w:t>
            </w:r>
          </w:p>
        </w:tc>
        <w:tc>
          <w:tcPr>
            <w:tcW w:type="dxa" w:w="7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Time-series validation method where the model trains on an expanding historical window and predicts the immediately following out-of-sample window, repeated 5 times. Prevents future data leakage into validation metrics.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Final deliverable of an AnalytIQ session: a self-contained HTML file containing a live, interactive, themed dashboard fetching data from gold layer API endpoints at render time. Versioned, shareable, and embeddable.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Embed token</w:t>
            </w:r>
          </w:p>
        </w:tc>
        <w:tc>
          <w:tcPr>
            <w:tcW w:type="dxa" w:w="7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HS256 JWT granting time-limited, scope-limited access to one artifact's gold layer API endpoints. Used for iframe embedding. Cannot be elevated beyond its issued scope.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DQ gate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 quality gate: a deterministic checkpoint enforcing defined rules. Passes, warns, or blocks pipeline advancement. Never delegates quality decisions to an LLM.</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Leakage risk</w:t>
            </w:r>
          </w:p>
        </w:tc>
        <w:tc>
          <w:tcPr>
            <w:tcW w:type="dxa" w:w="7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0 to 1 score assigned to every feature candidate indicating the probability it contains information from after the prediction point. Above 0.7 is auto-dropped; 0.3 to 0.7 requires human confirmation; annotations carry 0.0.</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Annotation</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User-created plain-English note attached to a specific chart data point, keyed to grain key values and timestamp. Optionally injected as a binary feature in future model training for the same grain.</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Proactive insight</w:t>
            </w:r>
          </w:p>
        </w:tc>
        <w:tc>
          <w:tcPr>
            <w:tcW w:type="dxa" w:w="7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An anomaly, trend break, cross-dimensional outlier, or unexpected correlation surfaced without being requested, delivered as a dismissible panel below the artifact within 60 seconds.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Champion-challenger</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Live model comparison where a newly trained challenger scores alongside the existing production champion for 14 days before an automated promotion decision based on rolling MAPE comparison.</w:t>
            </w:r>
          </w:p>
        </w:tc>
      </w:tr>
    </w:tbl>
    <w:p>
      <w:pPr>
        <w:spacing w:after="0" w:before="160"/>
      </w:pPr>
    </w:p>
    <w:p>
      <w:pPr>
        <w:pStyle w:val="Heading2"/>
        <w:spacing w:after="120" w:before="400"/>
      </w:pPr>
      <w:r>
        <w:rPr>
          <w:rFonts w:ascii="Arial" w:cs="Arial" w:eastAsia="Arial" w:hAnsi="Arial"/>
          <w:b/>
          <w:bCs/>
          <w:color w:val="1E2B5C"/>
          <w:sz w:val="30"/>
          <w:szCs w:val="30"/>
        </w:rPr>
        <w:t xml:space="preserve">16.2 Quality Gate Master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1000"/>
        <w:gridCol w:w="3860"/>
      </w:tblGrid>
      <w:tr>
        <w:trPr>
          <w:tblHeader/>
        </w:trPr>
        <w:tc>
          <w:tcPr>
            <w:tcW w:type="dxa" w:w="5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Gate Name</w:t>
            </w:r>
          </w:p>
        </w:tc>
        <w:tc>
          <w:tcPr>
            <w:tcW w:type="dxa" w:w="18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100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860"/>
            <w:tcBorders>
              <w:top w:val="single" w:color="E5E7EB" w:sz="1"/>
              <w:left w:val="single" w:color="E5E7EB" w:sz="1"/>
              <w:bottom w:val="single" w:color="E5E7EB" w:sz="1"/>
              <w:right w:val="single" w:color="E5E7EB" w:sz="1"/>
            </w:tcBorders>
            <w:shd w:fill="1E2B5C" w:val="clear"/>
            <w:tcMar>
              <w:top w:type="dxa" w:w="80"/>
              <w:left w:type="dxa" w:w="120"/>
              <w:bottom w:type="dxa" w:w="80"/>
              <w:right w:type="dxa" w:w="120"/>
            </w:tcMar>
          </w:tcPr>
          <w:p>
            <w:r>
              <w:rPr>
                <w:rFonts w:ascii="Arial" w:cs="Arial" w:eastAsia="Arial" w:hAnsi="Arial"/>
                <w:b/>
                <w:bCs/>
                <w:color w:val="FFFFFF"/>
                <w:sz w:val="20"/>
                <w:szCs w:val="20"/>
              </w:rPr>
              <w:t xml:space="preserve">Pipeline Action</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key uniqueness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Zero violations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Block table from semantic layer</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PII confirmed detection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Any confirmed hit</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Block from ML; require admin approval</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Freshness SLA exceeded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Beyond configured SLA</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Reduce health score; alert owner</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Row count ML minimum</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Below 500 rows</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Exclude from ML pipeline only</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Many-to-many join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 detected</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Block explore until bridge table defined</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Metric definition conflict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Any duplicate metric name</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Block both definitions until resolved</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Intent confidence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Below 0.85</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Info</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Ask one more clarifying question</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Catalog-only rule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Any reference outside semantic schema</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Remove component; log missing reference</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Section component limit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Above 8 components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Truncate; warn planner agent</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Cardinality on bar axis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Above 50 without Top-N limit</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Require limit; default to Top 10</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Training row minimum</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Below 500 after engineering</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Halt pipeline; prompt date range expansion</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High leakage risk feature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leakage_risk above 0.7</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Auto-drop; notify user; log to manifest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 leakage risk feature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leakage_risk 0.3 to 0.7</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Hold; require user confirmation</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Post-imputation null rate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Above 1 percent after imputation</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Drop feature; log to manifest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Grain uniqueness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 duplicate grain key rows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Halt pipeline; surface offending join</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Destructive SQL blocked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Any non-SELECT statement</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Reject query; log security event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Unbounded query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 time-field WHERE clause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Reject query; require time filter</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Vega-Lite schema validity</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Any schema validation error</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Targeted repair prompt (max 2 cycles)</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Field binding validity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 field not in data_contract</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Targeted repair prompt</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Hardcoded color in spec</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Any hex color in spec JSON</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Targeted repair prompt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Validation MAPE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Above 15 percent</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Trigger repair loop (max 3 cycles)</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7</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Overfitting detected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Test exceeds validation times 1.2</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Trigger repair loop</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Catastrophic window</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 window exceeds mean times 1.5</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Targeted window repair</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8</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Too many categories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Above 15 on nominal axis without limit</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Add Top-N transform; add footnote</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Too few time-series points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Below 7 data points on line chart</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Convert to bar or KPI component</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9</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Embedded data in HTML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Any inline data array in Vega spec</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Targeted repair</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 file size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Above 250KB uncompressed</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Apply minification; re-validate</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9</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Missing aria attributes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Any interactive element without aria-label</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Targeted repair</w:t>
            </w:r>
          </w:p>
        </w:tc>
      </w:tr>
    </w:tbl>
    <w:p>
      <w:pPr>
        <w:spacing w:after="0" w:before="160"/>
      </w:pP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XVII — Platform Evolution: Next-Generation Enhancement Roadmap</w:t>
      </w:r>
    </w:p>
    <w:p>
      <w:pPr>
        <w:spacing w:after="0" w:before="160"/>
      </w:pPr>
    </w:p>
    <w:p>
      <w:pPr>
        <w:spacing w:after="60" w:before="60"/>
      </w:pPr>
      <w:r>
        <w:rPr>
          <w:rFonts w:ascii="Arial" w:cs="Arial" w:eastAsia="Arial" w:hAnsi="Arial"/>
          <w:color w:val="1F2937"/>
          <w:sz w:val="22"/>
          <w:szCs w:val="22"/>
        </w:rPr>
        <w:t xml:space="preserve">Following a structured architectural review of AnalytIQ v2.0, thirty-five enhancement opportunities were identified and rated by product value rather than implementation difficulty. This part expands every recommendation into a full design brief and organizes them under six functional groupings that map directly onto the target seven-system architecture defined in Part XVIII. Ratings are preserved from the original review to guide sequencing: items above 9.0 should be treated as near-term roadmap candidates; items in the 8.0s are high-value follow-on work once the core graph execution model is in place.</w:t>
      </w:r>
    </w:p>
    <w:p>
      <w:pPr>
        <w:spacing w:after="120" w:before="0"/>
      </w:pP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4338CA"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CORE PRINCIPLE</w:t>
            </w:r>
          </w:p>
        </w:tc>
        <w:tc>
          <w:tcPr>
            <w:tcW w:type="dxa" w:w="9120"/>
            <w:shd w:fill="EEF2FF" w:val="clear"/>
            <w:tcMar>
              <w:top w:type="dxa" w:w="80"/>
              <w:left w:type="dxa" w:w="180"/>
              <w:bottom w:type="dxa" w:w="80"/>
              <w:right w:type="dxa" w:w="120"/>
            </w:tcMar>
          </w:tcPr>
          <w:p>
            <w:r>
              <w:rPr>
                <w:rFonts w:ascii="Arial" w:cs="Arial" w:eastAsia="Arial" w:hAnsi="Arial"/>
                <w:color w:val="1F2937"/>
                <w:sz w:val="22"/>
                <w:szCs w:val="22"/>
              </w:rPr>
              <w:t xml:space="preserve">None of these enhancements relax the Five Non-Negotiables in Part I. Every new capability described below still passes through deterministic validation gates, still produces versioned artifacts with full provenance, and still keeps raw data away from the LLM. Evolution extends the pipeline's intelligence; it does not bypass its governance.</w:t>
            </w:r>
          </w:p>
        </w:tc>
      </w:tr>
    </w:tbl>
    <w:p>
      <w:pPr>
        <w:spacing w:after="160" w:before="0"/>
      </w:pPr>
    </w:p>
    <w:p>
      <w:pPr>
        <w:pStyle w:val="Heading2"/>
        <w:spacing w:after="120" w:before="400"/>
      </w:pPr>
      <w:r>
        <w:rPr>
          <w:rFonts w:ascii="Arial" w:cs="Arial" w:eastAsia="Arial" w:hAnsi="Arial"/>
          <w:b/>
          <w:bCs/>
          <w:color w:val="1E2B5C"/>
          <w:sz w:val="30"/>
          <w:szCs w:val="30"/>
        </w:rPr>
        <w:t xml:space="preserve">17.1 Enhancement Summary and Priority Matrix</w:t>
      </w:r>
    </w:p>
    <w:p>
      <w:pPr>
        <w:spacing w:after="60" w:before="60"/>
      </w:pPr>
      <w:r>
        <w:rPr>
          <w:rFonts w:ascii="Arial" w:cs="Arial" w:eastAsia="Arial" w:hAnsi="Arial"/>
          <w:color w:val="1F2937"/>
          <w:sz w:val="22"/>
          <w:szCs w:val="22"/>
        </w:rPr>
        <w:t xml:space="preserve">The table below is the master index for this part. “System” refers to the target architecture group defined in Part XVIII; use it to trace any enhancement back to the layer it modifies.</w:t>
      </w:r>
    </w:p>
    <w:tbl>
      <w:tblPr>
        <w:tblW w:type="dxa" w:w="9360"/>
        <w:tblBorders>
          <w:top w:val="single" w:color="E5E7EB" w:sz="1"/>
          <w:left w:val="single" w:color="E5E7EB" w:sz="1"/>
          <w:bottom w:val="single" w:color="E5E7EB" w:sz="1"/>
          <w:right w:val="single" w:color="E5E7EB" w:sz="1"/>
          <w:insideH w:val="single" w:color="E5E7EB" w:sz="1"/>
          <w:insideV w:val="single" w:color="E5E7EB" w:sz="1"/>
        </w:tblBorders>
      </w:tblPr>
      <w:tblGrid>
        <w:gridCol w:w="500"/>
        <w:gridCol w:w="5300"/>
        <w:gridCol w:w="1100"/>
        <w:gridCol w:w="2460"/>
      </w:tblGrid>
      <w:tr>
        <w:tc>
          <w:tcPr>
            <w:tcW w:type="dxa" w:w="500"/>
            <w:tcBorders>
              <w:top w:val="single" w:color="E5E7EB" w:sz="1"/>
              <w:left w:val="single" w:color="E5E7EB" w:sz="1"/>
              <w:bottom w:val="single" w:color="E5E7EB" w:sz="1"/>
              <w:right w:val="single" w:color="E5E7EB" w:sz="1"/>
            </w:tcBorders>
            <w:shd w:fill="1E2B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5300"/>
            <w:tcBorders>
              <w:top w:val="single" w:color="E5E7EB" w:sz="1"/>
              <w:left w:val="single" w:color="E5E7EB" w:sz="1"/>
              <w:bottom w:val="single" w:color="E5E7EB" w:sz="1"/>
              <w:right w:val="single" w:color="E5E7EB" w:sz="1"/>
            </w:tcBorders>
            <w:shd w:fill="1E2B5C" w:val="clear"/>
            <w:tcMar>
              <w:top w:type="dxa" w:w="60"/>
              <w:left w:type="dxa" w:w="100"/>
              <w:bottom w:type="dxa" w:w="60"/>
              <w:right w:type="dxa" w:w="100"/>
            </w:tcMar>
          </w:tcPr>
          <w:p>
            <w:r>
              <w:rPr>
                <w:rFonts w:ascii="Arial" w:cs="Arial" w:eastAsia="Arial" w:hAnsi="Arial"/>
                <w:b/>
                <w:bCs/>
                <w:color w:val="FFFFFF"/>
                <w:sz w:val="18"/>
                <w:szCs w:val="18"/>
              </w:rPr>
              <w:t xml:space="preserve">Enhancement</w:t>
            </w:r>
          </w:p>
        </w:tc>
        <w:tc>
          <w:tcPr>
            <w:tcW w:type="dxa" w:w="1100"/>
            <w:tcBorders>
              <w:top w:val="single" w:color="E5E7EB" w:sz="1"/>
              <w:left w:val="single" w:color="E5E7EB" w:sz="1"/>
              <w:bottom w:val="single" w:color="E5E7EB" w:sz="1"/>
              <w:right w:val="single" w:color="E5E7EB" w:sz="1"/>
            </w:tcBorders>
            <w:shd w:fill="1E2B5C" w:val="clear"/>
            <w:tcMar>
              <w:top w:type="dxa" w:w="60"/>
              <w:left w:type="dxa" w:w="100"/>
              <w:bottom w:type="dxa" w:w="60"/>
              <w:right w:type="dxa" w:w="100"/>
            </w:tcMar>
          </w:tcPr>
          <w:p>
            <w:r>
              <w:rPr>
                <w:rFonts w:ascii="Arial" w:cs="Arial" w:eastAsia="Arial" w:hAnsi="Arial"/>
                <w:b/>
                <w:bCs/>
                <w:color w:val="FFFFFF"/>
                <w:sz w:val="18"/>
                <w:szCs w:val="18"/>
              </w:rPr>
              <w:t xml:space="preserve">Rating</w:t>
            </w:r>
          </w:p>
        </w:tc>
        <w:tc>
          <w:tcPr>
            <w:tcW w:type="dxa" w:w="2460"/>
            <w:tcBorders>
              <w:top w:val="single" w:color="E5E7EB" w:sz="1"/>
              <w:left w:val="single" w:color="E5E7EB" w:sz="1"/>
              <w:bottom w:val="single" w:color="E5E7EB" w:sz="1"/>
              <w:right w:val="single" w:color="E5E7EB" w:sz="1"/>
            </w:tcBorders>
            <w:shd w:fill="1E2B5C" w:val="clear"/>
            <w:tcMar>
              <w:top w:type="dxa" w:w="60"/>
              <w:left w:type="dxa" w:w="100"/>
              <w:bottom w:type="dxa" w:w="60"/>
              <w:right w:type="dxa" w:w="100"/>
            </w:tcMar>
          </w:tcPr>
          <w:p>
            <w:r>
              <w:rPr>
                <w:rFonts w:ascii="Arial" w:cs="Arial" w:eastAsia="Arial" w:hAnsi="Arial"/>
                <w:b/>
                <w:bCs/>
                <w:color w:val="FFFFFF"/>
                <w:sz w:val="18"/>
                <w:szCs w:val="18"/>
              </w:rPr>
              <w:t xml:space="preserve">Target System</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1</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Artifact Dependency Graph (DAG) Execution</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10/10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Execution Engine</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2</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Persistent Agent Memory</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10/10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Knowledge Layer</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3</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Opportunity Engine</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10/10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Evolution Engine</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4</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Cost-Aware Orchestration</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10/10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Execution Engine</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5</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Multi-Agent Collaboration Model</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9.8/10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Execution Engine</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6</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Self-Improving Platform (Evolution Engine core)</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9.8/10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Evolution Engine</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7</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Explainability Engine</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9.7/10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Trust &amp; Explainability</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8</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Confidence Propagation</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9.6/10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Trust &amp; Explainability</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9</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Event-Driven Execution</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9.5/10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Execution Engine</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10</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Unified Artifact Store</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9.5/10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Knowledge Layer</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11</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Workspace Knowledge Graph</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9.5/10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Knowledge Layer</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12</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Automatic Semantic Evolution</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9.4/10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Knowledge Layer</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13</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Automatic Benchmark Library</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9.4/10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Analytics Engine</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14</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Enterprise Plugin Architecture</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9.3/10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Platform &amp; Ecosystem</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15</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Artifact Replay / Debugger</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9.3/10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Trust &amp; Explainability</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16</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Parallel Stage Execution</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9.2/10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Execution Engine</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17</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Adaptive Planning Agent</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9.2/10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Execution Engine</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18</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Meta-Orchestrator Agent</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9.2/10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Execution Engine</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19</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Simulation / Sandbox Mode</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9.1/10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Execution Engine</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20</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Autonomous Optimization Jobs</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9.1/10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Execution Engine</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21</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Real-Time Observability Dashboard</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9.0/10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Platform &amp; Ecosystem</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22</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Intelligent Caching Hierarchy</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9.0/10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Platform &amp; Ecosystem</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23</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Artifact Diff Engine</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8.9/10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Trust &amp; Explainability</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24</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Dashboard Health Scoring</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8.9/10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Trust &amp; Explainability</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25</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Automatic Narrative Generation</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8.8/10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Analytics Engine</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26</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Recommendation Feedback Loop</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8.8/10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Evolution Engine</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27</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User Intent History Graph</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8.7/10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Knowledge Layer</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28</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Organizational Knowledge Reuse</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8.7/10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Knowledge Layer</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29</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Continuous Model Monitoring</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8.6/10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Evolution Engine</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30</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AI-Assisted Governance Review</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8.6/10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Knowledge Layer</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31</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Intelligent Visualization Experimentation</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8.5/10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Analytics Engine</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32</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Natural-Language Artifact Editing</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8.5/10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Analytics Engine</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33</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Marketplace of Reusable Dashboard Templates</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8.4/10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Platform &amp; Ecosystem</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34</w:t>
            </w:r>
          </w:p>
        </w:tc>
        <w:tc>
          <w:tcPr>
            <w:tcW w:type="dxa" w:w="53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Automated ROI Tracking</w:t>
            </w:r>
          </w:p>
        </w:tc>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8.3/10</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Evolution Engine</w:t>
            </w:r>
          </w:p>
        </w:tc>
      </w:tr>
      <w:tr>
        <w:tc>
          <w:tcPr>
            <w:tcW w:type="dxa" w:w="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35</w:t>
            </w:r>
          </w:p>
        </w:tc>
        <w:tc>
          <w:tcPr>
            <w:tcW w:type="dxa" w:w="5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Business Process Integration</w:t>
            </w:r>
          </w:p>
        </w:tc>
        <w:tc>
          <w:tcPr>
            <w:tcW w:type="dxa" w:w="1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8.3/10</w:t>
            </w:r>
          </w:p>
        </w:tc>
        <w:tc>
          <w:tcPr>
            <w:tcW w:type="dxa" w:w="24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Platform &amp; Ecosystem</w:t>
            </w:r>
          </w:p>
        </w:tc>
      </w:tr>
    </w:tbl>
    <w:p>
      <w:pPr>
        <w:spacing w:after="200" w:before="0"/>
      </w:pPr>
    </w:p>
    <w:p>
      <w:pPr>
        <w:pStyle w:val="Heading2"/>
        <w:spacing w:after="120" w:before="400"/>
      </w:pPr>
      <w:r>
        <w:rPr>
          <w:rFonts w:ascii="Arial" w:cs="Arial" w:eastAsia="Arial" w:hAnsi="Arial"/>
          <w:b/>
          <w:bCs/>
          <w:color w:val="1E2B5C"/>
          <w:sz w:val="30"/>
          <w:szCs w:val="30"/>
        </w:rPr>
        <w:t xml:space="preserve">17.2 Execution Engine Enhancements</w:t>
      </w:r>
    </w:p>
    <w:p>
      <w:pPr>
        <w:spacing w:after="60" w:before="60"/>
      </w:pPr>
      <w:r>
        <w:rPr>
          <w:rFonts w:ascii="Arial" w:cs="Arial" w:eastAsia="Arial" w:hAnsi="Arial"/>
          <w:color w:val="1F2937"/>
          <w:sz w:val="22"/>
          <w:szCs w:val="22"/>
        </w:rPr>
        <w:t xml:space="preserve">These nine enhancements replace AnalytIQ's current Stage 0-through-9 linear execution model with a graph-native runtime. Together they are the highest-leverage change in this roadmap: every other enhancement in this part assumes artifacts are addressable graph nodes rather than transient intermediate state inside a single run.</w:t>
      </w:r>
    </w:p>
    <w:p>
      <w:pPr>
        <w:pStyle w:val="Heading3"/>
        <w:spacing w:after="80" w:before="280"/>
      </w:pPr>
      <w:r>
        <w:rPr>
          <w:rFonts w:ascii="Arial" w:cs="Arial" w:eastAsia="Arial" w:hAnsi="Arial"/>
          <w:b/>
          <w:bCs/>
          <w:color w:val="4338CA"/>
          <w:sz w:val="25"/>
          <w:szCs w:val="25"/>
        </w:rPr>
        <w:t xml:space="preserve">17.2.1 Artifact Dependency Graph (DAG) Execution</w:t>
      </w:r>
      <w:r>
        <w:rPr>
          <w:rFonts w:ascii="Arial" w:cs="Arial" w:eastAsia="Arial" w:hAnsi="Arial"/>
          <w:b/>
          <w:bCs/>
          <w:i/>
          <w:iCs/>
          <w:color w:val="B91C1C"/>
          <w:sz w:val="20"/>
          <w:szCs w:val="20"/>
        </w:rPr>
        <w:t xml:space="preserve">  [Priority 10/10]</w:t>
      </w:r>
    </w:p>
    <w:p>
      <w:pPr>
        <w:spacing w:after="60" w:before="60"/>
      </w:pPr>
      <w:r>
        <w:rPr>
          <w:rFonts w:ascii="Arial" w:cs="Arial" w:eastAsia="Arial" w:hAnsi="Arial"/>
          <w:color w:val="1F2937"/>
          <w:sz w:val="22"/>
          <w:szCs w:val="22"/>
        </w:rPr>
        <w:t xml:space="preserve">Replace the fixed Stage 0 through Stage 9 sequence with a directed acyclic graph in which every artifact type defined in Parts III through X — governance manifest, semantic model, dashboard plan, feature set, query contract, Vega-Lite spec, model card, assembled artifact — becomes a versioned, independently cacheable node. A request no longer reruns the full pipeline; it recomputes only the nodes whose upstream dependencies changed.</w:t>
      </w:r>
    </w:p>
    <w:p>
      <w:pPr>
        <w:pStyle w:val="ListParagraph"/>
        <w:numPr>
          <w:ilvl w:val="0"/>
          <w:numId w:val="2"/>
        </w:numPr>
        <w:spacing w:after="40" w:before="40"/>
        <w:ind w:left="720" w:hanging="360"/>
      </w:pPr>
      <w:r>
        <w:rPr>
          <w:rFonts w:ascii="Arial" w:cs="Arial" w:eastAsia="Arial" w:hAnsi="Arial"/>
          <w:b/>
          <w:bCs/>
          <w:color w:val="1E2B5C"/>
          <w:sz w:val="22"/>
          <w:szCs w:val="22"/>
        </w:rPr>
        <w:t xml:space="preserve">Content-addressed nodes: </w:t>
      </w:r>
      <w:r>
        <w:rPr>
          <w:rFonts w:ascii="Arial" w:cs="Arial" w:eastAsia="Arial" w:hAnsi="Arial"/>
          <w:color w:val="1F2937"/>
          <w:sz w:val="22"/>
          <w:szCs w:val="22"/>
        </w:rPr>
        <w:t xml:space="preserve">Node identity is a content hash of the node's inputs plus the governance/semantic manifest versions that governed its creation, so identical requests against unchanged upstream state resolve instantly from cache.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Change propagation: </w:t>
      </w:r>
      <w:r>
        <w:rPr>
          <w:rFonts w:ascii="Arial" w:cs="Arial" w:eastAsia="Arial" w:hAnsi="Arial"/>
          <w:color w:val="1F2937"/>
          <w:sz w:val="22"/>
          <w:szCs w:val="22"/>
        </w:rPr>
        <w:t xml:space="preserve">A topological scheduler determines the minimal recompute set whenever a source table, semantic definition, or governance rule changes, and only invalidates downstream nodes reachable from the change.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Gate preservation: </w:t>
      </w:r>
      <w:r>
        <w:rPr>
          <w:rFonts w:ascii="Arial" w:cs="Arial" w:eastAsia="Arial" w:hAnsi="Arial"/>
          <w:color w:val="1F2937"/>
          <w:sz w:val="22"/>
          <w:szCs w:val="22"/>
        </w:rPr>
        <w:t xml:space="preserve">Every existing Stage boundary contract from Part II.2.1 becomes an edge contract in the graph; validation gates remain exactly where they are today, now attached to edges instead of sequential stage transitions.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Lineage becomes execution: </w:t>
      </w:r>
      <w:r>
        <w:rPr>
          <w:rFonts w:ascii="Arial" w:cs="Arial" w:eastAsia="Arial" w:hAnsi="Arial"/>
          <w:color w:val="1F2937"/>
          <w:sz w:val="22"/>
          <w:szCs w:val="22"/>
        </w:rPr>
        <w:t xml:space="preserve">The Lineage DAG described in Part XI.11.4 becomes the literal execution structure rather than a post-hoc audit record — lineage and execution are unified.</w:t>
      </w:r>
    </w:p>
    <w:p>
      <w:pPr>
        <w:spacing w:after="60" w:before="60"/>
      </w:pPr>
      <w:r>
        <w:rPr>
          <w:rFonts w:ascii="Arial" w:cs="Arial" w:eastAsia="Arial" w:hAnsi="Arial"/>
          <w:color w:val="1F2937"/>
          <w:sz w:val="22"/>
          <w:szCs w:val="22"/>
        </w:rPr>
        <w:t xml:space="preserve">Expected impact: cache-hit dashboard refresh latency drops from full-pipeline time to near-zero for unchanged branches, and iterative editing (e.g., “add a filter”) recomputes only the Stage 3 planning and downstream nodes instead of re-ingesting and re-profiling source data.</w:t>
      </w:r>
    </w:p>
    <w:p>
      <w:pPr>
        <w:pStyle w:val="Heading3"/>
        <w:spacing w:after="80" w:before="280"/>
      </w:pPr>
      <w:r>
        <w:rPr>
          <w:rFonts w:ascii="Arial" w:cs="Arial" w:eastAsia="Arial" w:hAnsi="Arial"/>
          <w:b/>
          <w:bCs/>
          <w:color w:val="4338CA"/>
          <w:sz w:val="25"/>
          <w:szCs w:val="25"/>
        </w:rPr>
        <w:t xml:space="preserve">17.2.2 Cost-Aware Orchestration</w:t>
      </w:r>
      <w:r>
        <w:rPr>
          <w:rFonts w:ascii="Arial" w:cs="Arial" w:eastAsia="Arial" w:hAnsi="Arial"/>
          <w:b/>
          <w:bCs/>
          <w:i/>
          <w:iCs/>
          <w:color w:val="B91C1C"/>
          <w:sz w:val="20"/>
          <w:szCs w:val="20"/>
        </w:rPr>
        <w:t xml:space="preserve">  [Priority 10/10]</w:t>
      </w:r>
    </w:p>
    <w:p>
      <w:pPr>
        <w:spacing w:after="60" w:before="60"/>
      </w:pPr>
      <w:r>
        <w:rPr>
          <w:rFonts w:ascii="Arial" w:cs="Arial" w:eastAsia="Arial" w:hAnsi="Arial"/>
          <w:color w:val="1F2937"/>
          <w:sz w:val="22"/>
          <w:szCs w:val="22"/>
        </w:rPr>
        <w:t xml:space="preserve">Every task the Orchestrator (Part XII.12.2) dispatches should resolve through a cost ladder before touching a large model: exact cache hit, then deterministic rule or template logic, then a small/cheap model, and only then the frontier model reserved for genuinely novel planning or repair work.</w:t>
      </w:r>
    </w:p>
    <w:p>
      <w:pPr>
        <w:pStyle w:val="ListParagraph"/>
        <w:numPr>
          <w:ilvl w:val="0"/>
          <w:numId w:val="2"/>
        </w:numPr>
        <w:spacing w:after="40" w:before="40"/>
        <w:ind w:left="720" w:hanging="360"/>
      </w:pPr>
      <w:r>
        <w:rPr>
          <w:rFonts w:ascii="Arial" w:cs="Arial" w:eastAsia="Arial" w:hAnsi="Arial"/>
          <w:b/>
          <w:bCs/>
          <w:color w:val="1E2B5C"/>
          <w:sz w:val="22"/>
          <w:szCs w:val="22"/>
        </w:rPr>
        <w:t xml:space="preserve">Deterministic-first routing: </w:t>
      </w:r>
      <w:r>
        <w:rPr>
          <w:rFonts w:ascii="Arial" w:cs="Arial" w:eastAsia="Arial" w:hAnsi="Arial"/>
          <w:color w:val="1F2937"/>
          <w:sz w:val="22"/>
          <w:szCs w:val="22"/>
        </w:rPr>
        <w:t xml:space="preserve">Query contract generation for a previously seen semantic pattern is served by a template library instead of a fresh LLM call.</w:t>
      </w:r>
    </w:p>
    <w:p>
      <w:pPr>
        <w:pStyle w:val="ListParagraph"/>
        <w:numPr>
          <w:ilvl w:val="0"/>
          <w:numId w:val="2"/>
        </w:numPr>
        <w:spacing w:after="40" w:before="40"/>
        <w:ind w:left="720" w:hanging="360"/>
      </w:pPr>
      <w:r>
        <w:rPr>
          <w:rFonts w:ascii="Arial" w:cs="Arial" w:eastAsia="Arial" w:hAnsi="Arial"/>
          <w:b/>
          <w:bCs/>
          <w:color w:val="1E2B5C"/>
          <w:sz w:val="22"/>
          <w:szCs w:val="22"/>
        </w:rPr>
        <w:t xml:space="preserve">Tiered model routing: </w:t>
      </w:r>
      <w:r>
        <w:rPr>
          <w:rFonts w:ascii="Arial" w:cs="Arial" w:eastAsia="Arial" w:hAnsi="Arial"/>
          <w:color w:val="1F2937"/>
          <w:sz w:val="22"/>
          <w:szCs w:val="22"/>
        </w:rPr>
        <w:t xml:space="preserve">Intent classification, chart-type selection for common cases, and routine repair prompts route to a small model; only Stage 2/3 planning ambiguity, novel visualization design, and multi-step repair reasoning route to the large model.</w:t>
      </w:r>
    </w:p>
    <w:p>
      <w:pPr>
        <w:pStyle w:val="ListParagraph"/>
        <w:numPr>
          <w:ilvl w:val="0"/>
          <w:numId w:val="2"/>
        </w:numPr>
        <w:spacing w:after="40" w:before="40"/>
        <w:ind w:left="720" w:hanging="360"/>
      </w:pPr>
      <w:r>
        <w:rPr>
          <w:rFonts w:ascii="Arial" w:cs="Arial" w:eastAsia="Arial" w:hAnsi="Arial"/>
          <w:b/>
          <w:bCs/>
          <w:color w:val="1E2B5C"/>
          <w:sz w:val="22"/>
          <w:szCs w:val="22"/>
        </w:rPr>
        <w:t xml:space="preserve">Cost telemetry per task: </w:t>
      </w:r>
      <w:r>
        <w:rPr>
          <w:rFonts w:ascii="Arial" w:cs="Arial" w:eastAsia="Arial" w:hAnsi="Arial"/>
          <w:color w:val="1F2937"/>
          <w:sz w:val="22"/>
          <w:szCs w:val="22"/>
        </w:rPr>
        <w:t xml:space="preserve">Every dispatched task carries an estimated-cost and estimated-latency annotation, feeding the Real-Time Observability Dashboard in Section 17.6.2.</w:t>
      </w:r>
    </w:p>
    <w:p>
      <w:pPr>
        <w:spacing w:after="60" w:before="60"/>
      </w:pPr>
      <w:r>
        <w:rPr>
          <w:rFonts w:ascii="Arial" w:cs="Arial" w:eastAsia="Arial" w:hAnsi="Arial"/>
          <w:color w:val="1F2937"/>
          <w:sz w:val="22"/>
          <w:szCs w:val="22"/>
        </w:rPr>
        <w:t xml:space="preserve">This is expected to materially reduce per-dashboard LLM spend and reduce median latency, since the majority of production traffic is repeat or near-repeat requests once the platform has been in use for a few weeks.</w:t>
      </w:r>
    </w:p>
    <w:p>
      <w:pPr>
        <w:pStyle w:val="Heading3"/>
        <w:spacing w:after="80" w:before="280"/>
      </w:pPr>
      <w:r>
        <w:rPr>
          <w:rFonts w:ascii="Arial" w:cs="Arial" w:eastAsia="Arial" w:hAnsi="Arial"/>
          <w:b/>
          <w:bCs/>
          <w:color w:val="4338CA"/>
          <w:sz w:val="25"/>
          <w:szCs w:val="25"/>
        </w:rPr>
        <w:t xml:space="preserve">17.2.3 Multi-Agent Collaboration Model</w:t>
      </w:r>
      <w:r>
        <w:rPr>
          <w:rFonts w:ascii="Arial" w:cs="Arial" w:eastAsia="Arial" w:hAnsi="Arial"/>
          <w:b/>
          <w:bCs/>
          <w:i/>
          <w:iCs/>
          <w:color w:val="B91C1C"/>
          <w:sz w:val="20"/>
          <w:szCs w:val="20"/>
        </w:rPr>
        <w:t xml:space="preserve">  [Priority 9.8/10]</w:t>
      </w:r>
    </w:p>
    <w:p>
      <w:pPr>
        <w:spacing w:after="60" w:before="60"/>
      </w:pPr>
      <w:r>
        <w:rPr>
          <w:rFonts w:ascii="Arial" w:cs="Arial" w:eastAsia="Arial" w:hAnsi="Arial"/>
          <w:color w:val="1F2937"/>
          <w:sz w:val="22"/>
          <w:szCs w:val="22"/>
        </w:rPr>
        <w:t xml:space="preserve">Convert the Agent Roster in Part XII.12.1 from isolated per-stage invocations into permanent, addressable agents that can be consulted by one another mid-task rather than only handing off a finished artifact downstream.</w:t>
      </w:r>
    </w:p>
    <w:p>
      <w:pPr>
        <w:pStyle w:val="ListParagraph"/>
        <w:numPr>
          <w:ilvl w:val="0"/>
          <w:numId w:val="2"/>
        </w:numPr>
        <w:spacing w:after="40" w:before="40"/>
        <w:ind w:left="720" w:hanging="360"/>
      </w:pPr>
      <w:r>
        <w:rPr>
          <w:rFonts w:ascii="Arial" w:cs="Arial" w:eastAsia="Arial" w:hAnsi="Arial"/>
          <w:b/>
          <w:bCs/>
          <w:color w:val="1E2B5C"/>
          <w:sz w:val="22"/>
          <w:szCs w:val="22"/>
        </w:rPr>
        <w:t xml:space="preserve">Inline consultation: </w:t>
      </w:r>
      <w:r>
        <w:rPr>
          <w:rFonts w:ascii="Arial" w:cs="Arial" w:eastAsia="Arial" w:hAnsi="Arial"/>
          <w:color w:val="1F2937"/>
          <w:sz w:val="22"/>
          <w:szCs w:val="22"/>
        </w:rPr>
        <w:t xml:space="preserve">The Visualization Agent can query the Semantic Layer Agent directly when a field's display format is ambiguous, instead of failing validation and waiting for a repair cycle.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Shared QA access: </w:t>
      </w:r>
      <w:r>
        <w:rPr>
          <w:rFonts w:ascii="Arial" w:cs="Arial" w:eastAsia="Arial" w:hAnsi="Arial"/>
          <w:color w:val="1F2937"/>
          <w:sz w:val="22"/>
          <w:szCs w:val="22"/>
        </w:rPr>
        <w:t xml:space="preserve">The QA/Critic Agent (Part X.10.1) can be invoked by any other agent pre-emptively on a draft artifact, not only post-assembly.</w:t>
      </w:r>
    </w:p>
    <w:p>
      <w:pPr>
        <w:pStyle w:val="ListParagraph"/>
        <w:numPr>
          <w:ilvl w:val="0"/>
          <w:numId w:val="2"/>
        </w:numPr>
        <w:spacing w:after="40" w:before="40"/>
        <w:ind w:left="720" w:hanging="360"/>
      </w:pPr>
      <w:r>
        <w:rPr>
          <w:rFonts w:ascii="Arial" w:cs="Arial" w:eastAsia="Arial" w:hAnsi="Arial"/>
          <w:b/>
          <w:bCs/>
          <w:color w:val="1E2B5C"/>
          <w:sz w:val="22"/>
          <w:szCs w:val="22"/>
        </w:rPr>
        <w:t xml:space="preserve">Auditable collaboration: </w:t>
      </w:r>
      <w:r>
        <w:rPr>
          <w:rFonts w:ascii="Arial" w:cs="Arial" w:eastAsia="Arial" w:hAnsi="Arial"/>
          <w:color w:val="1F2937"/>
          <w:sz w:val="22"/>
          <w:szCs w:val="22"/>
        </w:rPr>
        <w:t xml:space="preserve">Agent-to-agent messages are logged as first-class events in the Streaming Event Protocol (Part XII.12.4) so the collaboration is auditable, not a hidden side channel.</w:t>
      </w:r>
    </w:p>
    <w:p>
      <w:pPr>
        <w:pStyle w:val="Heading3"/>
        <w:spacing w:after="80" w:before="280"/>
      </w:pPr>
      <w:r>
        <w:rPr>
          <w:rFonts w:ascii="Arial" w:cs="Arial" w:eastAsia="Arial" w:hAnsi="Arial"/>
          <w:b/>
          <w:bCs/>
          <w:color w:val="4338CA"/>
          <w:sz w:val="25"/>
          <w:szCs w:val="25"/>
        </w:rPr>
        <w:t xml:space="preserve">17.2.4 Event-Driven Execution</w:t>
      </w:r>
      <w:r>
        <w:rPr>
          <w:rFonts w:ascii="Arial" w:cs="Arial" w:eastAsia="Arial" w:hAnsi="Arial"/>
          <w:b/>
          <w:bCs/>
          <w:i/>
          <w:iCs/>
          <w:color w:val="B91C1C"/>
          <w:sz w:val="20"/>
          <w:szCs w:val="20"/>
        </w:rPr>
        <w:t xml:space="preserve">  [Priority 9.5/10]</w:t>
      </w:r>
    </w:p>
    <w:p>
      <w:pPr>
        <w:spacing w:after="60" w:before="60"/>
      </w:pPr>
      <w:r>
        <w:rPr>
          <w:rFonts w:ascii="Arial" w:cs="Arial" w:eastAsia="Arial" w:hAnsi="Arial"/>
          <w:color w:val="1F2937"/>
          <w:sz w:val="22"/>
          <w:szCs w:val="22"/>
        </w:rPr>
        <w:t xml:space="preserve">Add a trigger layer above the DAG scheduler so pipeline work is initiated by events, not only by user conversation turns or the Scheduled Refresh described in Part XI.11.3.</w:t>
      </w:r>
    </w:p>
    <w:p>
      <w:pPr>
        <w:pStyle w:val="ListParagraph"/>
        <w:numPr>
          <w:ilvl w:val="0"/>
          <w:numId w:val="2"/>
        </w:numPr>
        <w:spacing w:after="40" w:before="40"/>
        <w:ind w:left="720" w:hanging="360"/>
      </w:pPr>
      <w:r>
        <w:rPr>
          <w:rFonts w:ascii="Arial" w:cs="Arial" w:eastAsia="Arial" w:hAnsi="Arial"/>
          <w:b/>
          <w:bCs/>
          <w:color w:val="1E2B5C"/>
          <w:sz w:val="22"/>
          <w:szCs w:val="22"/>
        </w:rPr>
        <w:t xml:space="preserve">Data and schema events: </w:t>
      </w:r>
      <w:r>
        <w:rPr>
          <w:rFonts w:ascii="Arial" w:cs="Arial" w:eastAsia="Arial" w:hAnsi="Arial"/>
          <w:color w:val="1F2937"/>
          <w:sz w:val="22"/>
          <w:szCs w:val="22"/>
        </w:rPr>
        <w:t xml:space="preserve">Source schema change, governance manifest update, or new-data-arrival events from Stage 0 integrations trigger targeted recompute of affected downstream nodes.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Model drift events: </w:t>
      </w:r>
      <w:r>
        <w:rPr>
          <w:rFonts w:ascii="Arial" w:cs="Arial" w:eastAsia="Arial" w:hAnsi="Arial"/>
          <w:color w:val="1F2937"/>
          <w:sz w:val="22"/>
          <w:szCs w:val="22"/>
        </w:rPr>
        <w:t xml:space="preserve">Model drift signals from Continuous Model Monitoring (Section 17.3.4) trigger a retraining and re-promotion cycle without a user request.</w:t>
      </w:r>
    </w:p>
    <w:p>
      <w:pPr>
        <w:pStyle w:val="ListParagraph"/>
        <w:numPr>
          <w:ilvl w:val="0"/>
          <w:numId w:val="2"/>
        </w:numPr>
        <w:spacing w:after="40" w:before="40"/>
        <w:ind w:left="720" w:hanging="360"/>
      </w:pPr>
      <w:r>
        <w:rPr>
          <w:rFonts w:ascii="Arial" w:cs="Arial" w:eastAsia="Arial" w:hAnsi="Arial"/>
          <w:b/>
          <w:bCs/>
          <w:color w:val="1E2B5C"/>
          <w:sz w:val="22"/>
          <w:szCs w:val="22"/>
        </w:rPr>
        <w:t xml:space="preserve">Business events: </w:t>
      </w:r>
      <w:r>
        <w:rPr>
          <w:rFonts w:ascii="Arial" w:cs="Arial" w:eastAsia="Arial" w:hAnsi="Arial"/>
          <w:color w:val="1F2937"/>
          <w:sz w:val="22"/>
          <w:szCs w:val="22"/>
        </w:rPr>
        <w:t xml:space="preserve">Business events (e.g., a CRM stage change, a threshold breach on a subscribed metric) can trigger Opportunity Engine investigation, tying directly into Metric Alert Subscriptions (Part X.10.7).</w:t>
      </w:r>
    </w:p>
    <w:p>
      <w:pPr>
        <w:pStyle w:val="Heading3"/>
        <w:spacing w:after="80" w:before="280"/>
      </w:pPr>
      <w:r>
        <w:rPr>
          <w:rFonts w:ascii="Arial" w:cs="Arial" w:eastAsia="Arial" w:hAnsi="Arial"/>
          <w:b/>
          <w:bCs/>
          <w:color w:val="4338CA"/>
          <w:sz w:val="25"/>
          <w:szCs w:val="25"/>
        </w:rPr>
        <w:t xml:space="preserve">17.2.5 Parallel Stage Execution</w:t>
      </w:r>
      <w:r>
        <w:rPr>
          <w:rFonts w:ascii="Arial" w:cs="Arial" w:eastAsia="Arial" w:hAnsi="Arial"/>
          <w:b/>
          <w:bCs/>
          <w:i/>
          <w:iCs/>
          <w:color w:val="B91C1C"/>
          <w:sz w:val="20"/>
          <w:szCs w:val="20"/>
        </w:rPr>
        <w:t xml:space="preserve">  [Priority 9.2/10]</w:t>
      </w:r>
    </w:p>
    <w:p>
      <w:pPr>
        <w:spacing w:after="60" w:before="60"/>
      </w:pPr>
      <w:r>
        <w:rPr>
          <w:rFonts w:ascii="Arial" w:cs="Arial" w:eastAsia="Arial" w:hAnsi="Arial"/>
          <w:color w:val="1F2937"/>
          <w:sz w:val="22"/>
          <w:szCs w:val="22"/>
        </w:rPr>
        <w:t xml:space="preserve">Within the DAG, independent branches execute concurrently rather than waiting on an artificial sequential order. Feature engineering for an ML artifact and Vega-Lite spec generation for a descriptive chart in the same dashboard plan do not depend on each other and should run in parallel worker pools.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Concurrency budgeting: </w:t>
      </w:r>
      <w:r>
        <w:rPr>
          <w:rFonts w:ascii="Arial" w:cs="Arial" w:eastAsia="Arial" w:hAnsi="Arial"/>
          <w:color w:val="1F2937"/>
          <w:sz w:val="22"/>
          <w:szCs w:val="22"/>
        </w:rPr>
        <w:t xml:space="preserve">The scheduler assigns a maximum concurrency budget per workspace to protect shared warehouse and model-serving capacity.</w:t>
      </w:r>
    </w:p>
    <w:p>
      <w:pPr>
        <w:pStyle w:val="ListParagraph"/>
        <w:numPr>
          <w:ilvl w:val="0"/>
          <w:numId w:val="2"/>
        </w:numPr>
        <w:spacing w:after="40" w:before="40"/>
        <w:ind w:left="720" w:hanging="360"/>
      </w:pPr>
      <w:r>
        <w:rPr>
          <w:rFonts w:ascii="Arial" w:cs="Arial" w:eastAsia="Arial" w:hAnsi="Arial"/>
          <w:b/>
          <w:bCs/>
          <w:color w:val="1E2B5C"/>
          <w:sz w:val="22"/>
          <w:szCs w:val="22"/>
        </w:rPr>
        <w:t xml:space="preserve">Join-point validation: </w:t>
      </w:r>
      <w:r>
        <w:rPr>
          <w:rFonts w:ascii="Arial" w:cs="Arial" w:eastAsia="Arial" w:hAnsi="Arial"/>
          <w:color w:val="1F2937"/>
          <w:sz w:val="22"/>
          <w:szCs w:val="22"/>
        </w:rPr>
        <w:t xml:space="preserve">Fan-out/fan-in join points reuse the existing Dashboard Plan Validation Gates (Part V.5.4) as barrier conditions before assembly.</w:t>
      </w:r>
    </w:p>
    <w:p>
      <w:pPr>
        <w:pStyle w:val="Heading3"/>
        <w:spacing w:after="80" w:before="280"/>
      </w:pPr>
      <w:r>
        <w:rPr>
          <w:rFonts w:ascii="Arial" w:cs="Arial" w:eastAsia="Arial" w:hAnsi="Arial"/>
          <w:b/>
          <w:bCs/>
          <w:color w:val="4338CA"/>
          <w:sz w:val="25"/>
          <w:szCs w:val="25"/>
        </w:rPr>
        <w:t xml:space="preserve">17.2.6 Adaptive Planning Agent</w:t>
      </w:r>
      <w:r>
        <w:rPr>
          <w:rFonts w:ascii="Arial" w:cs="Arial" w:eastAsia="Arial" w:hAnsi="Arial"/>
          <w:b/>
          <w:bCs/>
          <w:i/>
          <w:iCs/>
          <w:color w:val="B91C1C"/>
          <w:sz w:val="20"/>
          <w:szCs w:val="20"/>
        </w:rPr>
        <w:t xml:space="preserve">  [Priority 9.2/10]</w:t>
      </w:r>
    </w:p>
    <w:p>
      <w:pPr>
        <w:spacing w:after="60" w:before="60"/>
      </w:pPr>
      <w:r>
        <w:rPr>
          <w:rFonts w:ascii="Arial" w:cs="Arial" w:eastAsia="Arial" w:hAnsi="Arial"/>
          <w:color w:val="1F2937"/>
          <w:sz w:val="22"/>
          <w:szCs w:val="22"/>
        </w:rPr>
        <w:t xml:space="preserve">Extend the Planner Agent (Part V.5.2) to condition its clarification strategy on the requesting user's history and demonstrated expertise rather than a single fixed 0.85 intent-confidence threshold (Part XVI.16.2).</w:t>
      </w:r>
    </w:p>
    <w:p>
      <w:pPr>
        <w:pStyle w:val="ListParagraph"/>
        <w:numPr>
          <w:ilvl w:val="0"/>
          <w:numId w:val="2"/>
        </w:numPr>
        <w:spacing w:after="40" w:before="40"/>
        <w:ind w:left="720" w:hanging="360"/>
      </w:pPr>
      <w:r>
        <w:rPr>
          <w:rFonts w:ascii="Arial" w:cs="Arial" w:eastAsia="Arial" w:hAnsi="Arial"/>
          <w:b/>
          <w:bCs/>
          <w:color w:val="1E2B5C"/>
          <w:sz w:val="22"/>
          <w:szCs w:val="22"/>
        </w:rPr>
        <w:t xml:space="preserve">Novice mode: </w:t>
      </w:r>
      <w:r>
        <w:rPr>
          <w:rFonts w:ascii="Arial" w:cs="Arial" w:eastAsia="Arial" w:hAnsi="Arial"/>
          <w:color w:val="1F2937"/>
          <w:sz w:val="22"/>
          <w:szCs w:val="22"/>
        </w:rPr>
        <w:t xml:space="preserve">New or infrequent users receive more clarifying questions and more explicit chart-type confirmation before generation.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Expert mode: </w:t>
      </w:r>
      <w:r>
        <w:rPr>
          <w:rFonts w:ascii="Arial" w:cs="Arial" w:eastAsia="Arial" w:hAnsi="Arial"/>
          <w:color w:val="1F2937"/>
          <w:sz w:val="22"/>
          <w:szCs w:val="22"/>
        </w:rPr>
        <w:t xml:space="preserve">Users with a long, consistent User Intent History Graph (Section 17.2.9... see 17.4.7) skip redundant clarification and move straight to generation with default assumptions surfaced inline.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Adaptive threshold: </w:t>
      </w:r>
      <w:r>
        <w:rPr>
          <w:rFonts w:ascii="Arial" w:cs="Arial" w:eastAsia="Arial" w:hAnsi="Arial"/>
          <w:color w:val="1F2937"/>
          <w:sz w:val="22"/>
          <w:szCs w:val="22"/>
        </w:rPr>
        <w:t xml:space="preserve">The confidence threshold itself becomes a per-user, per-workspace tunable rather than a global constant, with the 0.85 default preserved as the baseline.</w:t>
      </w:r>
    </w:p>
    <w:p>
      <w:pPr>
        <w:pStyle w:val="Heading3"/>
        <w:spacing w:after="80" w:before="280"/>
      </w:pPr>
      <w:r>
        <w:rPr>
          <w:rFonts w:ascii="Arial" w:cs="Arial" w:eastAsia="Arial" w:hAnsi="Arial"/>
          <w:b/>
          <w:bCs/>
          <w:color w:val="4338CA"/>
          <w:sz w:val="25"/>
          <w:szCs w:val="25"/>
        </w:rPr>
        <w:t xml:space="preserve">17.2.7 Meta-Orchestrator Agent</w:t>
      </w:r>
      <w:r>
        <w:rPr>
          <w:rFonts w:ascii="Arial" w:cs="Arial" w:eastAsia="Arial" w:hAnsi="Arial"/>
          <w:b/>
          <w:bCs/>
          <w:i/>
          <w:iCs/>
          <w:color w:val="B91C1C"/>
          <w:sz w:val="20"/>
          <w:szCs w:val="20"/>
        </w:rPr>
        <w:t xml:space="preserve">  [Priority 9.2/10]</w:t>
      </w:r>
    </w:p>
    <w:p>
      <w:pPr>
        <w:spacing w:after="60" w:before="60"/>
      </w:pPr>
      <w:r>
        <w:rPr>
          <w:rFonts w:ascii="Arial" w:cs="Arial" w:eastAsia="Arial" w:hAnsi="Arial"/>
          <w:color w:val="1F2937"/>
          <w:sz w:val="22"/>
          <w:szCs w:val="22"/>
        </w:rPr>
        <w:t xml:space="preserve">Introduce a supervising agent above the Orchestrator described in Part XII.12.2 whose sole job is cross-agent health: detecting conflicting outputs between agents, reprioritizing queued work under load, and deciding when to escalate a failure to a human checkpoint versus retry automatically.</w:t>
      </w:r>
    </w:p>
    <w:p>
      <w:pPr>
        <w:pStyle w:val="ListParagraph"/>
        <w:numPr>
          <w:ilvl w:val="0"/>
          <w:numId w:val="2"/>
        </w:numPr>
        <w:spacing w:after="40" w:before="40"/>
        <w:ind w:left="720" w:hanging="360"/>
      </w:pPr>
      <w:r>
        <w:rPr>
          <w:rFonts w:ascii="Arial" w:cs="Arial" w:eastAsia="Arial" w:hAnsi="Arial"/>
          <w:color w:val="1F2937"/>
          <w:sz w:val="22"/>
          <w:szCs w:val="22"/>
        </w:rPr>
        <w:t xml:space="preserve">Conflict resolution: when two agents produce contradictory artifacts (e.g., Data Modeler and Feature Engineering subagents disagree on grain), the Meta-Orchestrator arbitrates using the same deterministic rules as Repair Loop Limits (Part X.10.3) rather than an ad hoc LLM judgment call.</w:t>
      </w:r>
    </w:p>
    <w:p>
      <w:pPr>
        <w:pStyle w:val="ListParagraph"/>
        <w:numPr>
          <w:ilvl w:val="0"/>
          <w:numId w:val="2"/>
        </w:numPr>
        <w:spacing w:after="40" w:before="40"/>
        <w:ind w:left="720" w:hanging="360"/>
      </w:pPr>
      <w:r>
        <w:rPr>
          <w:rFonts w:ascii="Arial" w:cs="Arial" w:eastAsia="Arial" w:hAnsi="Arial"/>
          <w:color w:val="1F2937"/>
          <w:sz w:val="22"/>
          <w:szCs w:val="22"/>
        </w:rPr>
        <w:t xml:space="preserve">Failure triage: repeated repair-loop exhaustion across multiple artifacts in a short window is treated as a systemic signal and raises a platform-level alert instead of N independent user-facing failures.</w:t>
      </w:r>
    </w:p>
    <w:p>
      <w:pPr>
        <w:pStyle w:val="Heading3"/>
        <w:spacing w:after="80" w:before="280"/>
      </w:pPr>
      <w:r>
        <w:rPr>
          <w:rFonts w:ascii="Arial" w:cs="Arial" w:eastAsia="Arial" w:hAnsi="Arial"/>
          <w:b/>
          <w:bCs/>
          <w:color w:val="4338CA"/>
          <w:sz w:val="25"/>
          <w:szCs w:val="25"/>
        </w:rPr>
        <w:t xml:space="preserve">17.2.8 Simulation / Sandbox Mode</w:t>
      </w:r>
      <w:r>
        <w:rPr>
          <w:rFonts w:ascii="Arial" w:cs="Arial" w:eastAsia="Arial" w:hAnsi="Arial"/>
          <w:b/>
          <w:bCs/>
          <w:i/>
          <w:iCs/>
          <w:color w:val="B91C1C"/>
          <w:sz w:val="20"/>
          <w:szCs w:val="20"/>
        </w:rPr>
        <w:t xml:space="preserve">  [Priority 9.1/10]</w:t>
      </w:r>
    </w:p>
    <w:p>
      <w:pPr>
        <w:spacing w:after="60" w:before="60"/>
      </w:pPr>
      <w:r>
        <w:rPr>
          <w:rFonts w:ascii="Arial" w:cs="Arial" w:eastAsia="Arial" w:hAnsi="Arial"/>
          <w:color w:val="1F2937"/>
          <w:sz w:val="22"/>
          <w:szCs w:val="22"/>
        </w:rPr>
        <w:t xml:space="preserve">Allow a workspace to branch the artifact graph into an isolated sandbox namespace so hypothetical metrics, simulated data, and “what-if” dashboards can be built and explored without writing to production artifact history or affecting shared caches.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Isolation guarantee: </w:t>
      </w:r>
      <w:r>
        <w:rPr>
          <w:rFonts w:ascii="Arial" w:cs="Arial" w:eastAsia="Arial" w:hAnsi="Arial"/>
          <w:color w:val="1F2937"/>
          <w:sz w:val="22"/>
          <w:szCs w:val="22"/>
        </w:rPr>
        <w:t xml:space="preserve">Sandbox nodes carry a distinct namespace prefix and are excluded from the Unified Artifact Store's production indices (Section 17.3.1) and from governance audit scope unless explicitly promoted.</w:t>
      </w:r>
    </w:p>
    <w:p>
      <w:pPr>
        <w:pStyle w:val="ListParagraph"/>
        <w:numPr>
          <w:ilvl w:val="0"/>
          <w:numId w:val="2"/>
        </w:numPr>
        <w:spacing w:after="40" w:before="40"/>
        <w:ind w:left="720" w:hanging="360"/>
      </w:pPr>
      <w:r>
        <w:rPr>
          <w:rFonts w:ascii="Arial" w:cs="Arial" w:eastAsia="Arial" w:hAnsi="Arial"/>
          <w:b/>
          <w:bCs/>
          <w:color w:val="1E2B5C"/>
          <w:sz w:val="22"/>
          <w:szCs w:val="22"/>
        </w:rPr>
        <w:t xml:space="preserve">Promotion path: </w:t>
      </w:r>
      <w:r>
        <w:rPr>
          <w:rFonts w:ascii="Arial" w:cs="Arial" w:eastAsia="Arial" w:hAnsi="Arial"/>
          <w:color w:val="1F2937"/>
          <w:sz w:val="22"/>
          <w:szCs w:val="22"/>
        </w:rPr>
        <w:t xml:space="preserve">Promotion of a sandbox artifact to production re-runs it through the full deterministic validation gate set — sandbox mode never grants a governance bypass.</w:t>
      </w:r>
    </w:p>
    <w:p>
      <w:pPr>
        <w:pStyle w:val="Heading3"/>
        <w:spacing w:after="80" w:before="280"/>
      </w:pPr>
      <w:r>
        <w:rPr>
          <w:rFonts w:ascii="Arial" w:cs="Arial" w:eastAsia="Arial" w:hAnsi="Arial"/>
          <w:b/>
          <w:bCs/>
          <w:color w:val="4338CA"/>
          <w:sz w:val="25"/>
          <w:szCs w:val="25"/>
        </w:rPr>
        <w:t xml:space="preserve">17.2.9 Autonomous Optimization Jobs</w:t>
      </w:r>
      <w:r>
        <w:rPr>
          <w:rFonts w:ascii="Arial" w:cs="Arial" w:eastAsia="Arial" w:hAnsi="Arial"/>
          <w:b/>
          <w:bCs/>
          <w:i/>
          <w:iCs/>
          <w:color w:val="B91C1C"/>
          <w:sz w:val="20"/>
          <w:szCs w:val="20"/>
        </w:rPr>
        <w:t xml:space="preserve">  [Priority 9.1/10]</w:t>
      </w:r>
    </w:p>
    <w:p>
      <w:pPr>
        <w:spacing w:after="60" w:before="60"/>
      </w:pPr>
      <w:r>
        <w:rPr>
          <w:rFonts w:ascii="Arial" w:cs="Arial" w:eastAsia="Arial" w:hAnsi="Arial"/>
          <w:color w:val="1F2937"/>
          <w:sz w:val="22"/>
          <w:szCs w:val="22"/>
        </w:rPr>
        <w:t xml:space="preserve">Background jobs that periodically analyze the query cache (Part VII.7.5) and DAG execution telemetry to propose warehouse-level improvements: slow SQL rewrites, missing partition or index recommendations, and cache-key restructuring for hot query contracts.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Human approval required: </w:t>
      </w:r>
      <w:r>
        <w:rPr>
          <w:rFonts w:ascii="Arial" w:cs="Arial" w:eastAsia="Arial" w:hAnsi="Arial"/>
          <w:color w:val="1F2937"/>
          <w:sz w:val="22"/>
          <w:szCs w:val="22"/>
        </w:rPr>
        <w:t xml:space="preserve">Recommendations are surfaced to workspace admins as reviewable proposals, never applied automatically to production warehouse schema — consistent with the read-only, non-destructive posture in Part XIV.14.3.</w:t>
      </w:r>
    </w:p>
    <w:p>
      <w:pPr>
        <w:pStyle w:val="ListParagraph"/>
        <w:numPr>
          <w:ilvl w:val="0"/>
          <w:numId w:val="2"/>
        </w:numPr>
        <w:spacing w:after="40" w:before="40"/>
        <w:ind w:left="720" w:hanging="360"/>
      </w:pPr>
      <w:r>
        <w:rPr>
          <w:rFonts w:ascii="Arial" w:cs="Arial" w:eastAsia="Arial" w:hAnsi="Arial"/>
          <w:b/>
          <w:bCs/>
          <w:color w:val="1E2B5C"/>
          <w:sz w:val="22"/>
          <w:szCs w:val="22"/>
        </w:rPr>
        <w:t xml:space="preserve">Root-cause linkage: </w:t>
      </w:r>
      <w:r>
        <w:rPr>
          <w:rFonts w:ascii="Arial" w:cs="Arial" w:eastAsia="Arial" w:hAnsi="Arial"/>
          <w:color w:val="1F2937"/>
          <w:sz w:val="22"/>
          <w:szCs w:val="22"/>
        </w:rPr>
        <w:t xml:space="preserve">Detected expensive joins are cross-referenced against the Many-to-Many Join gate (Part XVI.16.2, Stage 1) to catch cases where a semantic layer fix would be more effective than a warehouse-level optimization.</w:t>
      </w:r>
    </w:p>
    <w:p>
      <w:pPr>
        <w:pStyle w:val="Heading2"/>
        <w:spacing w:after="120" w:before="400"/>
      </w:pPr>
      <w:r>
        <w:rPr>
          <w:rFonts w:ascii="Arial" w:cs="Arial" w:eastAsia="Arial" w:hAnsi="Arial"/>
          <w:b/>
          <w:bCs/>
          <w:color w:val="1E2B5C"/>
          <w:sz w:val="30"/>
          <w:szCs w:val="30"/>
        </w:rPr>
        <w:t xml:space="preserve">17.3 Knowledge Layer Enhancements</w:t>
      </w:r>
    </w:p>
    <w:p>
      <w:pPr>
        <w:spacing w:after="60" w:before="60"/>
      </w:pPr>
      <w:r>
        <w:rPr>
          <w:rFonts w:ascii="Arial" w:cs="Arial" w:eastAsia="Arial" w:hAnsi="Arial"/>
          <w:color w:val="1F2937"/>
          <w:sz w:val="22"/>
          <w:szCs w:val="22"/>
        </w:rPr>
        <w:t xml:space="preserve">The Knowledge Layer groups the Governance and Semantic systems already defined in Parts III and IV with three new capabilities — memory, a unified artifact store, and a knowledge graph — that let the platform accumulate and reuse understanding across sessions instead of rebuilding context from zero on every conversation.</w:t>
      </w:r>
    </w:p>
    <w:p>
      <w:pPr>
        <w:pStyle w:val="Heading3"/>
        <w:spacing w:after="80" w:before="280"/>
      </w:pPr>
      <w:r>
        <w:rPr>
          <w:rFonts w:ascii="Arial" w:cs="Arial" w:eastAsia="Arial" w:hAnsi="Arial"/>
          <w:b/>
          <w:bCs/>
          <w:color w:val="4338CA"/>
          <w:sz w:val="25"/>
          <w:szCs w:val="25"/>
        </w:rPr>
        <w:t xml:space="preserve">17.3.1 Persistent Agent Memory</w:t>
      </w:r>
      <w:r>
        <w:rPr>
          <w:rFonts w:ascii="Arial" w:cs="Arial" w:eastAsia="Arial" w:hAnsi="Arial"/>
          <w:b/>
          <w:bCs/>
          <w:i/>
          <w:iCs/>
          <w:color w:val="B91C1C"/>
          <w:sz w:val="20"/>
          <w:szCs w:val="20"/>
        </w:rPr>
        <w:t xml:space="preserve">  [Priority 10/10]</w:t>
      </w:r>
    </w:p>
    <w:p>
      <w:pPr>
        <w:spacing w:after="60" w:before="60"/>
      </w:pPr>
      <w:r>
        <w:rPr>
          <w:rFonts w:ascii="Arial" w:cs="Arial" w:eastAsia="Arial" w:hAnsi="Arial"/>
          <w:color w:val="1F2937"/>
          <w:sz w:val="22"/>
          <w:szCs w:val="22"/>
        </w:rPr>
        <w:t xml:space="preserve">Give every agent in the Roster (Part XII.12.1) a durable, per-workspace memory store covering user preferences, accepted metric definitions, favorite visualization types, dismissed suggestions, and prior dashboard structures. The system should get measurably better at serving a given workspace every week rather than resetting its understanding with every prompt.</w:t>
      </w:r>
    </w:p>
    <w:p>
      <w:pPr>
        <w:pStyle w:val="ListParagraph"/>
        <w:numPr>
          <w:ilvl w:val="0"/>
          <w:numId w:val="2"/>
        </w:numPr>
        <w:spacing w:after="40" w:before="40"/>
        <w:ind w:left="720" w:hanging="360"/>
      </w:pPr>
      <w:r>
        <w:rPr>
          <w:rFonts w:ascii="Arial" w:cs="Arial" w:eastAsia="Arial" w:hAnsi="Arial"/>
          <w:b/>
          <w:bCs/>
          <w:color w:val="1E2B5C"/>
          <w:sz w:val="22"/>
          <w:szCs w:val="22"/>
        </w:rPr>
        <w:t xml:space="preserve">Governed memory: </w:t>
      </w:r>
      <w:r>
        <w:rPr>
          <w:rFonts w:ascii="Arial" w:cs="Arial" w:eastAsia="Arial" w:hAnsi="Arial"/>
          <w:color w:val="1F2937"/>
          <w:sz w:val="22"/>
          <w:szCs w:val="22"/>
        </w:rPr>
        <w:t xml:space="preserve">Memory is scoped per workspace and per user role, and is itself a governed artifact type subject to the same PII detection gate as Stage 0 source data (Part III.3.3).</w:t>
      </w:r>
    </w:p>
    <w:p>
      <w:pPr>
        <w:pStyle w:val="ListParagraph"/>
        <w:numPr>
          <w:ilvl w:val="0"/>
          <w:numId w:val="2"/>
        </w:numPr>
        <w:spacing w:after="40" w:before="40"/>
        <w:ind w:left="720" w:hanging="360"/>
      </w:pPr>
      <w:r>
        <w:rPr>
          <w:rFonts w:ascii="Arial" w:cs="Arial" w:eastAsia="Arial" w:hAnsi="Arial"/>
          <w:b/>
          <w:bCs/>
          <w:color w:val="1E2B5C"/>
          <w:sz w:val="22"/>
          <w:szCs w:val="22"/>
        </w:rPr>
        <w:t xml:space="preserve">What is remembered: </w:t>
      </w:r>
      <w:r>
        <w:rPr>
          <w:rFonts w:ascii="Arial" w:cs="Arial" w:eastAsia="Arial" w:hAnsi="Arial"/>
          <w:color w:val="1F2937"/>
          <w:sz w:val="22"/>
          <w:szCs w:val="22"/>
        </w:rPr>
        <w:t xml:space="preserve">Preference categories tracked: default chart types by metric category, dismissed proactive insights, accepted vs. rejected semantic layer suggestions, and recurring filter/segment patterns.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Non-overriding: </w:t>
      </w:r>
      <w:r>
        <w:rPr>
          <w:rFonts w:ascii="Arial" w:cs="Arial" w:eastAsia="Arial" w:hAnsi="Arial"/>
          <w:color w:val="1F2937"/>
          <w:sz w:val="22"/>
          <w:szCs w:val="22"/>
        </w:rPr>
        <w:t xml:space="preserve">Memory informs but never silently overrides an explicit user instruction in the current turn — stored preference is a prior, not a constraint, on the Planner Agent's next plan.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Decay policy: </w:t>
      </w:r>
      <w:r>
        <w:rPr>
          <w:rFonts w:ascii="Arial" w:cs="Arial" w:eastAsia="Arial" w:hAnsi="Arial"/>
          <w:color w:val="1F2937"/>
          <w:sz w:val="22"/>
          <w:szCs w:val="22"/>
        </w:rPr>
        <w:t xml:space="preserve">Memory entries expire or decay in weight if unused for a configurable window, preventing stale preferences from steering new work indefinitely.</w:t>
      </w:r>
    </w:p>
    <w:p>
      <w:pPr>
        <w:pStyle w:val="Heading3"/>
        <w:spacing w:after="80" w:before="280"/>
      </w:pPr>
      <w:r>
        <w:rPr>
          <w:rFonts w:ascii="Arial" w:cs="Arial" w:eastAsia="Arial" w:hAnsi="Arial"/>
          <w:b/>
          <w:bCs/>
          <w:color w:val="4338CA"/>
          <w:sz w:val="25"/>
          <w:szCs w:val="25"/>
        </w:rPr>
        <w:t xml:space="preserve">17.3.2 Unified Artifact Store</w:t>
      </w:r>
      <w:r>
        <w:rPr>
          <w:rFonts w:ascii="Arial" w:cs="Arial" w:eastAsia="Arial" w:hAnsi="Arial"/>
          <w:b/>
          <w:bCs/>
          <w:i/>
          <w:iCs/>
          <w:color w:val="B91C1C"/>
          <w:sz w:val="20"/>
          <w:szCs w:val="20"/>
        </w:rPr>
        <w:t xml:space="preserve">  [Priority 9.5/10]</w:t>
      </w:r>
    </w:p>
    <w:p>
      <w:pPr>
        <w:spacing w:after="60" w:before="60"/>
      </w:pPr>
      <w:r>
        <w:rPr>
          <w:rFonts w:ascii="Arial" w:cs="Arial" w:eastAsia="Arial" w:hAnsi="Arial"/>
          <w:color w:val="1F2937"/>
          <w:sz w:val="22"/>
          <w:szCs w:val="22"/>
        </w:rPr>
        <w:t xml:space="preserve">Treat every generated object across the whole platform — dashboard plans, query contracts, data contracts, Vega-Lite specs, feature sets, model cards, assembled dashboards — as a versioned, first-class artifact in one addressable store with a common metadata schema, rather than each Stage owning its own ad hoc persistence.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Common schema: </w:t>
      </w:r>
      <w:r>
        <w:rPr>
          <w:rFonts w:ascii="Arial" w:cs="Arial" w:eastAsia="Arial" w:hAnsi="Arial"/>
          <w:color w:val="1F2937"/>
          <w:sz w:val="22"/>
          <w:szCs w:val="22"/>
        </w:rPr>
        <w:t xml:space="preserve">Every artifact record carries: artifact_id, artifact_type, version, content_hash, upstream_artifact_ids, governance_manifest_version, semantic_layer_version, created_by_agent, created_at.</w:t>
      </w:r>
    </w:p>
    <w:p>
      <w:pPr>
        <w:pStyle w:val="ListParagraph"/>
        <w:numPr>
          <w:ilvl w:val="0"/>
          <w:numId w:val="2"/>
        </w:numPr>
        <w:spacing w:after="40" w:before="40"/>
        <w:ind w:left="720" w:hanging="360"/>
      </w:pPr>
      <w:r>
        <w:rPr>
          <w:rFonts w:ascii="Arial" w:cs="Arial" w:eastAsia="Arial" w:hAnsi="Arial"/>
          <w:b/>
          <w:bCs/>
          <w:color w:val="1E2B5C"/>
          <w:sz w:val="22"/>
          <w:szCs w:val="22"/>
        </w:rPr>
        <w:t xml:space="preserve">Backing the DAG: </w:t>
      </w:r>
      <w:r>
        <w:rPr>
          <w:rFonts w:ascii="Arial" w:cs="Arial" w:eastAsia="Arial" w:hAnsi="Arial"/>
          <w:color w:val="1F2937"/>
          <w:sz w:val="22"/>
          <w:szCs w:val="22"/>
        </w:rPr>
        <w:t xml:space="preserve">This store is the substrate the DAG execution model (Section 17.2.1) runs against — the DAG is a query over the Unified Artifact Store's dependency edges.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Compatible with existing schema: </w:t>
      </w:r>
      <w:r>
        <w:rPr>
          <w:rFonts w:ascii="Arial" w:cs="Arial" w:eastAsia="Arial" w:hAnsi="Arial"/>
          <w:color w:val="1F2937"/>
          <w:sz w:val="22"/>
          <w:szCs w:val="22"/>
        </w:rPr>
        <w:t xml:space="preserve">The existing Workspace Artifact Record Schema (Part XI.11.1) becomes a view over this store scoped to user-facing, assembled dashboard artifacts.</w:t>
      </w:r>
    </w:p>
    <w:p>
      <w:pPr>
        <w:pStyle w:val="Heading3"/>
        <w:spacing w:after="80" w:before="280"/>
      </w:pPr>
      <w:r>
        <w:rPr>
          <w:rFonts w:ascii="Arial" w:cs="Arial" w:eastAsia="Arial" w:hAnsi="Arial"/>
          <w:b/>
          <w:bCs/>
          <w:color w:val="4338CA"/>
          <w:sz w:val="25"/>
          <w:szCs w:val="25"/>
        </w:rPr>
        <w:t xml:space="preserve">17.3.3 Workspace Knowledge Graph</w:t>
      </w:r>
      <w:r>
        <w:rPr>
          <w:rFonts w:ascii="Arial" w:cs="Arial" w:eastAsia="Arial" w:hAnsi="Arial"/>
          <w:b/>
          <w:bCs/>
          <w:i/>
          <w:iCs/>
          <w:color w:val="B91C1C"/>
          <w:sz w:val="20"/>
          <w:szCs w:val="20"/>
        </w:rPr>
        <w:t xml:space="preserve">  [Priority 9.5/10]</w:t>
      </w:r>
    </w:p>
    <w:p>
      <w:pPr>
        <w:spacing w:after="60" w:before="60"/>
      </w:pPr>
      <w:r>
        <w:rPr>
          <w:rFonts w:ascii="Arial" w:cs="Arial" w:eastAsia="Arial" w:hAnsi="Arial"/>
          <w:color w:val="1F2937"/>
          <w:sz w:val="22"/>
          <w:szCs w:val="22"/>
        </w:rPr>
        <w:t xml:space="preserve">Layer a graph store on top of the relational semantic layer capturing relationships between metrics, dashboards, datasets, business concepts, and users — relationships that are real but do not fit cleanly into the Semantic Layer's canonical metric definitions (Part IV).</w:t>
      </w:r>
    </w:p>
    <w:p>
      <w:pPr>
        <w:pStyle w:val="ListParagraph"/>
        <w:numPr>
          <w:ilvl w:val="0"/>
          <w:numId w:val="2"/>
        </w:numPr>
        <w:spacing w:after="40" w:before="40"/>
        <w:ind w:left="720" w:hanging="360"/>
      </w:pPr>
      <w:r>
        <w:rPr>
          <w:rFonts w:ascii="Arial" w:cs="Arial" w:eastAsia="Arial" w:hAnsi="Arial"/>
          <w:b/>
          <w:bCs/>
          <w:color w:val="1E2B5C"/>
          <w:sz w:val="22"/>
          <w:szCs w:val="22"/>
        </w:rPr>
        <w:t xml:space="preserve">Graph schema: </w:t>
      </w:r>
      <w:r>
        <w:rPr>
          <w:rFonts w:ascii="Arial" w:cs="Arial" w:eastAsia="Arial" w:hAnsi="Arial"/>
          <w:color w:val="1F2937"/>
          <w:sz w:val="22"/>
          <w:szCs w:val="22"/>
        </w:rPr>
        <w:t xml:space="preserve">Edge types include: metric-derived-from-metric, dashboard-references-metric, user-frequently-investigates-concept, dataset-joins-to-dataset via a given key.</w:t>
      </w:r>
    </w:p>
    <w:p>
      <w:pPr>
        <w:pStyle w:val="ListParagraph"/>
        <w:numPr>
          <w:ilvl w:val="0"/>
          <w:numId w:val="2"/>
        </w:numPr>
        <w:spacing w:after="40" w:before="40"/>
        <w:ind w:left="720" w:hanging="360"/>
      </w:pPr>
      <w:r>
        <w:rPr>
          <w:rFonts w:ascii="Arial" w:cs="Arial" w:eastAsia="Arial" w:hAnsi="Arial"/>
          <w:b/>
          <w:bCs/>
          <w:color w:val="1E2B5C"/>
          <w:sz w:val="22"/>
          <w:szCs w:val="22"/>
        </w:rPr>
        <w:t xml:space="preserve">Reasoning use case: </w:t>
      </w:r>
      <w:r>
        <w:rPr>
          <w:rFonts w:ascii="Arial" w:cs="Arial" w:eastAsia="Arial" w:hAnsi="Arial"/>
          <w:color w:val="1F2937"/>
          <w:sz w:val="22"/>
          <w:szCs w:val="22"/>
        </w:rPr>
        <w:t xml:space="preserve">Powers “related metrics you might also check” and “other teams that analyze this concept” recommendations that a purely relational semantic model cannot express efficiently.</w:t>
      </w:r>
    </w:p>
    <w:p>
      <w:pPr>
        <w:pStyle w:val="ListParagraph"/>
        <w:numPr>
          <w:ilvl w:val="0"/>
          <w:numId w:val="2"/>
        </w:numPr>
        <w:spacing w:after="40" w:before="40"/>
        <w:ind w:left="720" w:hanging="360"/>
      </w:pPr>
      <w:r>
        <w:rPr>
          <w:rFonts w:ascii="Arial" w:cs="Arial" w:eastAsia="Arial" w:hAnsi="Arial"/>
          <w:b/>
          <w:bCs/>
          <w:color w:val="1E2B5C"/>
          <w:sz w:val="22"/>
          <w:szCs w:val="22"/>
        </w:rPr>
        <w:t xml:space="preserve">Feeds Opportunity Engine: </w:t>
      </w:r>
      <w:r>
        <w:rPr>
          <w:rFonts w:ascii="Arial" w:cs="Arial" w:eastAsia="Arial" w:hAnsi="Arial"/>
          <w:color w:val="1F2937"/>
          <w:sz w:val="22"/>
          <w:szCs w:val="22"/>
        </w:rPr>
        <w:t xml:space="preserve">Feeds the Opportunity Engine (Section 17.4.1) as a source of candidate follow-up investigations — an edge between two frequently co-analyzed metrics is a signal worth surfacing proactively.</w:t>
      </w:r>
    </w:p>
    <w:p>
      <w:pPr>
        <w:pStyle w:val="Heading3"/>
        <w:spacing w:after="80" w:before="280"/>
      </w:pPr>
      <w:r>
        <w:rPr>
          <w:rFonts w:ascii="Arial" w:cs="Arial" w:eastAsia="Arial" w:hAnsi="Arial"/>
          <w:b/>
          <w:bCs/>
          <w:color w:val="4338CA"/>
          <w:sz w:val="25"/>
          <w:szCs w:val="25"/>
        </w:rPr>
        <w:t xml:space="preserve">17.3.4 Automatic Semantic Evolution</w:t>
      </w:r>
      <w:r>
        <w:rPr>
          <w:rFonts w:ascii="Arial" w:cs="Arial" w:eastAsia="Arial" w:hAnsi="Arial"/>
          <w:b/>
          <w:bCs/>
          <w:i/>
          <w:iCs/>
          <w:color w:val="B91C1C"/>
          <w:sz w:val="20"/>
          <w:szCs w:val="20"/>
        </w:rPr>
        <w:t xml:space="preserve">  [Priority 9.4/10]</w:t>
      </w:r>
    </w:p>
    <w:p>
      <w:pPr>
        <w:spacing w:after="60" w:before="60"/>
      </w:pPr>
      <w:r>
        <w:rPr>
          <w:rFonts w:ascii="Arial" w:cs="Arial" w:eastAsia="Arial" w:hAnsi="Arial"/>
          <w:color w:val="1F2937"/>
          <w:sz w:val="22"/>
          <w:szCs w:val="22"/>
        </w:rPr>
        <w:t xml:space="preserve">Have the Semantic Layer Agent (Part IV.4.1) continuously propose improvements to the semantic model itself: new candidate metrics observed in repeated ad hoc query patterns, deprecation candidates for unused metrics, renamed-field suggestions, and merge candidates when two definitions appear to describe the same underlying concept.</w:t>
      </w:r>
    </w:p>
    <w:p>
      <w:pPr>
        <w:pStyle w:val="ListParagraph"/>
        <w:numPr>
          <w:ilvl w:val="0"/>
          <w:numId w:val="2"/>
        </w:numPr>
        <w:spacing w:after="40" w:before="40"/>
        <w:ind w:left="720" w:hanging="360"/>
      </w:pPr>
      <w:r>
        <w:rPr>
          <w:rFonts w:ascii="Arial" w:cs="Arial" w:eastAsia="Arial" w:hAnsi="Arial"/>
          <w:b/>
          <w:bCs/>
          <w:color w:val="1E2B5C"/>
          <w:sz w:val="22"/>
          <w:szCs w:val="22"/>
        </w:rPr>
        <w:t xml:space="preserve">Human gate preserved: </w:t>
      </w:r>
      <w:r>
        <w:rPr>
          <w:rFonts w:ascii="Arial" w:cs="Arial" w:eastAsia="Arial" w:hAnsi="Arial"/>
          <w:color w:val="1F2937"/>
          <w:sz w:val="22"/>
          <w:szCs w:val="22"/>
        </w:rPr>
        <w:t xml:space="preserve">All proposals are queued for admin review through the existing governance workflow — this enhancement generates suggestions, it does not auto-mutate the canonical semantic layer, preserving the One-Metric-One-Definition non-negotiable (Part I.1.1).</w:t>
      </w:r>
    </w:p>
    <w:p>
      <w:pPr>
        <w:pStyle w:val="ListParagraph"/>
        <w:numPr>
          <w:ilvl w:val="0"/>
          <w:numId w:val="2"/>
        </w:numPr>
        <w:spacing w:after="40" w:before="40"/>
        <w:ind w:left="720" w:hanging="360"/>
      </w:pPr>
      <w:r>
        <w:rPr>
          <w:rFonts w:ascii="Arial" w:cs="Arial" w:eastAsia="Arial" w:hAnsi="Arial"/>
          <w:b/>
          <w:bCs/>
          <w:color w:val="1E2B5C"/>
          <w:sz w:val="22"/>
          <w:szCs w:val="22"/>
        </w:rPr>
        <w:t xml:space="preserve">Merge detection: </w:t>
      </w:r>
      <w:r>
        <w:rPr>
          <w:rFonts w:ascii="Arial" w:cs="Arial" w:eastAsia="Arial" w:hAnsi="Arial"/>
          <w:color w:val="1F2937"/>
          <w:sz w:val="22"/>
          <w:szCs w:val="22"/>
        </w:rPr>
        <w:t xml:space="preserve">Merge-candidate detection compares metric SQL definitions and historical result correlation, then routes high-confidence matches into the AI-Assisted Governance Review flow (Section 17.3.7).</w:t>
      </w:r>
    </w:p>
    <w:p>
      <w:pPr>
        <w:pStyle w:val="Heading3"/>
        <w:spacing w:after="80" w:before="280"/>
      </w:pPr>
      <w:r>
        <w:rPr>
          <w:rFonts w:ascii="Arial" w:cs="Arial" w:eastAsia="Arial" w:hAnsi="Arial"/>
          <w:b/>
          <w:bCs/>
          <w:color w:val="4338CA"/>
          <w:sz w:val="25"/>
          <w:szCs w:val="25"/>
        </w:rPr>
        <w:t xml:space="preserve">17.3.5 User Intent History Graph</w:t>
      </w:r>
      <w:r>
        <w:rPr>
          <w:rFonts w:ascii="Arial" w:cs="Arial" w:eastAsia="Arial" w:hAnsi="Arial"/>
          <w:b/>
          <w:bCs/>
          <w:i/>
          <w:iCs/>
          <w:color w:val="B91C1C"/>
          <w:sz w:val="20"/>
          <w:szCs w:val="20"/>
        </w:rPr>
        <w:t xml:space="preserve">  [Priority 8.7/10]</w:t>
      </w:r>
    </w:p>
    <w:p>
      <w:pPr>
        <w:spacing w:after="60" w:before="60"/>
      </w:pPr>
      <w:r>
        <w:rPr>
          <w:rFonts w:ascii="Arial" w:cs="Arial" w:eastAsia="Arial" w:hAnsi="Arial"/>
          <w:color w:val="1F2937"/>
          <w:sz w:val="22"/>
          <w:szCs w:val="22"/>
        </w:rPr>
        <w:t xml:space="preserve">Build a per-user graph of prior investigations — questions asked, dashboards built, filters applied, in what sequence — so a new session can be context-aware of what the user was previously working toward, not just what they type in the current turn.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Session warm-start: </w:t>
      </w:r>
      <w:r>
        <w:rPr>
          <w:rFonts w:ascii="Arial" w:cs="Arial" w:eastAsia="Arial" w:hAnsi="Arial"/>
          <w:color w:val="1F2937"/>
          <w:sz w:val="22"/>
          <w:szCs w:val="22"/>
        </w:rPr>
        <w:t xml:space="preserve">Session Planner Agent (Part V.5.1) queries this graph at session start to pre-warm likely intent categories, without pre-committing to any specific dashboard plan.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Feeds adaptive planning: </w:t>
      </w:r>
      <w:r>
        <w:rPr>
          <w:rFonts w:ascii="Arial" w:cs="Arial" w:eastAsia="Arial" w:hAnsi="Arial"/>
          <w:color w:val="1F2937"/>
          <w:sz w:val="22"/>
          <w:szCs w:val="22"/>
        </w:rPr>
        <w:t xml:space="preserve">This is the primary input to the Adaptive Planning Agent's novice/expert mode decision described in Section 17.2.6.</w:t>
      </w:r>
    </w:p>
    <w:p>
      <w:pPr>
        <w:pStyle w:val="Heading3"/>
        <w:spacing w:after="80" w:before="280"/>
      </w:pPr>
      <w:r>
        <w:rPr>
          <w:rFonts w:ascii="Arial" w:cs="Arial" w:eastAsia="Arial" w:hAnsi="Arial"/>
          <w:b/>
          <w:bCs/>
          <w:color w:val="4338CA"/>
          <w:sz w:val="25"/>
          <w:szCs w:val="25"/>
        </w:rPr>
        <w:t xml:space="preserve">17.3.6 Organizational Knowledge Reuse</w:t>
      </w:r>
      <w:r>
        <w:rPr>
          <w:rFonts w:ascii="Arial" w:cs="Arial" w:eastAsia="Arial" w:hAnsi="Arial"/>
          <w:b/>
          <w:bCs/>
          <w:i/>
          <w:iCs/>
          <w:color w:val="B91C1C"/>
          <w:sz w:val="20"/>
          <w:szCs w:val="20"/>
        </w:rPr>
        <w:t xml:space="preserve">  [Priority 8.7/10]</w:t>
      </w:r>
    </w:p>
    <w:p>
      <w:pPr>
        <w:spacing w:after="60" w:before="60"/>
      </w:pPr>
      <w:r>
        <w:rPr>
          <w:rFonts w:ascii="Arial" w:cs="Arial" w:eastAsia="Arial" w:hAnsi="Arial"/>
          <w:color w:val="1F2937"/>
          <w:sz w:val="22"/>
          <w:szCs w:val="22"/>
        </w:rPr>
        <w:t xml:space="preserve">When one analyst's investigation resolves a question — a validated dashboard plan, a successful feature engineering approach, a repair that fixed a recurring Vega-Lite validation failure — similar future requests from other users in the same workspace should benefit automatically.</w:t>
      </w:r>
    </w:p>
    <w:p>
      <w:pPr>
        <w:pStyle w:val="ListParagraph"/>
        <w:numPr>
          <w:ilvl w:val="0"/>
          <w:numId w:val="2"/>
        </w:numPr>
        <w:spacing w:after="40" w:before="40"/>
        <w:ind w:left="720" w:hanging="360"/>
      </w:pPr>
      <w:r>
        <w:rPr>
          <w:rFonts w:ascii="Arial" w:cs="Arial" w:eastAsia="Arial" w:hAnsi="Arial"/>
          <w:b/>
          <w:bCs/>
          <w:color w:val="1E2B5C"/>
          <w:sz w:val="22"/>
          <w:szCs w:val="22"/>
        </w:rPr>
        <w:t xml:space="preserve">Similarity-based reuse: </w:t>
      </w:r>
      <w:r>
        <w:rPr>
          <w:rFonts w:ascii="Arial" w:cs="Arial" w:eastAsia="Arial" w:hAnsi="Arial"/>
          <w:color w:val="1F2937"/>
          <w:sz w:val="22"/>
          <w:szCs w:val="22"/>
        </w:rPr>
        <w:t xml:space="preserve">Similarity matching runs against the Workspace Knowledge Graph (Section 17.3.3) and the Unified Artifact Store, surfacing prior validated dashboard plans as candidate starting points rather than forcing the Planner Agent to start from zero.</w:t>
      </w:r>
    </w:p>
    <w:p>
      <w:pPr>
        <w:pStyle w:val="ListParagraph"/>
        <w:numPr>
          <w:ilvl w:val="0"/>
          <w:numId w:val="2"/>
        </w:numPr>
        <w:spacing w:after="40" w:before="40"/>
        <w:ind w:left="720" w:hanging="360"/>
      </w:pPr>
      <w:r>
        <w:rPr>
          <w:rFonts w:ascii="Arial" w:cs="Arial" w:eastAsia="Arial" w:hAnsi="Arial"/>
          <w:b/>
          <w:bCs/>
          <w:color w:val="1E2B5C"/>
          <w:sz w:val="22"/>
          <w:szCs w:val="22"/>
        </w:rPr>
        <w:t xml:space="preserve">Re-validation required: </w:t>
      </w:r>
      <w:r>
        <w:rPr>
          <w:rFonts w:ascii="Arial" w:cs="Arial" w:eastAsia="Arial" w:hAnsi="Arial"/>
          <w:color w:val="1F2937"/>
          <w:sz w:val="22"/>
          <w:szCs w:val="22"/>
        </w:rPr>
        <w:t xml:space="preserve">Reused plans are always re-validated through the full Dashboard Plan Validation Gates (Part V.5.4) for the new requester's context — reuse accelerates planning, it does not skip governance.</w:t>
      </w:r>
    </w:p>
    <w:p>
      <w:pPr>
        <w:pStyle w:val="Heading3"/>
        <w:spacing w:after="80" w:before="280"/>
      </w:pPr>
      <w:r>
        <w:rPr>
          <w:rFonts w:ascii="Arial" w:cs="Arial" w:eastAsia="Arial" w:hAnsi="Arial"/>
          <w:b/>
          <w:bCs/>
          <w:color w:val="4338CA"/>
          <w:sz w:val="25"/>
          <w:szCs w:val="25"/>
        </w:rPr>
        <w:t xml:space="preserve">17.3.7 AI-Assisted Governance Review</w:t>
      </w:r>
      <w:r>
        <w:rPr>
          <w:rFonts w:ascii="Arial" w:cs="Arial" w:eastAsia="Arial" w:hAnsi="Arial"/>
          <w:b/>
          <w:bCs/>
          <w:i/>
          <w:iCs/>
          <w:color w:val="B91C1C"/>
          <w:sz w:val="20"/>
          <w:szCs w:val="20"/>
        </w:rPr>
        <w:t xml:space="preserve">  [Priority 8.6/10]</w:t>
      </w:r>
    </w:p>
    <w:p>
      <w:pPr>
        <w:spacing w:after="60" w:before="60"/>
      </w:pPr>
      <w:r>
        <w:rPr>
          <w:rFonts w:ascii="Arial" w:cs="Arial" w:eastAsia="Arial" w:hAnsi="Arial"/>
          <w:color w:val="1F2937"/>
          <w:sz w:val="22"/>
          <w:szCs w:val="22"/>
        </w:rPr>
        <w:t xml:space="preserve">Help workspace admins clear the governance review backlog faster by ranking low-confidence semantic definitions and Semantic Evolution proposals (Section 17.3.4) by supporting evidence and similarity to already-approved definitions, rather than presenting an undifferentiated queue.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Evidence annotation: </w:t>
      </w:r>
      <w:r>
        <w:rPr>
          <w:rFonts w:ascii="Arial" w:cs="Arial" w:eastAsia="Arial" w:hAnsi="Arial"/>
          <w:color w:val="1F2937"/>
          <w:sz w:val="22"/>
          <w:szCs w:val="22"/>
        </w:rPr>
        <w:t xml:space="preserve">Each queued item is annotated with: usage frequency, similarity score to an already-approved definition, and any conflicting-definition warnings from the Metric Definition Conflict gate (Part XVI.16.2, Stage 1).</w:t>
      </w:r>
    </w:p>
    <w:p>
      <w:pPr>
        <w:pStyle w:val="ListParagraph"/>
        <w:numPr>
          <w:ilvl w:val="0"/>
          <w:numId w:val="2"/>
        </w:numPr>
        <w:spacing w:after="40" w:before="40"/>
        <w:ind w:left="720" w:hanging="360"/>
      </w:pPr>
      <w:r>
        <w:rPr>
          <w:rFonts w:ascii="Arial" w:cs="Arial" w:eastAsia="Arial" w:hAnsi="Arial"/>
          <w:b/>
          <w:bCs/>
          <w:color w:val="1E2B5C"/>
          <w:sz w:val="22"/>
          <w:szCs w:val="22"/>
        </w:rPr>
        <w:t xml:space="preserve">Admin authority unchanged: </w:t>
      </w:r>
      <w:r>
        <w:rPr>
          <w:rFonts w:ascii="Arial" w:cs="Arial" w:eastAsia="Arial" w:hAnsi="Arial"/>
          <w:color w:val="1F2937"/>
          <w:sz w:val="22"/>
          <w:szCs w:val="22"/>
        </w:rPr>
        <w:t xml:space="preserve">The admin retains sole approval authority; this enhancement only changes triage order and adds supporting context, consistent with the Data Privacy and Authorization model in Part XIV.</w:t>
      </w:r>
    </w:p>
    <w:p>
      <w:pPr>
        <w:pStyle w:val="Heading2"/>
        <w:spacing w:after="120" w:before="400"/>
      </w:pPr>
      <w:r>
        <w:rPr>
          <w:rFonts w:ascii="Arial" w:cs="Arial" w:eastAsia="Arial" w:hAnsi="Arial"/>
          <w:b/>
          <w:bCs/>
          <w:color w:val="1E2B5C"/>
          <w:sz w:val="30"/>
          <w:szCs w:val="30"/>
        </w:rPr>
        <w:t xml:space="preserve">17.4 Evolution Engine</w:t>
      </w:r>
    </w:p>
    <w:p>
      <w:pPr>
        <w:spacing w:after="60" w:before="60"/>
      </w:pPr>
      <w:r>
        <w:rPr>
          <w:rFonts w:ascii="Arial" w:cs="Arial" w:eastAsia="Arial" w:hAnsi="Arial"/>
          <w:color w:val="1F2937"/>
          <w:sz w:val="22"/>
          <w:szCs w:val="22"/>
        </w:rPr>
        <w:t xml:space="preserve">The Evolution Engine is the capability that most distinguishes an upgraded AnalytIQ from conventional BI-plus-AI tooling. Most analytics platforms stop once a question is answered. The Evolution Engine keeps working after the answer: it looks for what the user did not think to ask, and it learns from every dashboard the platform has ever generated to make the next one better.</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4338CA"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DESIGN NOTE</w:t>
            </w:r>
          </w:p>
        </w:tc>
        <w:tc>
          <w:tcPr>
            <w:tcW w:type="dxa" w:w="9120"/>
            <w:shd w:fill="EEF2FF" w:val="clear"/>
            <w:tcMar>
              <w:top w:type="dxa" w:w="80"/>
              <w:left w:type="dxa" w:w="180"/>
              <w:bottom w:type="dxa" w:w="80"/>
              <w:right w:type="dxa" w:w="120"/>
            </w:tcMar>
          </w:tcPr>
          <w:p>
            <w:r>
              <w:rPr>
                <w:rFonts w:ascii="Arial" w:cs="Arial" w:eastAsia="Arial" w:hAnsi="Arial"/>
                <w:color w:val="1F2937"/>
                <w:sz w:val="22"/>
                <w:szCs w:val="22"/>
              </w:rPr>
              <w:t xml:space="preserve">The Evolution Engine consumes artifacts from every other system — it does not sit beside the pipeline, it sits downstream of it, subscribed to the Streaming Event Protocol (Part XII.12.4) and the Unified Artifact Store (Section 17.3.2).</w:t>
            </w:r>
          </w:p>
        </w:tc>
      </w:tr>
    </w:tbl>
    <w:p>
      <w:pPr>
        <w:spacing w:after="160" w:before="0"/>
      </w:pPr>
    </w:p>
    <w:p>
      <w:pPr>
        <w:pStyle w:val="Heading3"/>
        <w:spacing w:after="80" w:before="280"/>
      </w:pPr>
      <w:r>
        <w:rPr>
          <w:rFonts w:ascii="Arial" w:cs="Arial" w:eastAsia="Arial" w:hAnsi="Arial"/>
          <w:b/>
          <w:bCs/>
          <w:color w:val="4338CA"/>
          <w:sz w:val="25"/>
          <w:szCs w:val="25"/>
        </w:rPr>
        <w:t xml:space="preserve">17.4.1 Opportunity Engine</w:t>
      </w:r>
      <w:r>
        <w:rPr>
          <w:rFonts w:ascii="Arial" w:cs="Arial" w:eastAsia="Arial" w:hAnsi="Arial"/>
          <w:b/>
          <w:bCs/>
          <w:i/>
          <w:iCs/>
          <w:color w:val="B91C1C"/>
          <w:sz w:val="20"/>
          <w:szCs w:val="20"/>
        </w:rPr>
        <w:t xml:space="preserve">  [Priority 10/10]</w:t>
      </w:r>
    </w:p>
    <w:p>
      <w:pPr>
        <w:spacing w:after="60" w:before="60"/>
      </w:pPr>
      <w:r>
        <w:rPr>
          <w:rFonts w:ascii="Arial" w:cs="Arial" w:eastAsia="Arial" w:hAnsi="Arial"/>
          <w:color w:val="1F2937"/>
          <w:sz w:val="22"/>
          <w:szCs w:val="22"/>
        </w:rPr>
        <w:t xml:space="preserve">After any dashboard is assembled and passes Post-Assembly Validation (Part X.10.5), the Opportunity Engine automatically evaluates it for follow-up value: anomalies in the underlying data, plausible causal relationships worth investigating, forecastable trends not yet forecast, and concrete recommendations grounded in the artifact's own data contract.</w:t>
      </w:r>
    </w:p>
    <w:p>
      <w:pPr>
        <w:pStyle w:val="ListParagraph"/>
        <w:numPr>
          <w:ilvl w:val="0"/>
          <w:numId w:val="2"/>
        </w:numPr>
        <w:spacing w:after="40" w:before="40"/>
        <w:ind w:left="720" w:hanging="360"/>
      </w:pPr>
      <w:r>
        <w:rPr>
          <w:rFonts w:ascii="Arial" w:cs="Arial" w:eastAsia="Arial" w:hAnsi="Arial"/>
          <w:b/>
          <w:bCs/>
          <w:color w:val="1E2B5C"/>
          <w:sz w:val="22"/>
          <w:szCs w:val="22"/>
        </w:rPr>
        <w:t xml:space="preserve">Detection classes: </w:t>
      </w:r>
      <w:r>
        <w:rPr>
          <w:rFonts w:ascii="Arial" w:cs="Arial" w:eastAsia="Arial" w:hAnsi="Arial"/>
          <w:color w:val="1F2937"/>
          <w:sz w:val="22"/>
          <w:szCs w:val="22"/>
        </w:rPr>
        <w:t xml:space="preserve">Anomaly scan: statistical outlier detection against the same data contract (Part VII.7.3) already validated for the dashboard, so no new unvalidated data path is introduced.</w:t>
      </w:r>
    </w:p>
    <w:p>
      <w:pPr>
        <w:pStyle w:val="ListParagraph"/>
        <w:numPr>
          <w:ilvl w:val="0"/>
          <w:numId w:val="2"/>
        </w:numPr>
        <w:spacing w:after="40" w:before="40"/>
        <w:ind w:left="720" w:hanging="360"/>
      </w:pPr>
      <w:r>
        <w:rPr>
          <w:rFonts w:ascii="Arial" w:cs="Arial" w:eastAsia="Arial" w:hAnsi="Arial"/>
          <w:color w:val="1F2937"/>
          <w:sz w:val="22"/>
          <w:szCs w:val="22"/>
        </w:rPr>
        <w:t xml:space="preserve">Causal candidate surfacing: correlation patterns across the Workspace Knowledge Graph (Section 17.3.3) flagged as “worth investigating,” never asserted as causal fact — phrased as a suggested next question, not a conclusion.</w:t>
      </w:r>
    </w:p>
    <w:p>
      <w:pPr>
        <w:pStyle w:val="ListParagraph"/>
        <w:numPr>
          <w:ilvl w:val="0"/>
          <w:numId w:val="2"/>
        </w:numPr>
        <w:spacing w:after="40" w:before="40"/>
        <w:ind w:left="720" w:hanging="360"/>
      </w:pPr>
      <w:r>
        <w:rPr>
          <w:rFonts w:ascii="Arial" w:cs="Arial" w:eastAsia="Arial" w:hAnsi="Arial"/>
          <w:color w:val="1F2937"/>
          <w:sz w:val="22"/>
          <w:szCs w:val="22"/>
        </w:rPr>
        <w:t xml:space="preserve">Forecast gap detection: metrics with sufficient history and no existing prediction artifact are flagged as forecast candidates, routed to Stage 7 (Part IX) on user acceptance.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User control: </w:t>
      </w:r>
      <w:r>
        <w:rPr>
          <w:rFonts w:ascii="Arial" w:cs="Arial" w:eastAsia="Arial" w:hAnsi="Arial"/>
          <w:color w:val="1F2937"/>
          <w:sz w:val="22"/>
          <w:szCs w:val="22"/>
        </w:rPr>
        <w:t xml:space="preserve">Every surfaced opportunity is presented as an accept/dismiss suggestion, never auto-generated into a new dashboard without user confirmation — this keeps the Opportunity Engine consistent with the platform's no-silent-output principle.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Feedback loop: </w:t>
      </w:r>
      <w:r>
        <w:rPr>
          <w:rFonts w:ascii="Arial" w:cs="Arial" w:eastAsia="Arial" w:hAnsi="Arial"/>
          <w:color w:val="1F2937"/>
          <w:sz w:val="22"/>
          <w:szCs w:val="22"/>
        </w:rPr>
        <w:t xml:space="preserve">Dismissed and accepted opportunities feed the Recommendation Feedback Loop (Section 17.4.3) so suggestion quality improves over time.</w:t>
      </w:r>
    </w:p>
    <w:p>
      <w:pPr>
        <w:pStyle w:val="Heading3"/>
        <w:spacing w:after="80" w:before="280"/>
      </w:pPr>
      <w:r>
        <w:rPr>
          <w:rFonts w:ascii="Arial" w:cs="Arial" w:eastAsia="Arial" w:hAnsi="Arial"/>
          <w:b/>
          <w:bCs/>
          <w:color w:val="4338CA"/>
          <w:sz w:val="25"/>
          <w:szCs w:val="25"/>
        </w:rPr>
        <w:t xml:space="preserve">17.4.2 Self-Improving Platform (Evolution Engine Core Loop)</w:t>
      </w:r>
      <w:r>
        <w:rPr>
          <w:rFonts w:ascii="Arial" w:cs="Arial" w:eastAsia="Arial" w:hAnsi="Arial"/>
          <w:b/>
          <w:bCs/>
          <w:i/>
          <w:iCs/>
          <w:color w:val="B91C1C"/>
          <w:sz w:val="20"/>
          <w:szCs w:val="20"/>
        </w:rPr>
        <w:t xml:space="preserve">  [Priority 9.8/10]</w:t>
      </w:r>
    </w:p>
    <w:p>
      <w:pPr>
        <w:spacing w:after="60" w:before="60"/>
      </w:pPr>
      <w:r>
        <w:rPr>
          <w:rFonts w:ascii="Arial" w:cs="Arial" w:eastAsia="Arial" w:hAnsi="Arial"/>
          <w:color w:val="1F2937"/>
          <w:sz w:val="22"/>
          <w:szCs w:val="22"/>
        </w:rPr>
        <w:t xml:space="preserve">A continuous background process that mines the Unified Artifact Store and usage telemetry for platform-level improvement signals: which metrics are popular, which filters are routinely abandoned mid-configuration, which edits are repeated across many dashboards, and which failure modes recur.</w:t>
      </w:r>
    </w:p>
    <w:p>
      <w:pPr>
        <w:pStyle w:val="ListParagraph"/>
        <w:numPr>
          <w:ilvl w:val="0"/>
          <w:numId w:val="2"/>
        </w:numPr>
        <w:spacing w:after="40" w:before="40"/>
        <w:ind w:left="720" w:hanging="360"/>
      </w:pPr>
      <w:r>
        <w:rPr>
          <w:rFonts w:ascii="Arial" w:cs="Arial" w:eastAsia="Arial" w:hAnsi="Arial"/>
          <w:color w:val="1F2937"/>
          <w:sz w:val="22"/>
          <w:szCs w:val="22"/>
        </w:rPr>
        <w:t xml:space="preserve">Popular-metric signal feeds the Automatic Benchmark Library (Section 17.6.1) prioritization — build benchmarks for what people actually look at first.</w:t>
      </w:r>
    </w:p>
    <w:p>
      <w:pPr>
        <w:pStyle w:val="ListParagraph"/>
        <w:numPr>
          <w:ilvl w:val="0"/>
          <w:numId w:val="2"/>
        </w:numPr>
        <w:spacing w:after="40" w:before="40"/>
        <w:ind w:left="720" w:hanging="360"/>
      </w:pPr>
      <w:r>
        <w:rPr>
          <w:rFonts w:ascii="Arial" w:cs="Arial" w:eastAsia="Arial" w:hAnsi="Arial"/>
          <w:color w:val="1F2937"/>
          <w:sz w:val="22"/>
          <w:szCs w:val="22"/>
        </w:rPr>
        <w:t xml:space="preserve">Abandoned-filter signal feeds the Adaptive Planning Agent (Section 17.2.6) — a filter option that is frequently added then removed suggests the Planner should stop offering it by default.</w:t>
      </w:r>
    </w:p>
    <w:p>
      <w:pPr>
        <w:pStyle w:val="ListParagraph"/>
        <w:numPr>
          <w:ilvl w:val="0"/>
          <w:numId w:val="2"/>
        </w:numPr>
        <w:spacing w:after="40" w:before="40"/>
        <w:ind w:left="720" w:hanging="360"/>
      </w:pPr>
      <w:r>
        <w:rPr>
          <w:rFonts w:ascii="Arial" w:cs="Arial" w:eastAsia="Arial" w:hAnsi="Arial"/>
          <w:color w:val="1F2937"/>
          <w:sz w:val="22"/>
          <w:szCs w:val="22"/>
        </w:rPr>
        <w:t xml:space="preserve">Repeated-edit signal feeds Automatic Semantic Evolution (Section 17.3.4) — if many users manually rename the same field after generation, that is a rename proposal.</w:t>
      </w:r>
    </w:p>
    <w:p>
      <w:pPr>
        <w:pStyle w:val="ListParagraph"/>
        <w:numPr>
          <w:ilvl w:val="0"/>
          <w:numId w:val="2"/>
        </w:numPr>
        <w:spacing w:after="40" w:before="40"/>
        <w:ind w:left="720" w:hanging="360"/>
      </w:pPr>
      <w:r>
        <w:rPr>
          <w:rFonts w:ascii="Arial" w:cs="Arial" w:eastAsia="Arial" w:hAnsi="Arial"/>
          <w:color w:val="1F2937"/>
          <w:sz w:val="22"/>
          <w:szCs w:val="22"/>
        </w:rPr>
        <w:t xml:space="preserve">Recurring-failure signal feeds the Meta-Orchestrator Agent's failure triage (Section 17.2.7).</w:t>
      </w:r>
    </w:p>
    <w:p>
      <w:pPr>
        <w:pStyle w:val="Heading3"/>
        <w:spacing w:after="80" w:before="280"/>
      </w:pPr>
      <w:r>
        <w:rPr>
          <w:rFonts w:ascii="Arial" w:cs="Arial" w:eastAsia="Arial" w:hAnsi="Arial"/>
          <w:b/>
          <w:bCs/>
          <w:color w:val="4338CA"/>
          <w:sz w:val="25"/>
          <w:szCs w:val="25"/>
        </w:rPr>
        <w:t xml:space="preserve">17.4.3 Recommendation Feedback Loop</w:t>
      </w:r>
      <w:r>
        <w:rPr>
          <w:rFonts w:ascii="Arial" w:cs="Arial" w:eastAsia="Arial" w:hAnsi="Arial"/>
          <w:b/>
          <w:bCs/>
          <w:i/>
          <w:iCs/>
          <w:color w:val="B91C1C"/>
          <w:sz w:val="20"/>
          <w:szCs w:val="20"/>
        </w:rPr>
        <w:t xml:space="preserve">  [Priority 8.8/10]</w:t>
      </w:r>
    </w:p>
    <w:p>
      <w:pPr>
        <w:spacing w:after="60" w:before="60"/>
      </w:pPr>
      <w:r>
        <w:rPr>
          <w:rFonts w:ascii="Arial" w:cs="Arial" w:eastAsia="Arial" w:hAnsi="Arial"/>
          <w:color w:val="1F2937"/>
          <w:sz w:val="22"/>
          <w:szCs w:val="22"/>
        </w:rPr>
        <w:t xml:space="preserve">Track every recommendation the platform makes — Opportunity Engine suggestions, Semantic Evolution proposals, benchmark comparisons — against whether the user accepted, dismissed, or ignored it, and use that signal to recalibrate future recommendation ranking per workspace.</w:t>
      </w:r>
    </w:p>
    <w:p>
      <w:pPr>
        <w:pStyle w:val="ListParagraph"/>
        <w:numPr>
          <w:ilvl w:val="0"/>
          <w:numId w:val="2"/>
        </w:numPr>
        <w:spacing w:after="40" w:before="40"/>
        <w:ind w:left="720" w:hanging="360"/>
      </w:pPr>
      <w:r>
        <w:rPr>
          <w:rFonts w:ascii="Arial" w:cs="Arial" w:eastAsia="Arial" w:hAnsi="Arial"/>
          <w:color w:val="1F2937"/>
          <w:sz w:val="22"/>
          <w:szCs w:val="22"/>
        </w:rPr>
        <w:t xml:space="preserve">Dismissal is a first-class signal, not silently discarded: repeated dismissal of a specific opportunity category suppresses that category's future surfacing for that user.</w:t>
      </w:r>
    </w:p>
    <w:p>
      <w:pPr>
        <w:pStyle w:val="ListParagraph"/>
        <w:numPr>
          <w:ilvl w:val="0"/>
          <w:numId w:val="2"/>
        </w:numPr>
        <w:spacing w:after="40" w:before="40"/>
        <w:ind w:left="720" w:hanging="360"/>
      </w:pPr>
      <w:r>
        <w:rPr>
          <w:rFonts w:ascii="Arial" w:cs="Arial" w:eastAsia="Arial" w:hAnsi="Arial"/>
          <w:color w:val="1F2937"/>
          <w:sz w:val="22"/>
          <w:szCs w:val="22"/>
        </w:rPr>
        <w:t xml:space="preserve">Acceptance rate per recommendation type is exposed on the Real-Time Observability Dashboard (Section 17.7.2) so the platform team can see which suggestion types are actually earning trust.</w:t>
      </w:r>
    </w:p>
    <w:p>
      <w:pPr>
        <w:pStyle w:val="Heading3"/>
        <w:spacing w:after="80" w:before="280"/>
      </w:pPr>
      <w:r>
        <w:rPr>
          <w:rFonts w:ascii="Arial" w:cs="Arial" w:eastAsia="Arial" w:hAnsi="Arial"/>
          <w:b/>
          <w:bCs/>
          <w:color w:val="4338CA"/>
          <w:sz w:val="25"/>
          <w:szCs w:val="25"/>
        </w:rPr>
        <w:t xml:space="preserve">17.4.4 Continuous Model Monitoring</w:t>
      </w:r>
      <w:r>
        <w:rPr>
          <w:rFonts w:ascii="Arial" w:cs="Arial" w:eastAsia="Arial" w:hAnsi="Arial"/>
          <w:b/>
          <w:bCs/>
          <w:i/>
          <w:iCs/>
          <w:color w:val="B91C1C"/>
          <w:sz w:val="20"/>
          <w:szCs w:val="20"/>
        </w:rPr>
        <w:t xml:space="preserve">  [Priority 8.6/10]</w:t>
      </w:r>
    </w:p>
    <w:p>
      <w:pPr>
        <w:spacing w:after="60" w:before="60"/>
      </w:pPr>
      <w:r>
        <w:rPr>
          <w:rFonts w:ascii="Arial" w:cs="Arial" w:eastAsia="Arial" w:hAnsi="Arial"/>
          <w:color w:val="1F2937"/>
          <w:sz w:val="22"/>
          <w:szCs w:val="22"/>
        </w:rPr>
        <w:t xml:space="preserve">Extend the Champion-Challenger framework (Part IX.9.7) beyond retraining triggers to ongoing observation of feature importance drift, input distribution drift, and gradual degradation in explanation quality — not just the validation MAPE threshold already enforced at Stage 7.</w:t>
      </w:r>
    </w:p>
    <w:p>
      <w:pPr>
        <w:pStyle w:val="ListParagraph"/>
        <w:numPr>
          <w:ilvl w:val="0"/>
          <w:numId w:val="2"/>
        </w:numPr>
        <w:spacing w:after="40" w:before="40"/>
        <w:ind w:left="720" w:hanging="360"/>
      </w:pPr>
      <w:r>
        <w:rPr>
          <w:rFonts w:ascii="Arial" w:cs="Arial" w:eastAsia="Arial" w:hAnsi="Arial"/>
          <w:color w:val="1F2937"/>
          <w:sz w:val="22"/>
          <w:szCs w:val="22"/>
        </w:rPr>
        <w:t xml:space="preserve">Feature importance drift is computed on a rolling window and compared against the model card's recorded baseline importance ranking; significant reordering triggers a review even if MAPE has not yet breached threshold.</w:t>
      </w:r>
    </w:p>
    <w:p>
      <w:pPr>
        <w:pStyle w:val="ListParagraph"/>
        <w:numPr>
          <w:ilvl w:val="0"/>
          <w:numId w:val="2"/>
        </w:numPr>
        <w:spacing w:after="40" w:before="40"/>
        <w:ind w:left="720" w:hanging="360"/>
      </w:pPr>
      <w:r>
        <w:rPr>
          <w:rFonts w:ascii="Arial" w:cs="Arial" w:eastAsia="Arial" w:hAnsi="Arial"/>
          <w:color w:val="1F2937"/>
          <w:sz w:val="22"/>
          <w:szCs w:val="22"/>
        </w:rPr>
        <w:t xml:space="preserve">Detected drift is an Event-Driven Execution trigger (Section 17.2.4) that can initiate retraining ahead of a scheduled cycle.</w:t>
      </w:r>
    </w:p>
    <w:p>
      <w:pPr>
        <w:pStyle w:val="Heading3"/>
        <w:spacing w:after="80" w:before="280"/>
      </w:pPr>
      <w:r>
        <w:rPr>
          <w:rFonts w:ascii="Arial" w:cs="Arial" w:eastAsia="Arial" w:hAnsi="Arial"/>
          <w:b/>
          <w:bCs/>
          <w:color w:val="4338CA"/>
          <w:sz w:val="25"/>
          <w:szCs w:val="25"/>
        </w:rPr>
        <w:t xml:space="preserve">17.4.5 Automated ROI Tracking</w:t>
      </w:r>
      <w:r>
        <w:rPr>
          <w:rFonts w:ascii="Arial" w:cs="Arial" w:eastAsia="Arial" w:hAnsi="Arial"/>
          <w:b/>
          <w:bCs/>
          <w:i/>
          <w:iCs/>
          <w:color w:val="B91C1C"/>
          <w:sz w:val="20"/>
          <w:szCs w:val="20"/>
        </w:rPr>
        <w:t xml:space="preserve">  [Priority 8.3/10]</w:t>
      </w:r>
    </w:p>
    <w:p>
      <w:pPr>
        <w:spacing w:after="60" w:before="60"/>
      </w:pPr>
      <w:r>
        <w:rPr>
          <w:rFonts w:ascii="Arial" w:cs="Arial" w:eastAsia="Arial" w:hAnsi="Arial"/>
          <w:color w:val="1F2937"/>
          <w:sz w:val="22"/>
          <w:szCs w:val="22"/>
        </w:rPr>
        <w:t xml:space="preserve">Measure which dashboards actually influence business decisions and drive adoption, rather than only tracking generation counts. This closes the loop between the platform's cost (Section 17.2.2 telemetry) and its demonstrated value.</w:t>
      </w:r>
    </w:p>
    <w:p>
      <w:pPr>
        <w:pStyle w:val="ListParagraph"/>
        <w:numPr>
          <w:ilvl w:val="0"/>
          <w:numId w:val="2"/>
        </w:numPr>
        <w:spacing w:after="40" w:before="40"/>
        <w:ind w:left="720" w:hanging="360"/>
      </w:pPr>
      <w:r>
        <w:rPr>
          <w:rFonts w:ascii="Arial" w:cs="Arial" w:eastAsia="Arial" w:hAnsi="Arial"/>
          <w:color w:val="1F2937"/>
          <w:sz w:val="22"/>
          <w:szCs w:val="22"/>
        </w:rPr>
        <w:t xml:space="preserve">Adoption signals: view frequency, share events (Part XI.11.2), export/download events, and metric alert subscriptions (Part X.10.7) as proxies for decisions actually being informed.</w:t>
      </w:r>
    </w:p>
    <w:p>
      <w:pPr>
        <w:pStyle w:val="ListParagraph"/>
        <w:numPr>
          <w:ilvl w:val="0"/>
          <w:numId w:val="2"/>
        </w:numPr>
        <w:spacing w:after="40" w:before="40"/>
        <w:ind w:left="720" w:hanging="360"/>
      </w:pPr>
      <w:r>
        <w:rPr>
          <w:rFonts w:ascii="Arial" w:cs="Arial" w:eastAsia="Arial" w:hAnsi="Arial"/>
          <w:color w:val="1F2937"/>
          <w:sz w:val="22"/>
          <w:szCs w:val="22"/>
        </w:rPr>
        <w:t xml:space="preserve">ROI reporting is itself delivered as a native AnalytIQ artifact — the platform demonstrates its own value using its own pipeline.</w:t>
      </w:r>
    </w:p>
    <w:p>
      <w:pPr>
        <w:pStyle w:val="Heading2"/>
        <w:spacing w:after="120" w:before="400"/>
      </w:pPr>
      <w:r>
        <w:rPr>
          <w:rFonts w:ascii="Arial" w:cs="Arial" w:eastAsia="Arial" w:hAnsi="Arial"/>
          <w:b/>
          <w:bCs/>
          <w:color w:val="1E2B5C"/>
          <w:sz w:val="30"/>
          <w:szCs w:val="30"/>
        </w:rPr>
        <w:t xml:space="preserve">17.5 Trust and Explainability Layer</w:t>
      </w:r>
    </w:p>
    <w:p>
      <w:pPr>
        <w:spacing w:after="60" w:before="60"/>
      </w:pPr>
      <w:r>
        <w:rPr>
          <w:rFonts w:ascii="Arial" w:cs="Arial" w:eastAsia="Arial" w:hAnsi="Arial"/>
          <w:color w:val="1F2937"/>
          <w:sz w:val="22"/>
          <w:szCs w:val="22"/>
        </w:rPr>
        <w:t xml:space="preserve">These five enhancements make the platform's existing provenance guarantees (Part I.1.1: “full provenance on every artifact”) visible and actionable to end users and auditors, not just recorded internally.</w:t>
      </w:r>
    </w:p>
    <w:p>
      <w:pPr>
        <w:pStyle w:val="Heading3"/>
        <w:spacing w:after="80" w:before="280"/>
      </w:pPr>
      <w:r>
        <w:rPr>
          <w:rFonts w:ascii="Arial" w:cs="Arial" w:eastAsia="Arial" w:hAnsi="Arial"/>
          <w:b/>
          <w:bCs/>
          <w:color w:val="4338CA"/>
          <w:sz w:val="25"/>
          <w:szCs w:val="25"/>
        </w:rPr>
        <w:t xml:space="preserve">17.5.1 Explainability Engine</w:t>
      </w:r>
      <w:r>
        <w:rPr>
          <w:rFonts w:ascii="Arial" w:cs="Arial" w:eastAsia="Arial" w:hAnsi="Arial"/>
          <w:b/>
          <w:bCs/>
          <w:i/>
          <w:iCs/>
          <w:color w:val="B91C1C"/>
          <w:sz w:val="20"/>
          <w:szCs w:val="20"/>
        </w:rPr>
        <w:t xml:space="preserve">  [Priority 9.7/10]</w:t>
      </w:r>
    </w:p>
    <w:p>
      <w:pPr>
        <w:spacing w:after="60" w:before="60"/>
      </w:pPr>
      <w:r>
        <w:rPr>
          <w:rFonts w:ascii="Arial" w:cs="Arial" w:eastAsia="Arial" w:hAnsi="Arial"/>
          <w:color w:val="1F2937"/>
          <w:sz w:val="22"/>
          <w:szCs w:val="22"/>
        </w:rPr>
        <w:t xml:space="preserve">Every number, chart, prediction, and recommendation surfaced by the platform should carry an “explain” affordance that shows its lineage, generated SQL, transformation steps, model reasoning (for predictions), and confidence — all of which already exist as structured data in the Query Contract, Data Contract, and Model Card schemas defined in Parts VII and IX; this enhancement is primarily a presentation layer over data the system already produces.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Composition, not new computation: </w:t>
      </w:r>
      <w:r>
        <w:rPr>
          <w:rFonts w:ascii="Arial" w:cs="Arial" w:eastAsia="Arial" w:hAnsi="Arial"/>
          <w:color w:val="1F2937"/>
          <w:sz w:val="22"/>
          <w:szCs w:val="22"/>
        </w:rPr>
        <w:t xml:space="preserve">Explain view assembles: source tables (from the Governance Manifest, Part III.3.4), the exact generated SQL (Part VII.7.2), the semantic definitions applied, and the Vega-Lite field bindings (Part VIII.8.4).</w:t>
      </w:r>
    </w:p>
    <w:p>
      <w:pPr>
        <w:pStyle w:val="ListParagraph"/>
        <w:numPr>
          <w:ilvl w:val="0"/>
          <w:numId w:val="2"/>
        </w:numPr>
        <w:spacing w:after="40" w:before="40"/>
        <w:ind w:left="720" w:hanging="360"/>
      </w:pPr>
      <w:r>
        <w:rPr>
          <w:rFonts w:ascii="Arial" w:cs="Arial" w:eastAsia="Arial" w:hAnsi="Arial"/>
          <w:b/>
          <w:bCs/>
          <w:color w:val="1E2B5C"/>
          <w:sz w:val="22"/>
          <w:szCs w:val="22"/>
        </w:rPr>
        <w:t xml:space="preserve">Prediction explainability: </w:t>
      </w:r>
      <w:r>
        <w:rPr>
          <w:rFonts w:ascii="Arial" w:cs="Arial" w:eastAsia="Arial" w:hAnsi="Arial"/>
          <w:color w:val="1F2937"/>
          <w:sz w:val="22"/>
          <w:szCs w:val="22"/>
        </w:rPr>
        <w:t xml:space="preserve">For predictions, the explain view includes the model card identifier, promotion criteria results (Part IX.9.3), and top feature contributions from the training run.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Enterprise impact: </w:t>
      </w:r>
      <w:r>
        <w:rPr>
          <w:rFonts w:ascii="Arial" w:cs="Arial" w:eastAsia="Arial" w:hAnsi="Arial"/>
          <w:color w:val="1F2937"/>
          <w:sz w:val="22"/>
          <w:szCs w:val="22"/>
        </w:rPr>
        <w:t xml:space="preserve">This is expected to be a significant enterprise trust and adoption driver, particularly for SOX-adjacent and regulated-industry deployments where “show your work” is a procurement requirement, not a nice-to-have.</w:t>
      </w:r>
    </w:p>
    <w:p>
      <w:pPr>
        <w:pStyle w:val="Heading3"/>
        <w:spacing w:after="80" w:before="280"/>
      </w:pPr>
      <w:r>
        <w:rPr>
          <w:rFonts w:ascii="Arial" w:cs="Arial" w:eastAsia="Arial" w:hAnsi="Arial"/>
          <w:b/>
          <w:bCs/>
          <w:color w:val="4338CA"/>
          <w:sz w:val="25"/>
          <w:szCs w:val="25"/>
        </w:rPr>
        <w:t xml:space="preserve">17.5.2 Confidence Propagation</w:t>
      </w:r>
      <w:r>
        <w:rPr>
          <w:rFonts w:ascii="Arial" w:cs="Arial" w:eastAsia="Arial" w:hAnsi="Arial"/>
          <w:b/>
          <w:bCs/>
          <w:i/>
          <w:iCs/>
          <w:color w:val="B91C1C"/>
          <w:sz w:val="20"/>
          <w:szCs w:val="20"/>
        </w:rPr>
        <w:t xml:space="preserve">  [Priority 9.6/10]</w:t>
      </w:r>
    </w:p>
    <w:p>
      <w:pPr>
        <w:spacing w:after="60" w:before="60"/>
      </w:pPr>
      <w:r>
        <w:rPr>
          <w:rFonts w:ascii="Arial" w:cs="Arial" w:eastAsia="Arial" w:hAnsi="Arial"/>
          <w:color w:val="1F2937"/>
          <w:sz w:val="22"/>
          <w:szCs w:val="22"/>
        </w:rPr>
        <w:t xml:space="preserve">Every artifact should carry a confidence score that is inherited and combined from its upstream stages, so a user can see not just the final number but how certain the system is about it end to end.</w:t>
      </w:r>
    </w:p>
    <w:p>
      <w:pPr>
        <w:pStyle w:val="ListParagraph"/>
        <w:numPr>
          <w:ilvl w:val="0"/>
          <w:numId w:val="2"/>
        </w:numPr>
        <w:spacing w:after="40" w:before="40"/>
        <w:ind w:left="720" w:hanging="360"/>
      </w:pPr>
      <w:r>
        <w:rPr>
          <w:rFonts w:ascii="Arial" w:cs="Arial" w:eastAsia="Arial" w:hAnsi="Arial"/>
          <w:b/>
          <w:bCs/>
          <w:color w:val="1E2B5C"/>
          <w:sz w:val="22"/>
          <w:szCs w:val="22"/>
        </w:rPr>
        <w:t xml:space="preserve">Composable inputs: </w:t>
      </w:r>
      <w:r>
        <w:rPr>
          <w:rFonts w:ascii="Arial" w:cs="Arial" w:eastAsia="Arial" w:hAnsi="Arial"/>
          <w:color w:val="1F2937"/>
          <w:sz w:val="22"/>
          <w:szCs w:val="22"/>
        </w:rPr>
        <w:t xml:space="preserve">Stage 2 intent confidence (Part V.5.1), Stage 4 feature leakage-risk scores (Part VI.6.3), and Stage 7 validation MAPE (Part IX.9.3) already exist independently; this enhancement combines them into a single propagated confidence value attached to the assembled artifact.</w:t>
      </w:r>
    </w:p>
    <w:p>
      <w:pPr>
        <w:pStyle w:val="ListParagraph"/>
        <w:numPr>
          <w:ilvl w:val="0"/>
          <w:numId w:val="2"/>
        </w:numPr>
        <w:spacing w:after="40" w:before="40"/>
        <w:ind w:left="720" w:hanging="360"/>
      </w:pPr>
      <w:r>
        <w:rPr>
          <w:rFonts w:ascii="Arial" w:cs="Arial" w:eastAsia="Arial" w:hAnsi="Arial"/>
          <w:b/>
          <w:bCs/>
          <w:color w:val="1E2B5C"/>
          <w:sz w:val="22"/>
          <w:szCs w:val="22"/>
        </w:rPr>
        <w:t xml:space="preserve">Deterministic combination: </w:t>
      </w:r>
      <w:r>
        <w:rPr>
          <w:rFonts w:ascii="Arial" w:cs="Arial" w:eastAsia="Arial" w:hAnsi="Arial"/>
          <w:color w:val="1F2937"/>
          <w:sz w:val="22"/>
          <w:szCs w:val="22"/>
        </w:rPr>
        <w:t xml:space="preserve">Combination is a documented, deterministic function (e.g., weighted minimum across stages) rather than an opaque score, so the confidence value is itself auditable through the Explainability Engine.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UI treatment: </w:t>
      </w:r>
      <w:r>
        <w:rPr>
          <w:rFonts w:ascii="Arial" w:cs="Arial" w:eastAsia="Arial" w:hAnsi="Arial"/>
          <w:color w:val="1F2937"/>
          <w:sz w:val="22"/>
          <w:szCs w:val="22"/>
        </w:rPr>
        <w:t xml:space="preserve">Low propagated confidence is a first-class UI state, distinct from an error — the dashboard renders normally but is visually flagged, letting the user judge whether to trust it for the decision at hand.</w:t>
      </w:r>
    </w:p>
    <w:p>
      <w:pPr>
        <w:pStyle w:val="Heading3"/>
        <w:spacing w:after="80" w:before="280"/>
      </w:pPr>
      <w:r>
        <w:rPr>
          <w:rFonts w:ascii="Arial" w:cs="Arial" w:eastAsia="Arial" w:hAnsi="Arial"/>
          <w:b/>
          <w:bCs/>
          <w:color w:val="4338CA"/>
          <w:sz w:val="25"/>
          <w:szCs w:val="25"/>
        </w:rPr>
        <w:t xml:space="preserve">17.5.3 Artifact Replay / Debugger</w:t>
      </w:r>
      <w:r>
        <w:rPr>
          <w:rFonts w:ascii="Arial" w:cs="Arial" w:eastAsia="Arial" w:hAnsi="Arial"/>
          <w:b/>
          <w:bCs/>
          <w:i/>
          <w:iCs/>
          <w:color w:val="B91C1C"/>
          <w:sz w:val="20"/>
          <w:szCs w:val="20"/>
        </w:rPr>
        <w:t xml:space="preserve">  [Priority 9.3/10]</w:t>
      </w:r>
    </w:p>
    <w:p>
      <w:pPr>
        <w:spacing w:after="60" w:before="60"/>
      </w:pPr>
      <w:r>
        <w:rPr>
          <w:rFonts w:ascii="Arial" w:cs="Arial" w:eastAsia="Arial" w:hAnsi="Arial"/>
          <w:color w:val="1F2937"/>
          <w:sz w:val="22"/>
          <w:szCs w:val="22"/>
        </w:rPr>
        <w:t xml:space="preserve">Allow any dashboard's generation to be replayed step by step through the DAG (Section 17.2.1), showing the exact intermediate artifact at each node, for debugging failures or explaining a decision to support and development teams.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Read-only by default: </w:t>
      </w:r>
      <w:r>
        <w:rPr>
          <w:rFonts w:ascii="Arial" w:cs="Arial" w:eastAsia="Arial" w:hAnsi="Arial"/>
          <w:color w:val="1F2937"/>
          <w:sz w:val="22"/>
          <w:szCs w:val="22"/>
        </w:rPr>
        <w:t xml:space="preserve">Replay reads directly from the Unified Artifact Store (Section 17.3.2); no re-execution against live data is required unless the user explicitly requests a live re-run.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Failed-attempt retention: </w:t>
      </w:r>
      <w:r>
        <w:rPr>
          <w:rFonts w:ascii="Arial" w:cs="Arial" w:eastAsia="Arial" w:hAnsi="Arial"/>
          <w:color w:val="1F2937"/>
          <w:sz w:val="22"/>
          <w:szCs w:val="22"/>
        </w:rPr>
        <w:t xml:space="preserve">Failed repair-loop attempts (Part X.10.2, 10.3) are retained in the store even when a subsequent attempt succeeds, so the debugger can show what the Repair Agent tried before landing on the final artifact.</w:t>
      </w:r>
    </w:p>
    <w:p>
      <w:pPr>
        <w:pStyle w:val="Heading3"/>
        <w:spacing w:after="80" w:before="280"/>
      </w:pPr>
      <w:r>
        <w:rPr>
          <w:rFonts w:ascii="Arial" w:cs="Arial" w:eastAsia="Arial" w:hAnsi="Arial"/>
          <w:b/>
          <w:bCs/>
          <w:color w:val="4338CA"/>
          <w:sz w:val="25"/>
          <w:szCs w:val="25"/>
        </w:rPr>
        <w:t xml:space="preserve">17.5.4 Artifact Diff Engine</w:t>
      </w:r>
      <w:r>
        <w:rPr>
          <w:rFonts w:ascii="Arial" w:cs="Arial" w:eastAsia="Arial" w:hAnsi="Arial"/>
          <w:b/>
          <w:bCs/>
          <w:i/>
          <w:iCs/>
          <w:color w:val="B91C1C"/>
          <w:sz w:val="20"/>
          <w:szCs w:val="20"/>
        </w:rPr>
        <w:t xml:space="preserve">  [Priority 8.9/10]</w:t>
      </w:r>
    </w:p>
    <w:p>
      <w:pPr>
        <w:spacing w:after="60" w:before="60"/>
      </w:pPr>
      <w:r>
        <w:rPr>
          <w:rFonts w:ascii="Arial" w:cs="Arial" w:eastAsia="Arial" w:hAnsi="Arial"/>
          <w:color w:val="1F2937"/>
          <w:sz w:val="22"/>
          <w:szCs w:val="22"/>
        </w:rPr>
        <w:t xml:space="preserve">Provide a structural, visual diff between any two versions of a dashboard, semantic schema, governance manifest, or model card — leveraging the fact that every artifact is already versioned in the Unified Artifact Store.</w:t>
      </w:r>
    </w:p>
    <w:p>
      <w:pPr>
        <w:pStyle w:val="ListParagraph"/>
        <w:numPr>
          <w:ilvl w:val="0"/>
          <w:numId w:val="2"/>
        </w:numPr>
        <w:spacing w:after="40" w:before="40"/>
        <w:ind w:left="720" w:hanging="360"/>
      </w:pPr>
      <w:r>
        <w:rPr>
          <w:rFonts w:ascii="Arial" w:cs="Arial" w:eastAsia="Arial" w:hAnsi="Arial"/>
          <w:color w:val="1F2937"/>
          <w:sz w:val="22"/>
          <w:szCs w:val="22"/>
        </w:rPr>
        <w:t xml:space="preserve">Semantic schema diffs highlight added, deprecated, or redefined metrics — directly useful for reviewing Automatic Semantic Evolution proposals (Section 17.3.4).</w:t>
      </w:r>
    </w:p>
    <w:p>
      <w:pPr>
        <w:pStyle w:val="ListParagraph"/>
        <w:numPr>
          <w:ilvl w:val="0"/>
          <w:numId w:val="2"/>
        </w:numPr>
        <w:spacing w:after="40" w:before="40"/>
        <w:ind w:left="720" w:hanging="360"/>
      </w:pPr>
      <w:r>
        <w:rPr>
          <w:rFonts w:ascii="Arial" w:cs="Arial" w:eastAsia="Arial" w:hAnsi="Arial"/>
          <w:color w:val="1F2937"/>
          <w:sz w:val="22"/>
          <w:szCs w:val="22"/>
        </w:rPr>
        <w:t xml:space="preserve">Dashboard diffs render both versions' Vega-Lite specs side by side with changed fields, filters, and chart types highlighted.</w:t>
      </w:r>
    </w:p>
    <w:p>
      <w:pPr>
        <w:pStyle w:val="Heading3"/>
        <w:spacing w:after="80" w:before="280"/>
      </w:pPr>
      <w:r>
        <w:rPr>
          <w:rFonts w:ascii="Arial" w:cs="Arial" w:eastAsia="Arial" w:hAnsi="Arial"/>
          <w:b/>
          <w:bCs/>
          <w:color w:val="4338CA"/>
          <w:sz w:val="25"/>
          <w:szCs w:val="25"/>
        </w:rPr>
        <w:t xml:space="preserve">17.5.5 Dashboard Health Scoring</w:t>
      </w:r>
      <w:r>
        <w:rPr>
          <w:rFonts w:ascii="Arial" w:cs="Arial" w:eastAsia="Arial" w:hAnsi="Arial"/>
          <w:b/>
          <w:bCs/>
          <w:i/>
          <w:iCs/>
          <w:color w:val="B91C1C"/>
          <w:sz w:val="20"/>
          <w:szCs w:val="20"/>
        </w:rPr>
        <w:t xml:space="preserve">  [Priority 8.9/10]</w:t>
      </w:r>
    </w:p>
    <w:p>
      <w:pPr>
        <w:spacing w:after="60" w:before="60"/>
      </w:pPr>
      <w:r>
        <w:rPr>
          <w:rFonts w:ascii="Arial" w:cs="Arial" w:eastAsia="Arial" w:hAnsi="Arial"/>
          <w:color w:val="1F2937"/>
          <w:sz w:val="22"/>
          <w:szCs w:val="22"/>
        </w:rPr>
        <w:t xml:space="preserve">Score every dashboard on readability, accessibility, redundancy against existing dashboards, performance, and demonstrated business usefulness, surfaced to admins as a workspace-level quality signal.</w:t>
      </w:r>
    </w:p>
    <w:p>
      <w:pPr>
        <w:pStyle w:val="ListParagraph"/>
        <w:numPr>
          <w:ilvl w:val="0"/>
          <w:numId w:val="2"/>
        </w:numPr>
        <w:spacing w:after="40" w:before="40"/>
        <w:ind w:left="720" w:hanging="360"/>
      </w:pPr>
      <w:r>
        <w:rPr>
          <w:rFonts w:ascii="Arial" w:cs="Arial" w:eastAsia="Arial" w:hAnsi="Arial"/>
          <w:color w:val="1F2937"/>
          <w:sz w:val="22"/>
          <w:szCs w:val="22"/>
        </w:rPr>
        <w:t xml:space="preserve">Accessibility scoring reuses the Missing Aria Attributes gate (Part XVI.16.2, Stage 9) as one input among several.</w:t>
      </w:r>
    </w:p>
    <w:p>
      <w:pPr>
        <w:pStyle w:val="ListParagraph"/>
        <w:numPr>
          <w:ilvl w:val="0"/>
          <w:numId w:val="2"/>
        </w:numPr>
        <w:spacing w:after="40" w:before="40"/>
        <w:ind w:left="720" w:hanging="360"/>
      </w:pPr>
      <w:r>
        <w:rPr>
          <w:rFonts w:ascii="Arial" w:cs="Arial" w:eastAsia="Arial" w:hAnsi="Arial"/>
          <w:color w:val="1F2937"/>
          <w:sz w:val="22"/>
          <w:szCs w:val="22"/>
        </w:rPr>
        <w:t xml:space="preserve">Redundancy detection compares candidate dashboards against the Workspace Knowledge Graph (Section 17.3.3) to flag near-duplicate artifacts across teams, feeding Organizational Knowledge Reuse (Section 17.3.6) instead of allowing sprawl.</w:t>
      </w:r>
    </w:p>
    <w:p>
      <w:pPr>
        <w:pStyle w:val="Heading2"/>
        <w:spacing w:after="120" w:before="400"/>
      </w:pPr>
      <w:r>
        <w:rPr>
          <w:rFonts w:ascii="Arial" w:cs="Arial" w:eastAsia="Arial" w:hAnsi="Arial"/>
          <w:b/>
          <w:bCs/>
          <w:color w:val="1E2B5C"/>
          <w:sz w:val="30"/>
          <w:szCs w:val="30"/>
        </w:rPr>
        <w:t xml:space="preserve">17.6 Analytics and Visualization Enhancements</w:t>
      </w:r>
    </w:p>
    <w:p>
      <w:pPr>
        <w:spacing w:after="60" w:before="60"/>
      </w:pPr>
      <w:r>
        <w:rPr>
          <w:rFonts w:ascii="Arial" w:cs="Arial" w:eastAsia="Arial" w:hAnsi="Arial"/>
          <w:color w:val="1F2937"/>
          <w:sz w:val="22"/>
          <w:szCs w:val="22"/>
        </w:rPr>
        <w:t xml:space="preserve">These four enhancements extend the Analytics Engine (Stages 4 through 7, Parts VI through IX) and the Artifact Engine (Stages 8 and 9, Part X) with capabilities that make each generated dashboard richer without changing the underlying quality-gate model.</w:t>
      </w:r>
    </w:p>
    <w:p>
      <w:pPr>
        <w:pStyle w:val="Heading3"/>
        <w:spacing w:after="80" w:before="280"/>
      </w:pPr>
      <w:r>
        <w:rPr>
          <w:rFonts w:ascii="Arial" w:cs="Arial" w:eastAsia="Arial" w:hAnsi="Arial"/>
          <w:b/>
          <w:bCs/>
          <w:color w:val="4338CA"/>
          <w:sz w:val="25"/>
          <w:szCs w:val="25"/>
        </w:rPr>
        <w:t xml:space="preserve">17.6.1 Automatic Benchmark Library</w:t>
      </w:r>
      <w:r>
        <w:rPr>
          <w:rFonts w:ascii="Arial" w:cs="Arial" w:eastAsia="Arial" w:hAnsi="Arial"/>
          <w:b/>
          <w:bCs/>
          <w:i/>
          <w:iCs/>
          <w:color w:val="B91C1C"/>
          <w:sz w:val="20"/>
          <w:szCs w:val="20"/>
        </w:rPr>
        <w:t xml:space="preserve">  [Priority 9.4/10]</w:t>
      </w:r>
    </w:p>
    <w:p>
      <w:pPr>
        <w:spacing w:after="60" w:before="60"/>
      </w:pPr>
      <w:r>
        <w:rPr>
          <w:rFonts w:ascii="Arial" w:cs="Arial" w:eastAsia="Arial" w:hAnsi="Arial"/>
          <w:color w:val="1F2937"/>
          <w:sz w:val="22"/>
          <w:szCs w:val="22"/>
        </w:rPr>
        <w:t xml:space="preserve">Every metric should optionally compare against historical averages, peer groups, forecasts, budget targets, and seasonality — context that turns a bare number into an interpretable one.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Reuses existing gold tables: </w:t>
      </w:r>
      <w:r>
        <w:rPr>
          <w:rFonts w:ascii="Arial" w:cs="Arial" w:eastAsia="Arial" w:hAnsi="Arial"/>
          <w:color w:val="1F2937"/>
          <w:sz w:val="22"/>
          <w:szCs w:val="22"/>
        </w:rPr>
        <w:t xml:space="preserve">Historical and seasonal comparisons are computed from the same Gold Layer prediction tables already produced in Stage 7 (Part IX.9.6), avoiding a duplicate computation path.</w:t>
      </w:r>
    </w:p>
    <w:p>
      <w:pPr>
        <w:pStyle w:val="ListParagraph"/>
        <w:numPr>
          <w:ilvl w:val="0"/>
          <w:numId w:val="2"/>
        </w:numPr>
        <w:spacing w:after="40" w:before="40"/>
        <w:ind w:left="720" w:hanging="360"/>
      </w:pPr>
      <w:r>
        <w:rPr>
          <w:rFonts w:ascii="Arial" w:cs="Arial" w:eastAsia="Arial" w:hAnsi="Arial"/>
          <w:b/>
          <w:bCs/>
          <w:color w:val="1E2B5C"/>
          <w:sz w:val="22"/>
          <w:szCs w:val="22"/>
        </w:rPr>
        <w:t xml:space="preserve">Governed reference sets: </w:t>
      </w:r>
      <w:r>
        <w:rPr>
          <w:rFonts w:ascii="Arial" w:cs="Arial" w:eastAsia="Arial" w:hAnsi="Arial"/>
          <w:color w:val="1F2937"/>
          <w:sz w:val="22"/>
          <w:szCs w:val="22"/>
        </w:rPr>
        <w:t xml:space="preserve">Peer-group and budget comparisons require an explicit admin-configured reference set per metric, registered in the semantic layer, so a benchmark is never fabricated from an unvalidated source.</w:t>
      </w:r>
    </w:p>
    <w:p>
      <w:pPr>
        <w:pStyle w:val="ListParagraph"/>
        <w:numPr>
          <w:ilvl w:val="0"/>
          <w:numId w:val="2"/>
        </w:numPr>
        <w:spacing w:after="40" w:before="40"/>
        <w:ind w:left="720" w:hanging="360"/>
      </w:pPr>
      <w:r>
        <w:rPr>
          <w:rFonts w:ascii="Arial" w:cs="Arial" w:eastAsia="Arial" w:hAnsi="Arial"/>
          <w:color w:val="1F2937"/>
          <w:sz w:val="22"/>
          <w:szCs w:val="22"/>
        </w:rPr>
        <w:t xml:space="preserve">Benchmark availability and popularity, tracked via the Self-Improving Platform loop (Section 17.4.2), determines which metrics get benchmark support built first.</w:t>
      </w:r>
    </w:p>
    <w:p>
      <w:pPr>
        <w:pStyle w:val="Heading3"/>
        <w:spacing w:after="80" w:before="280"/>
      </w:pPr>
      <w:r>
        <w:rPr>
          <w:rFonts w:ascii="Arial" w:cs="Arial" w:eastAsia="Arial" w:hAnsi="Arial"/>
          <w:b/>
          <w:bCs/>
          <w:color w:val="4338CA"/>
          <w:sz w:val="25"/>
          <w:szCs w:val="25"/>
        </w:rPr>
        <w:t xml:space="preserve">17.6.2 Intelligent Visualization Experimentation</w:t>
      </w:r>
      <w:r>
        <w:rPr>
          <w:rFonts w:ascii="Arial" w:cs="Arial" w:eastAsia="Arial" w:hAnsi="Arial"/>
          <w:b/>
          <w:bCs/>
          <w:i/>
          <w:iCs/>
          <w:color w:val="B91C1C"/>
          <w:sz w:val="20"/>
          <w:szCs w:val="20"/>
        </w:rPr>
        <w:t xml:space="preserve">  [Priority 8.5/10]</w:t>
      </w:r>
    </w:p>
    <w:p>
      <w:pPr>
        <w:spacing w:after="60" w:before="60"/>
      </w:pPr>
      <w:r>
        <w:rPr>
          <w:rFonts w:ascii="Arial" w:cs="Arial" w:eastAsia="Arial" w:hAnsi="Arial"/>
          <w:color w:val="1F2937"/>
          <w:sz w:val="22"/>
          <w:szCs w:val="22"/>
        </w:rPr>
        <w:t xml:space="preserve">Have the Visualization Agent (Part VIII.8.2) generate multiple candidate Vega-Lite specs for a given data contract and rank them before presenting the best one, rather than committing to a single chart-type decision on the first pass.</w:t>
      </w:r>
    </w:p>
    <w:p>
      <w:pPr>
        <w:pStyle w:val="ListParagraph"/>
        <w:numPr>
          <w:ilvl w:val="0"/>
          <w:numId w:val="2"/>
        </w:numPr>
        <w:spacing w:after="40" w:before="40"/>
        <w:ind w:left="720" w:hanging="360"/>
      </w:pPr>
      <w:r>
        <w:rPr>
          <w:rFonts w:ascii="Arial" w:cs="Arial" w:eastAsia="Arial" w:hAnsi="Arial"/>
          <w:color w:val="1F2937"/>
          <w:sz w:val="22"/>
          <w:szCs w:val="22"/>
        </w:rPr>
        <w:t xml:space="preserve">Ranking criteria draw on the existing Chart Type to Mark Mapping table (Part VIII.8.3) plus the data's own shape (cardinality, time-series density) already profiled at Stage 0.</w:t>
      </w:r>
    </w:p>
    <w:p>
      <w:pPr>
        <w:pStyle w:val="ListParagraph"/>
        <w:numPr>
          <w:ilvl w:val="0"/>
          <w:numId w:val="2"/>
        </w:numPr>
        <w:spacing w:after="40" w:before="40"/>
        <w:ind w:left="720" w:hanging="360"/>
      </w:pPr>
      <w:r>
        <w:rPr>
          <w:rFonts w:ascii="Arial" w:cs="Arial" w:eastAsia="Arial" w:hAnsi="Arial"/>
          <w:b/>
          <w:bCs/>
          <w:color w:val="1E2B5C"/>
          <w:sz w:val="22"/>
          <w:szCs w:val="22"/>
        </w:rPr>
        <w:t xml:space="preserve">Cost control: </w:t>
      </w:r>
      <w:r>
        <w:rPr>
          <w:rFonts w:ascii="Arial" w:cs="Arial" w:eastAsia="Arial" w:hAnsi="Arial"/>
          <w:color w:val="1F2937"/>
          <w:sz w:val="22"/>
          <w:szCs w:val="22"/>
        </w:rPr>
        <w:t xml:space="preserve">Only the top-ranked candidate proceeds through Vega-Lite Spec Validation (Part VIII.8.4) by default; alternate candidates are retained as one-click swap options in the assembled artifact rather than each running the full validation gate up front, to control cost.</w:t>
      </w:r>
    </w:p>
    <w:p>
      <w:pPr>
        <w:pStyle w:val="Heading3"/>
        <w:spacing w:after="80" w:before="280"/>
      </w:pPr>
      <w:r>
        <w:rPr>
          <w:rFonts w:ascii="Arial" w:cs="Arial" w:eastAsia="Arial" w:hAnsi="Arial"/>
          <w:b/>
          <w:bCs/>
          <w:color w:val="4338CA"/>
          <w:sz w:val="25"/>
          <w:szCs w:val="25"/>
        </w:rPr>
        <w:t xml:space="preserve">17.6.3 Natural-Language Artifact Editing</w:t>
      </w:r>
      <w:r>
        <w:rPr>
          <w:rFonts w:ascii="Arial" w:cs="Arial" w:eastAsia="Arial" w:hAnsi="Arial"/>
          <w:b/>
          <w:bCs/>
          <w:i/>
          <w:iCs/>
          <w:color w:val="B91C1C"/>
          <w:sz w:val="20"/>
          <w:szCs w:val="20"/>
        </w:rPr>
        <w:t xml:space="preserve">  [Priority 8.5/10]</w:t>
      </w:r>
    </w:p>
    <w:p>
      <w:pPr>
        <w:spacing w:after="60" w:before="60"/>
      </w:pPr>
      <w:r>
        <w:rPr>
          <w:rFonts w:ascii="Arial" w:cs="Arial" w:eastAsia="Arial" w:hAnsi="Arial"/>
          <w:color w:val="1F2937"/>
          <w:sz w:val="22"/>
          <w:szCs w:val="22"/>
        </w:rPr>
        <w:t xml:space="preserve">Support direct conversational edits to an assembled artifact — “move this chart left,” “replace with a heatmap,” “compare to last year” — that modify the existing artifact in place rather than requiring a full new planning cycle.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Edit classification: </w:t>
      </w:r>
      <w:r>
        <w:rPr>
          <w:rFonts w:ascii="Arial" w:cs="Arial" w:eastAsia="Arial" w:hAnsi="Arial"/>
          <w:color w:val="1F2937"/>
          <w:sz w:val="22"/>
          <w:szCs w:val="22"/>
        </w:rPr>
        <w:t xml:space="preserve">Edits are classified as either layout-only (handled deterministically, no LLM call, no re-validation needed) or semantic (chart-type or data changes, which route back through Stage 6 and the relevant validation gates).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Versioned, not destructive: </w:t>
      </w:r>
      <w:r>
        <w:rPr>
          <w:rFonts w:ascii="Arial" w:cs="Arial" w:eastAsia="Arial" w:hAnsi="Arial"/>
          <w:color w:val="1F2937"/>
          <w:sz w:val="22"/>
          <w:szCs w:val="22"/>
        </w:rPr>
        <w:t xml:space="preserve">Every edit produces a new artifact version in the Unified Artifact Store (Section 17.3.2) rather than mutating history, keeping the Artifact Diff Engine (Section 17.5.4) and replay (Section 17.5.3) fully functional.</w:t>
      </w:r>
    </w:p>
    <w:p>
      <w:pPr>
        <w:pStyle w:val="Heading3"/>
        <w:spacing w:after="80" w:before="280"/>
      </w:pPr>
      <w:r>
        <w:rPr>
          <w:rFonts w:ascii="Arial" w:cs="Arial" w:eastAsia="Arial" w:hAnsi="Arial"/>
          <w:b/>
          <w:bCs/>
          <w:color w:val="4338CA"/>
          <w:sz w:val="25"/>
          <w:szCs w:val="25"/>
        </w:rPr>
        <w:t xml:space="preserve">17.6.4 Automatic Narrative Generation</w:t>
      </w:r>
      <w:r>
        <w:rPr>
          <w:rFonts w:ascii="Arial" w:cs="Arial" w:eastAsia="Arial" w:hAnsi="Arial"/>
          <w:b/>
          <w:bCs/>
          <w:i/>
          <w:iCs/>
          <w:color w:val="B91C1C"/>
          <w:sz w:val="20"/>
          <w:szCs w:val="20"/>
        </w:rPr>
        <w:t xml:space="preserve">  [Priority 8.8/10]</w:t>
      </w:r>
    </w:p>
    <w:p>
      <w:pPr>
        <w:spacing w:after="60" w:before="60"/>
      </w:pPr>
      <w:r>
        <w:rPr>
          <w:rFonts w:ascii="Arial" w:cs="Arial" w:eastAsia="Arial" w:hAnsi="Arial"/>
          <w:color w:val="1F2937"/>
          <w:sz w:val="22"/>
          <w:szCs w:val="22"/>
        </w:rPr>
        <w:t xml:space="preserve">Generate a short executive narrative summary alongside any dashboard, with tone and depth tailored to the requesting audience — executive, analyst, or engineer.</w:t>
      </w:r>
    </w:p>
    <w:p>
      <w:pPr>
        <w:pStyle w:val="ListParagraph"/>
        <w:numPr>
          <w:ilvl w:val="0"/>
          <w:numId w:val="2"/>
        </w:numPr>
        <w:spacing w:after="40" w:before="40"/>
        <w:ind w:left="720" w:hanging="360"/>
      </w:pPr>
      <w:r>
        <w:rPr>
          <w:rFonts w:ascii="Arial" w:cs="Arial" w:eastAsia="Arial" w:hAnsi="Arial"/>
          <w:b/>
          <w:bCs/>
          <w:color w:val="1E2B5C"/>
          <w:sz w:val="22"/>
          <w:szCs w:val="22"/>
        </w:rPr>
        <w:t xml:space="preserve">Grounded generation: </w:t>
      </w:r>
      <w:r>
        <w:rPr>
          <w:rFonts w:ascii="Arial" w:cs="Arial" w:eastAsia="Arial" w:hAnsi="Arial"/>
          <w:color w:val="1F2937"/>
          <w:sz w:val="22"/>
          <w:szCs w:val="22"/>
        </w:rPr>
        <w:t xml:space="preserve">Narrative content is generated strictly from the dashboard's own Data Contract and Confidence Propagation score (Section 17.5.2) — it cannot introduce claims not traceable to the artifact's underlying data.</w:t>
      </w:r>
    </w:p>
    <w:p>
      <w:pPr>
        <w:pStyle w:val="ListParagraph"/>
        <w:numPr>
          <w:ilvl w:val="0"/>
          <w:numId w:val="2"/>
        </w:numPr>
        <w:spacing w:after="40" w:before="40"/>
        <w:ind w:left="720" w:hanging="360"/>
      </w:pPr>
      <w:r>
        <w:rPr>
          <w:rFonts w:ascii="Arial" w:cs="Arial" w:eastAsia="Arial" w:hAnsi="Arial"/>
          <w:color w:val="1F2937"/>
          <w:sz w:val="22"/>
          <w:szCs w:val="22"/>
        </w:rPr>
        <w:t xml:space="preserve">Audience tailoring reuses the same expertise signal that drives the Adaptive Planning Agent (Section 17.2.6): an executive narrative leads with the conclusion and one caveat; an engineer narrative leads with data quality and confidence detail.</w:t>
      </w:r>
    </w:p>
    <w:p>
      <w:pPr>
        <w:pStyle w:val="Heading2"/>
        <w:spacing w:after="120" w:before="400"/>
      </w:pPr>
      <w:r>
        <w:rPr>
          <w:rFonts w:ascii="Arial" w:cs="Arial" w:eastAsia="Arial" w:hAnsi="Arial"/>
          <w:b/>
          <w:bCs/>
          <w:color w:val="1E2B5C"/>
          <w:sz w:val="30"/>
          <w:szCs w:val="30"/>
        </w:rPr>
        <w:t xml:space="preserve">17.7 Platform and Ecosystem Enhancements</w:t>
      </w:r>
    </w:p>
    <w:p>
      <w:pPr>
        <w:spacing w:after="60" w:before="60"/>
      </w:pPr>
      <w:r>
        <w:rPr>
          <w:rFonts w:ascii="Arial" w:cs="Arial" w:eastAsia="Arial" w:hAnsi="Arial"/>
          <w:color w:val="1F2937"/>
          <w:sz w:val="22"/>
          <w:szCs w:val="22"/>
        </w:rPr>
        <w:t xml:space="preserve">These five enhancements extend AnalytIQ outward — to third-party developers, to operations teams running the platform, and to the business workflows that consume its output — without weakening the single-tenant governance model in Part XIV.</w:t>
      </w:r>
    </w:p>
    <w:p>
      <w:pPr>
        <w:pStyle w:val="Heading3"/>
        <w:spacing w:after="80" w:before="280"/>
      </w:pPr>
      <w:r>
        <w:rPr>
          <w:rFonts w:ascii="Arial" w:cs="Arial" w:eastAsia="Arial" w:hAnsi="Arial"/>
          <w:b/>
          <w:bCs/>
          <w:color w:val="4338CA"/>
          <w:sz w:val="25"/>
          <w:szCs w:val="25"/>
        </w:rPr>
        <w:t xml:space="preserve">17.7.1 Enterprise Plugin Architecture</w:t>
      </w:r>
      <w:r>
        <w:rPr>
          <w:rFonts w:ascii="Arial" w:cs="Arial" w:eastAsia="Arial" w:hAnsi="Arial"/>
          <w:b/>
          <w:bCs/>
          <w:i/>
          <w:iCs/>
          <w:color w:val="B91C1C"/>
          <w:sz w:val="20"/>
          <w:szCs w:val="20"/>
        </w:rPr>
        <w:t xml:space="preserve">  [Priority 9.3/10]</w:t>
      </w:r>
    </w:p>
    <w:p>
      <w:pPr>
        <w:spacing w:after="60" w:before="60"/>
      </w:pPr>
      <w:r>
        <w:rPr>
          <w:rFonts w:ascii="Arial" w:cs="Arial" w:eastAsia="Arial" w:hAnsi="Arial"/>
          <w:color w:val="1F2937"/>
          <w:sz w:val="22"/>
          <w:szCs w:val="22"/>
        </w:rPr>
        <w:t xml:space="preserve">Allow third parties or internal teams to add validators, ML model types, visualization types, governance rules, or entirely new agents without modifying the pipeline core, by defining stable extension points at each existing Stage boundary.</w:t>
      </w:r>
    </w:p>
    <w:p>
      <w:pPr>
        <w:pStyle w:val="ListParagraph"/>
        <w:numPr>
          <w:ilvl w:val="0"/>
          <w:numId w:val="2"/>
        </w:numPr>
        <w:spacing w:after="40" w:before="40"/>
        <w:ind w:left="720" w:hanging="360"/>
      </w:pPr>
      <w:r>
        <w:rPr>
          <w:rFonts w:ascii="Arial" w:cs="Arial" w:eastAsia="Arial" w:hAnsi="Arial"/>
          <w:color w:val="1F2937"/>
          <w:sz w:val="22"/>
          <w:szCs w:val="22"/>
        </w:rPr>
        <w:t xml:space="preserve">Plugin types: custom quality-gate validators (registered against the Quality Gate Master Reference framework in Part XVI.16.2), custom Vega-Lite mark generators, and custom model trainers registered into Stage 7's Model Selection Logic (Part IX.9.1).</w:t>
      </w:r>
    </w:p>
    <w:p>
      <w:pPr>
        <w:pStyle w:val="ListParagraph"/>
        <w:numPr>
          <w:ilvl w:val="0"/>
          <w:numId w:val="2"/>
        </w:numPr>
        <w:spacing w:after="40" w:before="40"/>
        <w:ind w:left="720" w:hanging="360"/>
      </w:pPr>
      <w:r>
        <w:rPr>
          <w:rFonts w:ascii="Arial" w:cs="Arial" w:eastAsia="Arial" w:hAnsi="Arial"/>
          <w:b/>
          <w:bCs/>
          <w:color w:val="1E2B5C"/>
          <w:sz w:val="22"/>
          <w:szCs w:val="22"/>
        </w:rPr>
        <w:t xml:space="preserve">Security boundary: </w:t>
      </w:r>
      <w:r>
        <w:rPr>
          <w:rFonts w:ascii="Arial" w:cs="Arial" w:eastAsia="Arial" w:hAnsi="Arial"/>
          <w:color w:val="1F2937"/>
          <w:sz w:val="22"/>
          <w:szCs w:val="22"/>
        </w:rPr>
        <w:t xml:space="preserve">Every plugin executes inside the same read-only, permissioned-proxy sandbox described in Part XIV.14.3 — a plugin cannot gain warehouse write access or bypass a validation gate.</w:t>
      </w:r>
    </w:p>
    <w:p>
      <w:pPr>
        <w:pStyle w:val="Heading3"/>
        <w:spacing w:after="80" w:before="280"/>
      </w:pPr>
      <w:r>
        <w:rPr>
          <w:rFonts w:ascii="Arial" w:cs="Arial" w:eastAsia="Arial" w:hAnsi="Arial"/>
          <w:b/>
          <w:bCs/>
          <w:color w:val="4338CA"/>
          <w:sz w:val="25"/>
          <w:szCs w:val="25"/>
        </w:rPr>
        <w:t xml:space="preserve">17.7.2 Real-Time Observability Dashboard</w:t>
      </w:r>
      <w:r>
        <w:rPr>
          <w:rFonts w:ascii="Arial" w:cs="Arial" w:eastAsia="Arial" w:hAnsi="Arial"/>
          <w:b/>
          <w:bCs/>
          <w:i/>
          <w:iCs/>
          <w:color w:val="B91C1C"/>
          <w:sz w:val="20"/>
          <w:szCs w:val="20"/>
        </w:rPr>
        <w:t xml:space="preserve">  [Priority 9.0/10]</w:t>
      </w:r>
    </w:p>
    <w:p>
      <w:pPr>
        <w:spacing w:after="60" w:before="60"/>
      </w:pPr>
      <w:r>
        <w:rPr>
          <w:rFonts w:ascii="Arial" w:cs="Arial" w:eastAsia="Arial" w:hAnsi="Arial"/>
          <w:color w:val="1F2937"/>
          <w:sz w:val="22"/>
          <w:szCs w:val="22"/>
        </w:rPr>
        <w:t xml:space="preserve">A native AnalytIQ artifact (the platform monitoring itself) showing every DAG node's execution latency, token usage and cost (Section 17.2.2 telemetry), cache hit rates, repair-loop frequency, model quality trends, and governance queue status.</w:t>
      </w:r>
    </w:p>
    <w:p>
      <w:pPr>
        <w:pStyle w:val="ListParagraph"/>
        <w:numPr>
          <w:ilvl w:val="0"/>
          <w:numId w:val="2"/>
        </w:numPr>
        <w:spacing w:after="40" w:before="40"/>
        <w:ind w:left="720" w:hanging="360"/>
      </w:pPr>
      <w:r>
        <w:rPr>
          <w:rFonts w:ascii="Arial" w:cs="Arial" w:eastAsia="Arial" w:hAnsi="Arial"/>
          <w:color w:val="1F2937"/>
          <w:sz w:val="22"/>
          <w:szCs w:val="22"/>
        </w:rPr>
        <w:t xml:space="preserve">Built using the platform's own Stage 4 through 9 pipeline against its own operational telemetry tables — no separate monitoring stack required.</w:t>
      </w:r>
    </w:p>
    <w:p>
      <w:pPr>
        <w:pStyle w:val="ListParagraph"/>
        <w:numPr>
          <w:ilvl w:val="0"/>
          <w:numId w:val="2"/>
        </w:numPr>
        <w:spacing w:after="40" w:before="40"/>
        <w:ind w:left="720" w:hanging="360"/>
      </w:pPr>
      <w:r>
        <w:rPr>
          <w:rFonts w:ascii="Arial" w:cs="Arial" w:eastAsia="Arial" w:hAnsi="Arial"/>
          <w:color w:val="1F2937"/>
          <w:sz w:val="22"/>
          <w:szCs w:val="22"/>
        </w:rPr>
        <w:t xml:space="preserve">Feeds directly from the Streaming Event Protocol (Part XII.12.4), so observability data is available with the same latency as the events themselves.</w:t>
      </w:r>
    </w:p>
    <w:p>
      <w:pPr>
        <w:pStyle w:val="Heading3"/>
        <w:spacing w:after="80" w:before="280"/>
      </w:pPr>
      <w:r>
        <w:rPr>
          <w:rFonts w:ascii="Arial" w:cs="Arial" w:eastAsia="Arial" w:hAnsi="Arial"/>
          <w:b/>
          <w:bCs/>
          <w:color w:val="4338CA"/>
          <w:sz w:val="25"/>
          <w:szCs w:val="25"/>
        </w:rPr>
        <w:t xml:space="preserve">17.7.3 Intelligent Caching Hierarchy</w:t>
      </w:r>
      <w:r>
        <w:rPr>
          <w:rFonts w:ascii="Arial" w:cs="Arial" w:eastAsia="Arial" w:hAnsi="Arial"/>
          <w:b/>
          <w:bCs/>
          <w:i/>
          <w:iCs/>
          <w:color w:val="B91C1C"/>
          <w:sz w:val="20"/>
          <w:szCs w:val="20"/>
        </w:rPr>
        <w:t xml:space="preserve">  [Priority 9.0/10]</w:t>
      </w:r>
    </w:p>
    <w:p>
      <w:pPr>
        <w:spacing w:after="60" w:before="60"/>
      </w:pPr>
      <w:r>
        <w:rPr>
          <w:rFonts w:ascii="Arial" w:cs="Arial" w:eastAsia="Arial" w:hAnsi="Arial"/>
          <w:color w:val="1F2937"/>
          <w:sz w:val="22"/>
          <w:szCs w:val="22"/>
        </w:rPr>
        <w:t xml:space="preserve">Cache prompts, semantic resolutions, SQL query plans, query results, Vega-Lite specs, and rendered artifacts independently rather than as one monolithic cache, so a change to one layer invalidates the minimum necessary set at every other layer.</w:t>
      </w:r>
    </w:p>
    <w:p>
      <w:pPr>
        <w:pStyle w:val="ListParagraph"/>
        <w:numPr>
          <w:ilvl w:val="0"/>
          <w:numId w:val="2"/>
        </w:numPr>
        <w:spacing w:after="40" w:before="40"/>
        <w:ind w:left="720" w:hanging="360"/>
      </w:pPr>
      <w:r>
        <w:rPr>
          <w:rFonts w:ascii="Arial" w:cs="Arial" w:eastAsia="Arial" w:hAnsi="Arial"/>
          <w:b/>
          <w:bCs/>
          <w:color w:val="1E2B5C"/>
          <w:sz w:val="22"/>
          <w:szCs w:val="22"/>
        </w:rPr>
        <w:t xml:space="preserve">Pairs with Section 17.2.1: </w:t>
      </w:r>
      <w:r>
        <w:rPr>
          <w:rFonts w:ascii="Arial" w:cs="Arial" w:eastAsia="Arial" w:hAnsi="Arial"/>
          <w:color w:val="1F2937"/>
          <w:sz w:val="22"/>
          <w:szCs w:val="22"/>
        </w:rPr>
        <w:t xml:space="preserve">This is the caching substrate the DAG execution model (Section 17.2.1) depends on for its near-zero-latency cache-hit path — the two enhancements are implemented together.</w:t>
      </w:r>
    </w:p>
    <w:p>
      <w:pPr>
        <w:pStyle w:val="ListParagraph"/>
        <w:numPr>
          <w:ilvl w:val="0"/>
          <w:numId w:val="2"/>
        </w:numPr>
        <w:spacing w:after="40" w:before="40"/>
        <w:ind w:left="720" w:hanging="360"/>
      </w:pPr>
      <w:r>
        <w:rPr>
          <w:rFonts w:ascii="Arial" w:cs="Arial" w:eastAsia="Arial" w:hAnsi="Arial"/>
          <w:color w:val="1F2937"/>
          <w:sz w:val="22"/>
          <w:szCs w:val="22"/>
        </w:rPr>
        <w:t xml:space="preserve">Cache keys incorporate governance manifest and semantic layer version numbers, so a semantic definition change correctly invalidates only the query results that depended on the changed definition.</w:t>
      </w:r>
    </w:p>
    <w:p>
      <w:pPr>
        <w:pStyle w:val="Heading3"/>
        <w:spacing w:after="80" w:before="280"/>
      </w:pPr>
      <w:r>
        <w:rPr>
          <w:rFonts w:ascii="Arial" w:cs="Arial" w:eastAsia="Arial" w:hAnsi="Arial"/>
          <w:b/>
          <w:bCs/>
          <w:color w:val="4338CA"/>
          <w:sz w:val="25"/>
          <w:szCs w:val="25"/>
        </w:rPr>
        <w:t xml:space="preserve">17.7.4 Marketplace of Reusable Dashboard Templates</w:t>
      </w:r>
      <w:r>
        <w:rPr>
          <w:rFonts w:ascii="Arial" w:cs="Arial" w:eastAsia="Arial" w:hAnsi="Arial"/>
          <w:b/>
          <w:bCs/>
          <w:i/>
          <w:iCs/>
          <w:color w:val="B91C1C"/>
          <w:sz w:val="20"/>
          <w:szCs w:val="20"/>
        </w:rPr>
        <w:t xml:space="preserve">  [Priority 8.4/10]</w:t>
      </w:r>
    </w:p>
    <w:p>
      <w:pPr>
        <w:spacing w:after="60" w:before="60"/>
      </w:pPr>
      <w:r>
        <w:rPr>
          <w:rFonts w:ascii="Arial" w:cs="Arial" w:eastAsia="Arial" w:hAnsi="Arial"/>
          <w:color w:val="1F2937"/>
          <w:sz w:val="22"/>
          <w:szCs w:val="22"/>
        </w:rPr>
        <w:t xml:space="preserve">Let organizations package and reuse proven dashboard plan structures across teams and workspaces, so a well-designed revenue dashboard built by one team can be adapted by another without starting from a blank conversation.</w:t>
      </w:r>
    </w:p>
    <w:p>
      <w:pPr>
        <w:pStyle w:val="ListParagraph"/>
        <w:numPr>
          <w:ilvl w:val="0"/>
          <w:numId w:val="2"/>
        </w:numPr>
        <w:spacing w:after="40" w:before="40"/>
        <w:ind w:left="720" w:hanging="360"/>
      </w:pPr>
      <w:r>
        <w:rPr>
          <w:rFonts w:ascii="Arial" w:cs="Arial" w:eastAsia="Arial" w:hAnsi="Arial"/>
          <w:b/>
          <w:bCs/>
          <w:color w:val="1E2B5C"/>
          <w:sz w:val="22"/>
          <w:szCs w:val="22"/>
        </w:rPr>
        <w:t xml:space="preserve">Portable, re-resolved plans: </w:t>
      </w:r>
      <w:r>
        <w:rPr>
          <w:rFonts w:ascii="Arial" w:cs="Arial" w:eastAsia="Arial" w:hAnsi="Arial"/>
          <w:color w:val="1F2937"/>
          <w:sz w:val="22"/>
          <w:szCs w:val="22"/>
        </w:rPr>
        <w:t xml:space="preserve">Templates are Dashboard Plan artifacts (Part V.5.3) with semantic field references parameterized, so applying a template to a new workspace re-resolves those references against the target workspace's own semantic layer instead of copying raw field names.</w:t>
      </w:r>
    </w:p>
    <w:p>
      <w:pPr>
        <w:pStyle w:val="ListParagraph"/>
        <w:numPr>
          <w:ilvl w:val="0"/>
          <w:numId w:val="2"/>
        </w:numPr>
        <w:spacing w:after="40" w:before="40"/>
        <w:ind w:left="720" w:hanging="360"/>
      </w:pPr>
      <w:r>
        <w:rPr>
          <w:rFonts w:ascii="Arial" w:cs="Arial" w:eastAsia="Arial" w:hAnsi="Arial"/>
          <w:color w:val="1F2937"/>
          <w:sz w:val="22"/>
          <w:szCs w:val="22"/>
        </w:rPr>
        <w:t xml:space="preserve">Every template application re-runs Dashboard Plan Validation Gates (Part V.5.4) against the destination workspace — a template is a starting point, not a governance bypass.</w:t>
      </w:r>
    </w:p>
    <w:p>
      <w:pPr>
        <w:pStyle w:val="Heading3"/>
        <w:spacing w:after="80" w:before="280"/>
      </w:pPr>
      <w:r>
        <w:rPr>
          <w:rFonts w:ascii="Arial" w:cs="Arial" w:eastAsia="Arial" w:hAnsi="Arial"/>
          <w:b/>
          <w:bCs/>
          <w:color w:val="4338CA"/>
          <w:sz w:val="25"/>
          <w:szCs w:val="25"/>
        </w:rPr>
        <w:t xml:space="preserve">17.7.5 Business Process Integration</w:t>
      </w:r>
      <w:r>
        <w:rPr>
          <w:rFonts w:ascii="Arial" w:cs="Arial" w:eastAsia="Arial" w:hAnsi="Arial"/>
          <w:b/>
          <w:bCs/>
          <w:i/>
          <w:iCs/>
          <w:color w:val="B91C1C"/>
          <w:sz w:val="20"/>
          <w:szCs w:val="20"/>
        </w:rPr>
        <w:t xml:space="preserve">  [Priority 8.3/10]</w:t>
      </w:r>
    </w:p>
    <w:p>
      <w:pPr>
        <w:spacing w:after="60" w:before="60"/>
      </w:pPr>
      <w:r>
        <w:rPr>
          <w:rFonts w:ascii="Arial" w:cs="Arial" w:eastAsia="Arial" w:hAnsi="Arial"/>
          <w:color w:val="1F2937"/>
          <w:sz w:val="22"/>
          <w:szCs w:val="22"/>
        </w:rPr>
        <w:t xml:space="preserve">Trigger external workflows — Jira tickets, Slack alerts, Microsoft Teams messages, email — directly from insights, closing the loop between an Opportunity Engine finding (Section 17.4.1) or a Metric Alert Subscription (Part X.10.7) and the action it should prompt.</w:t>
      </w:r>
    </w:p>
    <w:p>
      <w:pPr>
        <w:pStyle w:val="ListParagraph"/>
        <w:numPr>
          <w:ilvl w:val="0"/>
          <w:numId w:val="2"/>
        </w:numPr>
        <w:spacing w:after="40" w:before="40"/>
        <w:ind w:left="720" w:hanging="360"/>
      </w:pPr>
      <w:r>
        <w:rPr>
          <w:rFonts w:ascii="Arial" w:cs="Arial" w:eastAsia="Arial" w:hAnsi="Arial"/>
          <w:color w:val="1F2937"/>
          <w:sz w:val="22"/>
          <w:szCs w:val="22"/>
        </w:rPr>
        <w:t xml:space="preserve">Integration actions are logged as Audit Log Events (Part XIV.14.4), consistent with every other user- and system-initiated action in the platform.</w:t>
      </w:r>
    </w:p>
    <w:p>
      <w:pPr>
        <w:pStyle w:val="ListParagraph"/>
        <w:numPr>
          <w:ilvl w:val="0"/>
          <w:numId w:val="2"/>
        </w:numPr>
        <w:spacing w:after="40" w:before="40"/>
        <w:ind w:left="720" w:hanging="360"/>
      </w:pPr>
      <w:r>
        <w:rPr>
          <w:rFonts w:ascii="Arial" w:cs="Arial" w:eastAsia="Arial" w:hAnsi="Arial"/>
          <w:color w:val="1F2937"/>
          <w:sz w:val="22"/>
          <w:szCs w:val="22"/>
        </w:rPr>
        <w:t xml:space="preserve">Outbound integration credentials follow the same Authentication and Authorization model as inbound data integrations (Part XIV.14.1) — scoped, workspace-level, and revocable.</w:t>
      </w:r>
    </w:p>
    <w:p>
      <w:r>
        <w:br w:type="page"/>
      </w:r>
    </w:p>
    <w:p>
      <w:pPr>
        <w:pStyle w:val="Heading1"/>
        <w:pBdr>
          <w:bottom w:val="single" w:color="4338CA" w:sz="10" w:space="4"/>
        </w:pBdr>
        <w:spacing w:after="160" w:before="560"/>
      </w:pPr>
      <w:r>
        <w:rPr>
          <w:rFonts w:ascii="Arial" w:cs="Arial" w:eastAsia="Arial" w:hAnsi="Arial"/>
          <w:b/>
          <w:bCs/>
          <w:color w:val="1E2B5C"/>
          <w:sz w:val="38"/>
          <w:szCs w:val="38"/>
        </w:rPr>
        <w:t xml:space="preserve">Part XVIII — Target Architecture: The Seven-System Model</w:t>
      </w:r>
    </w:p>
    <w:p>
      <w:pPr>
        <w:spacing w:after="0" w:before="160"/>
      </w:pPr>
    </w:p>
    <w:p>
      <w:pPr>
        <w:spacing w:after="60" w:before="60"/>
      </w:pPr>
      <w:r>
        <w:rPr>
          <w:rFonts w:ascii="Arial" w:cs="Arial" w:eastAsia="Arial" w:hAnsi="Arial"/>
          <w:color w:val="1F2937"/>
          <w:sz w:val="22"/>
          <w:szCs w:val="22"/>
        </w:rPr>
        <w:t xml:space="preserve">The enhancements in Part XVII are easiest to reason about — and to sequence on a roadmap — once the current ten-stage linear pipeline (Parts III through X) is regrouped into seven functional systems. This regrouping is organizational, not a rewrite: every Stage, agent, and quality gate defined earlier in this document keeps its existing responsibilities and contracts. What changes is the execution model connecting them, per the DAG Execution enhancement in Section 17.2.1.</w:t>
      </w:r>
    </w:p>
    <w:p>
      <w:pPr>
        <w:pStyle w:val="Heading2"/>
        <w:spacing w:after="120" w:before="400"/>
      </w:pPr>
      <w:r>
        <w:rPr>
          <w:rFonts w:ascii="Arial" w:cs="Arial" w:eastAsia="Arial" w:hAnsi="Arial"/>
          <w:b/>
          <w:bCs/>
          <w:color w:val="1E2B5C"/>
          <w:sz w:val="30"/>
          <w:szCs w:val="30"/>
        </w:rPr>
        <w:t xml:space="preserve">18.1 The Seven Systems</w:t>
      </w:r>
    </w:p>
    <w:p>
      <w:pPr>
        <w:spacing w:after="60" w:before="60"/>
      </w:pPr>
      <w:r>
        <w:rPr>
          <w:rFonts w:ascii="Arial" w:cs="Arial" w:eastAsia="Arial" w:hAnsi="Arial"/>
          <w:color w:val="1F2937"/>
          <w:sz w:val="22"/>
          <w:szCs w:val="22"/>
        </w:rPr>
        <w:t xml:space="preserve">Reading top to bottom follows the same request lifecycle as the original ten-stage pipeline; reading bottom to top follows the platform's self-improvement loop.</w:t>
      </w:r>
    </w:p>
    <w:p>
      <w:pPr>
        <w:pStyle w:val="ListParagraph"/>
        <w:numPr>
          <w:ilvl w:val="0"/>
          <w:numId w:val="2"/>
        </w:numPr>
        <w:spacing w:after="40" w:before="40"/>
        <w:ind w:left="720" w:hanging="360"/>
      </w:pPr>
      <w:r>
        <w:rPr>
          <w:rFonts w:ascii="Arial" w:cs="Arial" w:eastAsia="Arial" w:hAnsi="Arial"/>
          <w:b/>
          <w:bCs/>
          <w:color w:val="1E2B5C"/>
          <w:sz w:val="22"/>
          <w:szCs w:val="22"/>
        </w:rPr>
        <w:t xml:space="preserve">Mission Layer: </w:t>
      </w:r>
      <w:r>
        <w:rPr>
          <w:rFonts w:ascii="Arial" w:cs="Arial" w:eastAsia="Arial" w:hAnsi="Arial"/>
          <w:color w:val="1F2937"/>
          <w:sz w:val="22"/>
          <w:szCs w:val="22"/>
        </w:rPr>
        <w:t xml:space="preserve">Owns roadmap, RICE-style prioritization, and governance policy for what the platform builds next — the product-management layer above the pipeline, analogous in spirit to the AI Product Management layer used elsewhere in the organization's broader AI strategy.</w:t>
      </w:r>
    </w:p>
    <w:p>
      <w:pPr>
        <w:pStyle w:val="ListParagraph"/>
        <w:numPr>
          <w:ilvl w:val="0"/>
          <w:numId w:val="2"/>
        </w:numPr>
        <w:spacing w:after="40" w:before="40"/>
        <w:ind w:left="720" w:hanging="360"/>
      </w:pPr>
      <w:r>
        <w:rPr>
          <w:rFonts w:ascii="Arial" w:cs="Arial" w:eastAsia="Arial" w:hAnsi="Arial"/>
          <w:b/>
          <w:bCs/>
          <w:color w:val="1E2B5C"/>
          <w:sz w:val="22"/>
          <w:szCs w:val="22"/>
        </w:rPr>
        <w:t xml:space="preserve">Conversation Intelligence: </w:t>
      </w:r>
      <w:r>
        <w:rPr>
          <w:rFonts w:ascii="Arial" w:cs="Arial" w:eastAsia="Arial" w:hAnsi="Arial"/>
          <w:color w:val="1F2937"/>
          <w:sz w:val="22"/>
          <w:szCs w:val="22"/>
        </w:rPr>
        <w:t xml:space="preserve">The conversational surface: Session Planner and Planner Agents (Part V), the Adaptive Planning Agent (Section 17.2.6), and the User Intent History Graph (Section 17.3.5). Turns a business question into a validated intent.</w:t>
      </w:r>
    </w:p>
    <w:p>
      <w:pPr>
        <w:pStyle w:val="ListParagraph"/>
        <w:numPr>
          <w:ilvl w:val="0"/>
          <w:numId w:val="2"/>
        </w:numPr>
        <w:spacing w:after="40" w:before="40"/>
        <w:ind w:left="720" w:hanging="360"/>
      </w:pPr>
      <w:r>
        <w:rPr>
          <w:rFonts w:ascii="Arial" w:cs="Arial" w:eastAsia="Arial" w:hAnsi="Arial"/>
          <w:b/>
          <w:bCs/>
          <w:color w:val="1E2B5C"/>
          <w:sz w:val="22"/>
          <w:szCs w:val="22"/>
        </w:rPr>
        <w:t xml:space="preserve">Knowledge Layer: </w:t>
      </w:r>
      <w:r>
        <w:rPr>
          <w:rFonts w:ascii="Arial" w:cs="Arial" w:eastAsia="Arial" w:hAnsi="Arial"/>
          <w:color w:val="1F2937"/>
          <w:sz w:val="22"/>
          <w:szCs w:val="22"/>
        </w:rPr>
        <w:t xml:space="preserve">Governance (Part III), Semantic Layer (Part IV), Persistent Agent Memory (Section 17.3.1), Unified Artifact Store (Section 17.3.2), and Workspace Knowledge Graph (Section 17.3.3). The system's accumulated, governed understanding of the business.</w:t>
      </w:r>
    </w:p>
    <w:p>
      <w:pPr>
        <w:pStyle w:val="ListParagraph"/>
        <w:numPr>
          <w:ilvl w:val="0"/>
          <w:numId w:val="2"/>
        </w:numPr>
        <w:spacing w:after="40" w:before="40"/>
        <w:ind w:left="720" w:hanging="360"/>
      </w:pPr>
      <w:r>
        <w:rPr>
          <w:rFonts w:ascii="Arial" w:cs="Arial" w:eastAsia="Arial" w:hAnsi="Arial"/>
          <w:b/>
          <w:bCs/>
          <w:color w:val="1E2B5C"/>
          <w:sz w:val="22"/>
          <w:szCs w:val="22"/>
        </w:rPr>
        <w:t xml:space="preserve">Execution Engine: </w:t>
      </w:r>
      <w:r>
        <w:rPr>
          <w:rFonts w:ascii="Arial" w:cs="Arial" w:eastAsia="Arial" w:hAnsi="Arial"/>
          <w:color w:val="1F2937"/>
          <w:sz w:val="22"/>
          <w:szCs w:val="22"/>
        </w:rPr>
        <w:t xml:space="preserve">The DAG scheduler (Section 17.2.1), the Orchestrator and Meta-Orchestrator (Part XII.12.2, Section 17.2.7), cost-aware routing (Section 17.2.2), and the full Agent Roster acting under the Multi-Agent Collaboration Model (Section 17.2.3).</w:t>
      </w:r>
    </w:p>
    <w:p>
      <w:pPr>
        <w:pStyle w:val="ListParagraph"/>
        <w:numPr>
          <w:ilvl w:val="0"/>
          <w:numId w:val="2"/>
        </w:numPr>
        <w:spacing w:after="40" w:before="40"/>
        <w:ind w:left="720" w:hanging="360"/>
      </w:pPr>
      <w:r>
        <w:rPr>
          <w:rFonts w:ascii="Arial" w:cs="Arial" w:eastAsia="Arial" w:hAnsi="Arial"/>
          <w:b/>
          <w:bCs/>
          <w:color w:val="1E2B5C"/>
          <w:sz w:val="22"/>
          <w:szCs w:val="22"/>
        </w:rPr>
        <w:t xml:space="preserve">Analytics Engine: </w:t>
      </w:r>
      <w:r>
        <w:rPr>
          <w:rFonts w:ascii="Arial" w:cs="Arial" w:eastAsia="Arial" w:hAnsi="Arial"/>
          <w:color w:val="1F2937"/>
          <w:sz w:val="22"/>
          <w:szCs w:val="22"/>
        </w:rPr>
        <w:t xml:space="preserve">Data Modeling and Feature Engineering (Part VI), Query Generation (Part VII), and Predictive Model Training (Part IX), extended with the Automatic Benchmark Library (Section 17.6.1) and Continuous Model Monitoring (Section 17.4.4).</w:t>
      </w:r>
    </w:p>
    <w:p>
      <w:pPr>
        <w:pStyle w:val="ListParagraph"/>
        <w:numPr>
          <w:ilvl w:val="0"/>
          <w:numId w:val="2"/>
        </w:numPr>
        <w:spacing w:after="40" w:before="40"/>
        <w:ind w:left="720" w:hanging="360"/>
      </w:pPr>
      <w:r>
        <w:rPr>
          <w:rFonts w:ascii="Arial" w:cs="Arial" w:eastAsia="Arial" w:hAnsi="Arial"/>
          <w:b/>
          <w:bCs/>
          <w:color w:val="1E2B5C"/>
          <w:sz w:val="22"/>
          <w:szCs w:val="22"/>
        </w:rPr>
        <w:t xml:space="preserve">Artifact Engine: </w:t>
      </w:r>
      <w:r>
        <w:rPr>
          <w:rFonts w:ascii="Arial" w:cs="Arial" w:eastAsia="Arial" w:hAnsi="Arial"/>
          <w:color w:val="1F2937"/>
          <w:sz w:val="22"/>
          <w:szCs w:val="22"/>
        </w:rPr>
        <w:t xml:space="preserve">Vega-Lite generation (Part VIII), Critic review and Artifact Assembly (Part X), extended with Natural-Language Artifact Editing (Section 17.6.3) and the Explainability Engine (Section 17.5.1). Produces the dashboards, reports, and shareable outputs users actually see.</w:t>
      </w:r>
    </w:p>
    <w:p>
      <w:pPr>
        <w:pStyle w:val="ListParagraph"/>
        <w:numPr>
          <w:ilvl w:val="0"/>
          <w:numId w:val="2"/>
        </w:numPr>
        <w:spacing w:after="40" w:before="40"/>
        <w:ind w:left="720" w:hanging="360"/>
      </w:pPr>
      <w:r>
        <w:rPr>
          <w:rFonts w:ascii="Arial" w:cs="Arial" w:eastAsia="Arial" w:hAnsi="Arial"/>
          <w:b/>
          <w:bCs/>
          <w:color w:val="1E2B5C"/>
          <w:sz w:val="22"/>
          <w:szCs w:val="22"/>
        </w:rPr>
        <w:t xml:space="preserve">Evolution Engine: </w:t>
      </w:r>
      <w:r>
        <w:rPr>
          <w:rFonts w:ascii="Arial" w:cs="Arial" w:eastAsia="Arial" w:hAnsi="Arial"/>
          <w:color w:val="1F2937"/>
          <w:sz w:val="22"/>
          <w:szCs w:val="22"/>
        </w:rPr>
        <w:t xml:space="preserve">The Opportunity Engine (Section 17.4.1) and the Self-Improving Platform core loop (Section 17.4.2), consuming telemetry and usage signal from every other system and feeding improvements back into the Knowledge, Execution, and Analytics layers.</w:t>
      </w:r>
    </w:p>
    <w:p>
      <w:pPr>
        <w:pStyle w:val="Heading2"/>
        <w:spacing w:after="120" w:before="400"/>
      </w:pPr>
      <w:r>
        <w:rPr>
          <w:rFonts w:ascii="Arial" w:cs="Arial" w:eastAsia="Arial" w:hAnsi="Arial"/>
          <w:b/>
          <w:bCs/>
          <w:color w:val="1E2B5C"/>
          <w:sz w:val="30"/>
          <w:szCs w:val="30"/>
        </w:rPr>
        <w:t xml:space="preserve">18.2 Stage-to-System Mapping</w:t>
      </w:r>
    </w:p>
    <w:tbl>
      <w:tblPr>
        <w:tblW w:type="dxa" w:w="9360"/>
        <w:tblBorders>
          <w:top w:val="single" w:color="E5E7EB" w:sz="1"/>
          <w:left w:val="single" w:color="E5E7EB" w:sz="1"/>
          <w:bottom w:val="single" w:color="E5E7EB" w:sz="1"/>
          <w:right w:val="single" w:color="E5E7EB" w:sz="1"/>
          <w:insideH w:val="single" w:color="E5E7EB" w:sz="1"/>
          <w:insideV w:val="single" w:color="E5E7EB" w:sz="1"/>
        </w:tblBorders>
      </w:tblPr>
      <w:tblGrid>
        <w:gridCol w:w="3200"/>
        <w:gridCol w:w="2200"/>
        <w:gridCol w:w="3960"/>
      </w:tblGrid>
      <w:tr>
        <w:tc>
          <w:tcPr>
            <w:tcW w:type="dxa" w:w="3200"/>
            <w:tcBorders>
              <w:top w:val="single" w:color="E5E7EB" w:sz="1"/>
              <w:left w:val="single" w:color="E5E7EB" w:sz="1"/>
              <w:bottom w:val="single" w:color="E5E7EB" w:sz="1"/>
              <w:right w:val="single" w:color="E5E7EB" w:sz="1"/>
            </w:tcBorders>
            <w:shd w:fill="1E2B5C" w:val="clear"/>
            <w:tcMar>
              <w:top w:type="dxa" w:w="60"/>
              <w:left w:type="dxa" w:w="100"/>
              <w:bottom w:type="dxa" w:w="60"/>
              <w:right w:type="dxa" w:w="100"/>
            </w:tcMar>
          </w:tcPr>
          <w:p>
            <w:r>
              <w:rPr>
                <w:rFonts w:ascii="Arial" w:cs="Arial" w:eastAsia="Arial" w:hAnsi="Arial"/>
                <w:b/>
                <w:bCs/>
                <w:color w:val="FFFFFF"/>
                <w:sz w:val="18"/>
                <w:szCs w:val="18"/>
              </w:rPr>
              <w:t xml:space="preserve">Original Stage(s)</w:t>
            </w:r>
          </w:p>
        </w:tc>
        <w:tc>
          <w:tcPr>
            <w:tcW w:type="dxa" w:w="2200"/>
            <w:tcBorders>
              <w:top w:val="single" w:color="E5E7EB" w:sz="1"/>
              <w:left w:val="single" w:color="E5E7EB" w:sz="1"/>
              <w:bottom w:val="single" w:color="E5E7EB" w:sz="1"/>
              <w:right w:val="single" w:color="E5E7EB" w:sz="1"/>
            </w:tcBorders>
            <w:shd w:fill="1E2B5C" w:val="clear"/>
            <w:tcMar>
              <w:top w:type="dxa" w:w="60"/>
              <w:left w:type="dxa" w:w="100"/>
              <w:bottom w:type="dxa" w:w="60"/>
              <w:right w:type="dxa" w:w="100"/>
            </w:tcMar>
          </w:tcPr>
          <w:p>
            <w:r>
              <w:rPr>
                <w:rFonts w:ascii="Arial" w:cs="Arial" w:eastAsia="Arial" w:hAnsi="Arial"/>
                <w:b/>
                <w:bCs/>
                <w:color w:val="FFFFFF"/>
                <w:sz w:val="18"/>
                <w:szCs w:val="18"/>
              </w:rPr>
              <w:t xml:space="preserve">Part Reference</w:t>
            </w:r>
          </w:p>
        </w:tc>
        <w:tc>
          <w:tcPr>
            <w:tcW w:type="dxa" w:w="3960"/>
            <w:tcBorders>
              <w:top w:val="single" w:color="E5E7EB" w:sz="1"/>
              <w:left w:val="single" w:color="E5E7EB" w:sz="1"/>
              <w:bottom w:val="single" w:color="E5E7EB" w:sz="1"/>
              <w:right w:val="single" w:color="E5E7EB" w:sz="1"/>
            </w:tcBorders>
            <w:shd w:fill="1E2B5C" w:val="clear"/>
            <w:tcMar>
              <w:top w:type="dxa" w:w="60"/>
              <w:left w:type="dxa" w:w="100"/>
              <w:bottom w:type="dxa" w:w="60"/>
              <w:right w:type="dxa" w:w="100"/>
            </w:tcMar>
          </w:tcPr>
          <w:p>
            <w:r>
              <w:rPr>
                <w:rFonts w:ascii="Arial" w:cs="Arial" w:eastAsia="Arial" w:hAnsi="Arial"/>
                <w:b/>
                <w:bCs/>
                <w:color w:val="FFFFFF"/>
                <w:sz w:val="18"/>
                <w:szCs w:val="18"/>
              </w:rPr>
              <w:t xml:space="preserve">Target System</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Stage 0 — Integration, Ingestion, Governance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Part III</w:t>
            </w:r>
          </w:p>
        </w:tc>
        <w:tc>
          <w:tcPr>
            <w:tcW w:type="dxa" w:w="39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Knowledge Layer</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Stage 1 — Semantic Layer Construction</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Part IV</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Knowledge Layer</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Stages 2–3 — Intent Capture and Planning</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Part V</w:t>
            </w:r>
          </w:p>
        </w:tc>
        <w:tc>
          <w:tcPr>
            <w:tcW w:type="dxa" w:w="39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Conversation Intelligence</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Stage 4 — Data Modeling and Features</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Part VI</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Analytics Engine</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Stage 5 — Query Generation and Execution</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Part VII</w:t>
            </w:r>
          </w:p>
        </w:tc>
        <w:tc>
          <w:tcPr>
            <w:tcW w:type="dxa" w:w="39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Analytics Engine</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Stage 6 — Vega-Lite Spec Generation</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Part VIII</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Artifact Engine</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Stage 7 — Predictive Model Training</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Part IX</w:t>
            </w:r>
          </w:p>
        </w:tc>
        <w:tc>
          <w:tcPr>
            <w:tcW w:type="dxa" w:w="39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Analytics Engine</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Stages 8–9 — Critic, Repair, Assembly</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Part X</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Artifact Engine</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Workspace, Sharing, Lineage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Part XI</w:t>
            </w:r>
          </w:p>
        </w:tc>
        <w:tc>
          <w:tcPr>
            <w:tcW w:type="dxa" w:w="39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Knowledge Layer / Artifact Engine</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Agent Architecture, Orchestration</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Part XII</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Execution Engine</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(new) Opportunity and Self-Improvement</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Part XVII, 17.4</w:t>
            </w:r>
          </w:p>
        </w:tc>
        <w:tc>
          <w:tcPr>
            <w:tcW w:type="dxa" w:w="39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Evolution Engine</w:t>
            </w:r>
          </w:p>
        </w:tc>
      </w:tr>
    </w:tbl>
    <w:p>
      <w:pPr>
        <w:spacing w:after="200" w:before="0"/>
      </w:pPr>
    </w:p>
    <w:p>
      <w:pPr>
        <w:pStyle w:val="Heading2"/>
        <w:spacing w:after="120" w:before="400"/>
      </w:pPr>
      <w:r>
        <w:rPr>
          <w:rFonts w:ascii="Arial" w:cs="Arial" w:eastAsia="Arial" w:hAnsi="Arial"/>
          <w:b/>
          <w:bCs/>
          <w:color w:val="1E2B5C"/>
          <w:sz w:val="30"/>
          <w:szCs w:val="30"/>
        </w:rPr>
        <w:t xml:space="preserve">18.3 What Does Not Change</w:t>
      </w:r>
    </w:p>
    <w:tbl>
      <w:tblPr>
        <w:tblW w:type="dxa" w:w="9360"/>
        <w:tblBorders>
          <w:top w:val="none"/>
          <w:left w:val="none"/>
          <w:bottom w:val="none"/>
          <w:right w:val="none"/>
          <w:insideH w:val="single" w:color="auto" w:sz="4"/>
          <w:insideV w:val="single" w:color="auto" w:sz="4"/>
        </w:tblBorders>
      </w:tblPr>
      <w:tblGrid>
        <w:gridCol w:w="240"/>
        <w:gridCol w:w="9120"/>
      </w:tblGrid>
      <w:tr>
        <w:tc>
          <w:tcPr>
            <w:tcW w:type="dxa" w:w="240"/>
            <w:shd w:fill="4338CA"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GOVERNANCE INVARIANT</w:t>
            </w:r>
          </w:p>
        </w:tc>
        <w:tc>
          <w:tcPr>
            <w:tcW w:type="dxa" w:w="9120"/>
            <w:shd w:fill="EEF2FF" w:val="clear"/>
            <w:tcMar>
              <w:top w:type="dxa" w:w="80"/>
              <w:left w:type="dxa" w:w="180"/>
              <w:bottom w:type="dxa" w:w="80"/>
              <w:right w:type="dxa" w:w="120"/>
            </w:tcMar>
          </w:tcPr>
          <w:p>
            <w:r>
              <w:rPr>
                <w:rFonts w:ascii="Arial" w:cs="Arial" w:eastAsia="Arial" w:hAnsi="Arial"/>
                <w:color w:val="1F2937"/>
                <w:sz w:val="22"/>
                <w:szCs w:val="22"/>
              </w:rPr>
              <w:t xml:space="preserve">The Five Non-Negotiables from Part I.1.1 apply identically inside the seven-system model. Regrouping stages into systems changes how work is scheduled and cached; it does not relax a single validation gate, remove human checkpoints (Part II.2.2), or grant any new component write access to raw data or production warehouse state.</w:t>
            </w:r>
          </w:p>
        </w:tc>
      </w:tr>
    </w:tbl>
    <w:p>
      <w:pPr>
        <w:spacing w:after="160" w:before="0"/>
      </w:pPr>
    </w:p>
    <w:p>
      <w:pPr>
        <w:pStyle w:val="ListParagraph"/>
        <w:numPr>
          <w:ilvl w:val="0"/>
          <w:numId w:val="2"/>
        </w:numPr>
        <w:spacing w:after="40" w:before="40"/>
        <w:ind w:left="720" w:hanging="360"/>
      </w:pPr>
      <w:r>
        <w:rPr>
          <w:rFonts w:ascii="Arial" w:cs="Arial" w:eastAsia="Arial" w:hAnsi="Arial"/>
          <w:color w:val="1F2937"/>
          <w:sz w:val="22"/>
          <w:szCs w:val="22"/>
        </w:rPr>
        <w:t xml:space="preserve">Every gate in the Quality Gate Master Reference (Part XVI.16.2) remains enforced at the same logical boundary; those boundaries are now graph edges instead of sequential stage transitions.</w:t>
      </w:r>
    </w:p>
    <w:p>
      <w:pPr>
        <w:pStyle w:val="ListParagraph"/>
        <w:numPr>
          <w:ilvl w:val="0"/>
          <w:numId w:val="2"/>
        </w:numPr>
        <w:spacing w:after="40" w:before="40"/>
        <w:ind w:left="720" w:hanging="360"/>
      </w:pPr>
      <w:r>
        <w:rPr>
          <w:rFonts w:ascii="Arial" w:cs="Arial" w:eastAsia="Arial" w:hAnsi="Arial"/>
          <w:color w:val="1F2937"/>
          <w:sz w:val="22"/>
          <w:szCs w:val="22"/>
        </w:rPr>
        <w:t xml:space="preserve">Every Human-Required Checkpoint (Part II.2.2) remains a checkpoint; the Meta-Orchestrator (Section 17.2.7) can reprioritize automated work around a pending checkpoint but cannot skip it.</w:t>
      </w:r>
    </w:p>
    <w:p>
      <w:pPr>
        <w:pStyle w:val="ListParagraph"/>
        <w:numPr>
          <w:ilvl w:val="0"/>
          <w:numId w:val="2"/>
        </w:numPr>
        <w:spacing w:after="40" w:before="40"/>
        <w:ind w:left="720" w:hanging="360"/>
      </w:pPr>
      <w:r>
        <w:rPr>
          <w:rFonts w:ascii="Arial" w:cs="Arial" w:eastAsia="Arial" w:hAnsi="Arial"/>
          <w:color w:val="1F2937"/>
          <w:sz w:val="22"/>
          <w:szCs w:val="22"/>
        </w:rPr>
        <w:t xml:space="preserve">Portability and no-platform-lock-in (Part I.1.1) is preserved — the Unified Artifact Store's assembled dashboard artifacts remain self-contained, hostable files exactly as specified in Part X.10.4.</w:t>
      </w:r>
    </w:p>
    <w:p>
      <w:pPr>
        <w:pStyle w:val="Heading2"/>
        <w:spacing w:after="120" w:before="400"/>
      </w:pPr>
      <w:r>
        <w:rPr>
          <w:rFonts w:ascii="Arial" w:cs="Arial" w:eastAsia="Arial" w:hAnsi="Arial"/>
          <w:b/>
          <w:bCs/>
          <w:color w:val="1E2B5C"/>
          <w:sz w:val="30"/>
          <w:szCs w:val="30"/>
        </w:rPr>
        <w:t xml:space="preserve">18.4 Sequencing Recommendation</w:t>
      </w:r>
    </w:p>
    <w:p>
      <w:pPr>
        <w:spacing w:after="60" w:before="60"/>
      </w:pPr>
      <w:r>
        <w:rPr>
          <w:rFonts w:ascii="Arial" w:cs="Arial" w:eastAsia="Arial" w:hAnsi="Arial"/>
          <w:color w:val="1F2937"/>
          <w:sz w:val="22"/>
          <w:szCs w:val="22"/>
        </w:rPr>
        <w:t xml:space="preserve">This document does not mandate a delivery order — that belongs in the Implementation Roadmap process defined in Part XV — but the dependency structure among these enhancements suggests a natural sequence: the Unified Artifact Store and Intelligent Caching Hierarchy (Sections 17.3.2, 17.7.3) are prerequisites for DAG Execution (Section 17.2.1), which is in turn a prerequisite for Parallel Stage Execution, Event-Driven Execution, and most of the Evolution Engine, since all three depend on artifacts being addressable graph nodes rather than transient per-run state.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before="120"/>
    </w:pPr>
    <w:r>
      <w:rPr>
        <w:rFonts w:ascii="Arial" w:cs="Arial" w:eastAsia="Arial" w:hAnsi="Arial"/>
        <w:color w:val="9CA3AF"/>
        <w:sz w:val="18"/>
        <w:szCs w:val="18"/>
      </w:rPr>
      <w:t xml:space="preserve">AnalytIQ Architecture</w:t>
    </w:r>
    <w:r>
      <w:rPr>
        <w:rFonts w:ascii="Arial" w:cs="Arial" w:eastAsia="Arial" w:hAnsi="Arial"/>
        <w:sz w:val="18"/>
        <w:szCs w:val="18"/>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360"/>
      </w:tabs>
      <w:spacing w:after="120"/>
    </w:pPr>
    <w:r>
      <w:rPr>
        <w:rFonts w:ascii="Arial" w:cs="Arial" w:eastAsia="Arial" w:hAnsi="Arial"/>
        <w:color w:val="9CA3AF"/>
        <w:sz w:val="18"/>
        <w:szCs w:val="18"/>
      </w:rPr>
      <w:t xml:space="preserve">AnalytIQ — Comprehensive System Architecture v2.0</w:t>
    </w:r>
    <w:r>
      <w:rPr>
        <w:rFonts w:ascii="Arial" w:cs="Arial" w:eastAsia="Arial" w:hAnsi="Arial"/>
        <w:sz w:val="18"/>
        <w:szCs w:val="18"/>
      </w:rPr>
      <w:t xml:space="preserve">	</w:t>
    </w:r>
    <w:r>
      <w:rPr>
        <w:rFonts w:ascii="Arial" w:cs="Arial" w:eastAsia="Arial" w:hAnsi="Arial"/>
        <w:color w:val="9CA3AF"/>
        <w:sz w:val="18"/>
        <w:szCs w:val="18"/>
      </w:rPr>
      <w:t xml:space="preserve">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E2B5C"/>
      <w:sz w:val="38"/>
      <w:szCs w:val="38"/>
    </w:rPr>
  </w:style>
  <w:style w:type="paragraph" w:styleId="Heading2">
    <w:name w:val="Heading 2"/>
    <w:basedOn w:val="Normal"/>
    <w:next w:val="Normal"/>
    <w:qFormat/>
    <w:pPr>
      <w:spacing w:after="120" w:before="400"/>
      <w:outlineLvl w:val="1"/>
    </w:pPr>
    <w:rPr>
      <w:rFonts w:ascii="Arial" w:cs="Arial" w:eastAsia="Arial" w:hAnsi="Arial"/>
      <w:b/>
      <w:bCs/>
      <w:color w:val="1E2B5C"/>
      <w:sz w:val="30"/>
      <w:szCs w:val="30"/>
    </w:rPr>
  </w:style>
  <w:style w:type="paragraph" w:styleId="Heading3">
    <w:name w:val="Heading 3"/>
    <w:basedOn w:val="Normal"/>
    <w:next w:val="Normal"/>
    <w:qFormat/>
    <w:pPr>
      <w:spacing w:after="80" w:before="280"/>
      <w:outlineLvl w:val="2"/>
    </w:pPr>
    <w:rPr>
      <w:rFonts w:ascii="Arial" w:cs="Arial" w:eastAsia="Arial" w:hAnsi="Arial"/>
      <w:b/>
      <w:bCs/>
      <w:color w:val="4338CA"/>
      <w:sz w:val="24"/>
      <w:szCs w:val="24"/>
    </w:rPr>
  </w:style>
  <w:style w:type="paragraph" w:styleId="Heading4">
    <w:name w:val="Heading 4"/>
    <w:basedOn w:val="Normal"/>
    <w:next w:val="Normal"/>
    <w:qFormat/>
    <w:pPr>
      <w:spacing w:after="60" w:before="200"/>
      <w:outlineLvl w:val="3"/>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2026-07-03T05:35:01.761Z</dcterms:created>
  <dcterms:modified xsi:type="dcterms:W3CDTF">2026-07-03T05:35:01.780Z</dcterms:modified>
</cp:coreProperties>
</file>

<file path=docProps/custom.xml><?xml version="1.0" encoding="utf-8"?>
<Properties xmlns="http://schemas.openxmlformats.org/officeDocument/2006/custom-properties" xmlns:vt="http://schemas.openxmlformats.org/officeDocument/2006/docPropsVTypes"/>
</file>