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p>
      <w:pPr>
        <w:spacing w:after="120" w:before="0"/>
        <w:jc w:val="center"/>
      </w:pPr>
      <w:r>
        <w:rPr>
          <w:rFonts w:ascii="Arial" w:cs="Arial" w:eastAsia="Arial" w:hAnsi="Arial"/>
          <w:b/>
          <w:bCs/>
          <w:caps/>
          <w:color w:val="818CF8"/>
          <w:sz w:val="22"/>
          <w:szCs w:val="22"/>
        </w:rPr>
        <w:t xml:space="preserve">PRODUCT REQUIREMENTS DOCUMENT</w:t>
      </w:r>
    </w:p>
    <w:p>
      <w:pPr>
        <w:spacing w:after="60" w:before="0"/>
        <w:jc w:val="center"/>
      </w:pPr>
      <w:r>
        <w:rPr>
          <w:rFonts w:ascii="Arial" w:cs="Arial" w:eastAsia="Arial" w:hAnsi="Arial"/>
          <w:b/>
          <w:bCs/>
          <w:color w:val="2B2D6E"/>
          <w:sz w:val="72"/>
          <w:szCs w:val="72"/>
        </w:rPr>
        <w:t xml:space="preserve">AnalytIQ</w:t>
      </w:r>
    </w:p>
    <w:p>
      <w:pPr>
        <w:spacing w:after="240" w:before="0"/>
        <w:jc w:val="center"/>
      </w:pPr>
      <w:r>
        <w:rPr>
          <w:rFonts w:ascii="Arial" w:cs="Arial" w:eastAsia="Arial" w:hAnsi="Arial"/>
          <w:i/>
          <w:iCs/>
          <w:color w:val="4F46E5"/>
          <w:sz w:val="32"/>
          <w:szCs w:val="32"/>
        </w:rPr>
        <w:t xml:space="preserve">Agentic Self-Service Analytics Platform</w:t>
      </w:r>
    </w:p>
    <w:p>
      <w:pPr>
        <w:pBdr>
          <w:bottom w:val="single" w:color="4F46E5" w:sz="6" w:space="1"/>
        </w:pBdr>
        <w:spacing w:after="160" w:before="160"/>
      </w:pPr>
    </w:p>
    <w:p>
      <w:pPr>
        <w:spacing w:after="0" w:before="400"/>
      </w:pPr>
    </w:p>
    <w:p>
      <w:pPr>
        <w:spacing w:after="60" w:before="0"/>
        <w:jc w:val="center"/>
      </w:pPr>
      <w:r>
        <w:rPr>
          <w:rFonts w:ascii="Arial" w:cs="Arial" w:eastAsia="Arial" w:hAnsi="Arial"/>
          <w:color w:val="4B5563"/>
          <w:sz w:val="22"/>
          <w:szCs w:val="22"/>
        </w:rPr>
        <w:t xml:space="preserve">Conversational data selection  ·  Automated gold layer curation  ·  Predictive modeling</w:t>
      </w:r>
    </w:p>
    <w:p>
      <w:pPr>
        <w:spacing w:after="240" w:before="0"/>
        <w:jc w:val="center"/>
      </w:pPr>
      <w:r>
        <w:rPr>
          <w:rFonts w:ascii="Arial" w:cs="Arial" w:eastAsia="Arial" w:hAnsi="Arial"/>
          <w:color w:val="4B5563"/>
          <w:sz w:val="22"/>
          <w:szCs w:val="22"/>
        </w:rPr>
        <w:t xml:space="preserve">Backtested model validation  ·  Hostable shareable dashboard artifacts</w:t>
      </w:r>
    </w:p>
    <w:p>
      <w:pPr>
        <w:pBdr>
          <w:bottom w:val="single" w:color="E5E7EB" w:sz="6" w:space="1"/>
        </w:pBdr>
        <w:spacing w:after="160" w:before="160"/>
      </w:pPr>
    </w:p>
    <w:p>
      <w:pPr>
        <w:spacing w:after="0"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left w:val="none"/>
              <w:bottom w:val="none"/>
              <w:right w:val="none"/>
            </w:tcBorders>
            <w:tcMar>
              <w:top w:type="dxa" w:w="60"/>
              <w:left w:type="dxa" w:w="0"/>
              <w:bottom w:type="dxa" w:w="60"/>
              <w:right w:type="dxa" w:w="120"/>
            </w:tcMar>
          </w:tcPr>
          <w:p>
            <w:r>
              <w:rPr>
                <w:rFonts w:ascii="Arial" w:cs="Arial" w:eastAsia="Arial" w:hAnsi="Arial"/>
                <w:b/>
                <w:bCs/>
                <w:color w:val="4B5563"/>
                <w:sz w:val="20"/>
                <w:szCs w:val="20"/>
              </w:rPr>
              <w:t xml:space="preserve">Document Version</w:t>
            </w:r>
          </w:p>
        </w:tc>
        <w:tc>
          <w:tcPr>
            <w:tcW w:type="dxa" w:w="6960"/>
            <w:tcBorders>
              <w:top w:val="none"/>
              <w:left w:val="none"/>
              <w:bottom w:val="none"/>
              <w:right w:val="none"/>
            </w:tcBorders>
            <w:tcMar>
              <w:top w:type="dxa" w:w="60"/>
              <w:left w:type="dxa" w:w="120"/>
              <w:bottom w:type="dxa" w:w="60"/>
              <w:right w:type="dxa" w:w="0"/>
            </w:tcMar>
          </w:tcPr>
          <w:p>
            <w:r>
              <w:rPr>
                <w:rFonts w:ascii="Arial" w:cs="Arial" w:eastAsia="Arial" w:hAnsi="Arial"/>
                <w:color w:val="1F2937"/>
                <w:sz w:val="20"/>
                <w:szCs w:val="20"/>
              </w:rPr>
              <w:t xml:space="preserve">1.0.0 — Initial Release</w:t>
            </w:r>
          </w:p>
        </w:tc>
      </w:tr>
      <w:tr>
        <w:tc>
          <w:tcPr>
            <w:tcW w:type="dxa" w:w="2400"/>
            <w:tcBorders>
              <w:top w:val="none"/>
              <w:left w:val="none"/>
              <w:bottom w:val="none"/>
              <w:right w:val="none"/>
            </w:tcBorders>
            <w:tcMar>
              <w:top w:type="dxa" w:w="60"/>
              <w:left w:type="dxa" w:w="0"/>
              <w:bottom w:type="dxa" w:w="60"/>
              <w:right w:type="dxa" w:w="120"/>
            </w:tcMar>
          </w:tcPr>
          <w:p>
            <w:r>
              <w:rPr>
                <w:rFonts w:ascii="Arial" w:cs="Arial" w:eastAsia="Arial" w:hAnsi="Arial"/>
                <w:b/>
                <w:bCs/>
                <w:color w:val="4B5563"/>
                <w:sz w:val="20"/>
                <w:szCs w:val="20"/>
              </w:rPr>
              <w:t xml:space="preserve">Status</w:t>
            </w:r>
          </w:p>
        </w:tc>
        <w:tc>
          <w:tcPr>
            <w:tcW w:type="dxa" w:w="6960"/>
            <w:tcBorders>
              <w:top w:val="none"/>
              <w:left w:val="none"/>
              <w:bottom w:val="none"/>
              <w:right w:val="none"/>
            </w:tcBorders>
            <w:tcMar>
              <w:top w:type="dxa" w:w="60"/>
              <w:left w:type="dxa" w:w="120"/>
              <w:bottom w:type="dxa" w:w="60"/>
              <w:right w:type="dxa" w:w="0"/>
            </w:tcMar>
          </w:tcPr>
          <w:p>
            <w:r>
              <w:rPr>
                <w:rFonts w:ascii="Arial" w:cs="Arial" w:eastAsia="Arial" w:hAnsi="Arial"/>
                <w:color w:val="1F2937"/>
                <w:sz w:val="20"/>
                <w:szCs w:val="20"/>
              </w:rPr>
              <w:t xml:space="preserve">Draft for Internal Review</w:t>
            </w:r>
          </w:p>
        </w:tc>
      </w:tr>
      <w:tr>
        <w:tc>
          <w:tcPr>
            <w:tcW w:type="dxa" w:w="2400"/>
            <w:tcBorders>
              <w:top w:val="none"/>
              <w:left w:val="none"/>
              <w:bottom w:val="none"/>
              <w:right w:val="none"/>
            </w:tcBorders>
            <w:tcMar>
              <w:top w:type="dxa" w:w="60"/>
              <w:left w:type="dxa" w:w="0"/>
              <w:bottom w:type="dxa" w:w="60"/>
              <w:right w:type="dxa" w:w="120"/>
            </w:tcMar>
          </w:tcPr>
          <w:p>
            <w:r>
              <w:rPr>
                <w:rFonts w:ascii="Arial" w:cs="Arial" w:eastAsia="Arial" w:hAnsi="Arial"/>
                <w:b/>
                <w:bCs/>
                <w:color w:val="4B5563"/>
                <w:sz w:val="20"/>
                <w:szCs w:val="20"/>
              </w:rPr>
              <w:t xml:space="preserve">Date</w:t>
            </w:r>
          </w:p>
        </w:tc>
        <w:tc>
          <w:tcPr>
            <w:tcW w:type="dxa" w:w="6960"/>
            <w:tcBorders>
              <w:top w:val="none"/>
              <w:left w:val="none"/>
              <w:bottom w:val="none"/>
              <w:right w:val="none"/>
            </w:tcBorders>
            <w:tcMar>
              <w:top w:type="dxa" w:w="60"/>
              <w:left w:type="dxa" w:w="120"/>
              <w:bottom w:type="dxa" w:w="60"/>
              <w:right w:type="dxa" w:w="0"/>
            </w:tcMar>
          </w:tcPr>
          <w:p>
            <w:r>
              <w:rPr>
                <w:rFonts w:ascii="Arial" w:cs="Arial" w:eastAsia="Arial" w:hAnsi="Arial"/>
                <w:color w:val="1F2937"/>
                <w:sz w:val="20"/>
                <w:szCs w:val="20"/>
              </w:rPr>
              <w:t xml:space="preserve">June 2026</w:t>
            </w:r>
          </w:p>
        </w:tc>
      </w:tr>
      <w:tr>
        <w:tc>
          <w:tcPr>
            <w:tcW w:type="dxa" w:w="2400"/>
            <w:tcBorders>
              <w:top w:val="none"/>
              <w:left w:val="none"/>
              <w:bottom w:val="none"/>
              <w:right w:val="none"/>
            </w:tcBorders>
            <w:tcMar>
              <w:top w:type="dxa" w:w="60"/>
              <w:left w:type="dxa" w:w="0"/>
              <w:bottom w:type="dxa" w:w="60"/>
              <w:right w:type="dxa" w:w="120"/>
            </w:tcMar>
          </w:tcPr>
          <w:p>
            <w:r>
              <w:rPr>
                <w:rFonts w:ascii="Arial" w:cs="Arial" w:eastAsia="Arial" w:hAnsi="Arial"/>
                <w:b/>
                <w:bCs/>
                <w:color w:val="4B5563"/>
                <w:sz w:val="20"/>
                <w:szCs w:val="20"/>
              </w:rPr>
              <w:t xml:space="preserve">Classification</w:t>
            </w:r>
          </w:p>
        </w:tc>
        <w:tc>
          <w:tcPr>
            <w:tcW w:type="dxa" w:w="6960"/>
            <w:tcBorders>
              <w:top w:val="none"/>
              <w:left w:val="none"/>
              <w:bottom w:val="none"/>
              <w:right w:val="none"/>
            </w:tcBorders>
            <w:tcMar>
              <w:top w:type="dxa" w:w="60"/>
              <w:left w:type="dxa" w:w="120"/>
              <w:bottom w:type="dxa" w:w="60"/>
              <w:right w:type="dxa" w:w="0"/>
            </w:tcMar>
          </w:tcPr>
          <w:p>
            <w:r>
              <w:rPr>
                <w:rFonts w:ascii="Arial" w:cs="Arial" w:eastAsia="Arial" w:hAnsi="Arial"/>
                <w:color w:val="1F2937"/>
                <w:sz w:val="20"/>
                <w:szCs w:val="20"/>
              </w:rPr>
              <w:t xml:space="preserve">Internal — Confidential</w:t>
            </w:r>
          </w:p>
        </w:tc>
      </w:tr>
      <w:tr>
        <w:tc>
          <w:tcPr>
            <w:tcW w:type="dxa" w:w="2400"/>
            <w:tcBorders>
              <w:top w:val="none"/>
              <w:left w:val="none"/>
              <w:bottom w:val="none"/>
              <w:right w:val="none"/>
            </w:tcBorders>
            <w:tcMar>
              <w:top w:type="dxa" w:w="60"/>
              <w:left w:type="dxa" w:w="0"/>
              <w:bottom w:type="dxa" w:w="60"/>
              <w:right w:type="dxa" w:w="120"/>
            </w:tcMar>
          </w:tcPr>
          <w:p>
            <w:r>
              <w:rPr>
                <w:rFonts w:ascii="Arial" w:cs="Arial" w:eastAsia="Arial" w:hAnsi="Arial"/>
                <w:b/>
                <w:bCs/>
                <w:color w:val="4B5563"/>
                <w:sz w:val="20"/>
                <w:szCs w:val="20"/>
              </w:rPr>
              <w:t xml:space="preserve">Author</w:t>
            </w:r>
          </w:p>
        </w:tc>
        <w:tc>
          <w:tcPr>
            <w:tcW w:type="dxa" w:w="6960"/>
            <w:tcBorders>
              <w:top w:val="none"/>
              <w:left w:val="none"/>
              <w:bottom w:val="none"/>
              <w:right w:val="none"/>
            </w:tcBorders>
            <w:tcMar>
              <w:top w:type="dxa" w:w="60"/>
              <w:left w:type="dxa" w:w="120"/>
              <w:bottom w:type="dxa" w:w="60"/>
              <w:right w:type="dxa" w:w="0"/>
            </w:tcMar>
          </w:tcPr>
          <w:p>
            <w:r>
              <w:rPr>
                <w:rFonts w:ascii="Arial" w:cs="Arial" w:eastAsia="Arial" w:hAnsi="Arial"/>
                <w:color w:val="1F2937"/>
                <w:sz w:val="20"/>
                <w:szCs w:val="20"/>
              </w:rPr>
              <w:t xml:space="preserve">Product &amp; Engineering Team</w:t>
            </w:r>
          </w:p>
        </w:tc>
      </w:tr>
      <w:tr>
        <w:tc>
          <w:tcPr>
            <w:tcW w:type="dxa" w:w="2400"/>
            <w:tcBorders>
              <w:top w:val="none"/>
              <w:left w:val="none"/>
              <w:bottom w:val="none"/>
              <w:right w:val="none"/>
            </w:tcBorders>
            <w:tcMar>
              <w:top w:type="dxa" w:w="60"/>
              <w:left w:type="dxa" w:w="0"/>
              <w:bottom w:type="dxa" w:w="60"/>
              <w:right w:type="dxa" w:w="120"/>
            </w:tcMar>
          </w:tcPr>
          <w:p>
            <w:r>
              <w:rPr>
                <w:rFonts w:ascii="Arial" w:cs="Arial" w:eastAsia="Arial" w:hAnsi="Arial"/>
                <w:b/>
                <w:bCs/>
                <w:color w:val="4B5563"/>
                <w:sz w:val="20"/>
                <w:szCs w:val="20"/>
              </w:rPr>
              <w:t xml:space="preserve">Reviewers</w:t>
            </w:r>
          </w:p>
        </w:tc>
        <w:tc>
          <w:tcPr>
            <w:tcW w:type="dxa" w:w="6960"/>
            <w:tcBorders>
              <w:top w:val="none"/>
              <w:left w:val="none"/>
              <w:bottom w:val="none"/>
              <w:right w:val="none"/>
            </w:tcBorders>
            <w:tcMar>
              <w:top w:type="dxa" w:w="60"/>
              <w:left w:type="dxa" w:w="120"/>
              <w:bottom w:type="dxa" w:w="60"/>
              <w:right w:type="dxa" w:w="0"/>
            </w:tcMar>
          </w:tcPr>
          <w:p>
            <w:r>
              <w:rPr>
                <w:rFonts w:ascii="Arial" w:cs="Arial" w:eastAsia="Arial" w:hAnsi="Arial"/>
                <w:color w:val="1F2937"/>
                <w:sz w:val="20"/>
                <w:szCs w:val="20"/>
              </w:rPr>
              <w:t xml:space="preserve">Engineering, Data, Design, Executive Leadership</w:t>
            </w:r>
          </w:p>
        </w:tc>
      </w:tr>
    </w:tbl>
    <w:p>
      <w:pPr>
        <w:spacing w:after="0" w:before="800"/>
      </w:pPr>
    </w:p>
    <w:p>
      <w:r>
        <w:br w:type="page"/>
      </w:r>
    </w:p>
    <w:p>
      <w:pPr>
        <w:pStyle w:val="Heading1"/>
        <w:pBdr>
          <w:bottom w:val="single" w:color="4F46E5" w:sz="8" w:space="4"/>
        </w:pBdr>
        <w:spacing w:after="160" w:before="480"/>
      </w:pPr>
      <w:r>
        <w:rPr>
          <w:rFonts w:ascii="Arial" w:cs="Arial" w:eastAsia="Arial" w:hAnsi="Arial"/>
          <w:b/>
          <w:bCs/>
          <w:color w:val="2B2D6E"/>
          <w:sz w:val="36"/>
          <w:szCs w:val="36"/>
        </w:rPr>
        <w:t xml:space="preserve">1. Executive Summary</w:t>
      </w:r>
    </w:p>
    <w:p>
      <w:pPr>
        <w:spacing w:after="60" w:before="60"/>
        <w:jc w:val="left"/>
      </w:pPr>
      <w:r>
        <w:rPr>
          <w:rFonts w:ascii="Arial" w:cs="Arial" w:eastAsia="Arial" w:hAnsi="Arial"/>
          <w:color w:val="1F2937"/>
          <w:sz w:val="22"/>
          <w:szCs w:val="22"/>
        </w:rPr>
        <w:t xml:space="preserve">AnalytIQ is a next-generation, agentic self-service analytics platform that transforms natural language conversations into production-grade, shareable dashboard artifacts. It combines the conversational intelligence of large language model orchestration with the rigor of an enterprise data engineering pipeline — automated governance, gold layer curation, predictive model training with walk-forward backtesting, and a workspace-scoped artifact system that produces hostable, embeddable dashboards without requiring any code from end users.</w:t>
      </w:r>
    </w:p>
    <w:p>
      <w:pPr>
        <w:spacing w:after="0" w:before="120"/>
      </w:pPr>
    </w:p>
    <w:p>
      <w:pPr>
        <w:spacing w:after="60" w:before="60"/>
        <w:jc w:val="left"/>
      </w:pPr>
      <w:r>
        <w:rPr>
          <w:rFonts w:ascii="Arial" w:cs="Arial" w:eastAsia="Arial" w:hAnsi="Arial"/>
          <w:color w:val="1F2937"/>
          <w:sz w:val="22"/>
          <w:szCs w:val="22"/>
        </w:rPr>
        <w:t xml:space="preserve">The platform is architected around eight sequential pipeline stages, each governed by a dedicated AI agent with explicit data quality gates, deterministic validators, and human-in-the-loop checkpoints at appropriate decision boundaries. Every dashboard artifact produced by the system carries full lineage provenance back to its source tables, the feature manifest version, and the promoted model identifier — making every insight auditable and reproducible.</w:t>
      </w:r>
    </w:p>
    <w:p>
      <w:pPr>
        <w:spacing w:after="0" w:before="120"/>
      </w:pP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4F46E5"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MISSION</w:t>
            </w:r>
          </w:p>
        </w:tc>
        <w:tc>
          <w:tcPr>
            <w:tcW w:type="dxa" w:w="9160"/>
            <w:shd w:fill="EEF2FF" w:val="clear"/>
            <w:tcMar>
              <w:top w:type="dxa" w:w="80"/>
              <w:left w:type="dxa" w:w="160"/>
              <w:bottom w:type="dxa" w:w="80"/>
              <w:right w:type="dxa" w:w="120"/>
            </w:tcMar>
          </w:tcPr>
          <w:p>
            <w:r>
              <w:rPr>
                <w:rFonts w:ascii="Arial" w:cs="Arial" w:eastAsia="Arial" w:hAnsi="Arial"/>
                <w:color w:val="1F2937"/>
                <w:sz w:val="21"/>
                <w:szCs w:val="21"/>
              </w:rPr>
              <w:t xml:space="preserve">Enable any knowledge worker to go from a business question to a validated, deployed predictive dashboard in a single conversation — with zero SQL, zero Python, and zero data engineering prerequisite.</w:t>
            </w:r>
          </w:p>
        </w:tc>
      </w:tr>
    </w:tbl>
    <w:p>
      <w:pPr>
        <w:spacing w:after="0" w:before="240"/>
      </w:pPr>
    </w:p>
    <w:p>
      <w:pPr>
        <w:pStyle w:val="Heading2"/>
        <w:spacing w:after="120" w:before="360"/>
      </w:pPr>
      <w:r>
        <w:rPr>
          <w:rFonts w:ascii="Arial" w:cs="Arial" w:eastAsia="Arial" w:hAnsi="Arial"/>
          <w:b/>
          <w:bCs/>
          <w:color w:val="2B2D6E"/>
          <w:sz w:val="28"/>
          <w:szCs w:val="28"/>
        </w:rPr>
        <w:t xml:space="preserve">1.1 Core Value Propositions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Conversation-native analytics: </w:t>
      </w:r>
      <w:r>
        <w:rPr>
          <w:rFonts w:ascii="Arial" w:cs="Arial" w:eastAsia="Arial" w:hAnsi="Arial"/>
          <w:color w:val="1F2937"/>
          <w:sz w:val="22"/>
          <w:szCs w:val="22"/>
        </w:rPr>
        <w:t xml:space="preserve">Users describe what they want to understand in plain English. The system maps intent to data — not the other way around.</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Automated gold layer: </w:t>
      </w:r>
      <w:r>
        <w:rPr>
          <w:rFonts w:ascii="Arial" w:cs="Arial" w:eastAsia="Arial" w:hAnsi="Arial"/>
          <w:color w:val="1F2937"/>
          <w:sz w:val="22"/>
          <w:szCs w:val="22"/>
        </w:rPr>
        <w:t xml:space="preserve">Every session produces a versioned, governance-tagged analytical table written to the data warehouse — not just a transient query.</w:t>
      </w:r>
    </w:p>
    <w:p>
      <w:pPr>
        <w:pStyle w:val="ListParagraph"/>
        <w:numPr>
          <w:ilvl w:val="0"/>
          <w:numId w:val="2"/>
        </w:numPr>
        <w:spacing w:after="40" w:before="40"/>
        <w:ind w:left="720" w:hanging="360"/>
      </w:pPr>
      <w:r>
        <w:rPr>
          <w:rFonts w:ascii="Arial" w:cs="Arial" w:eastAsia="Arial" w:hAnsi="Arial"/>
          <w:b/>
          <w:bCs/>
          <w:color w:val="2B2D6E"/>
          <w:sz w:val="22"/>
          <w:szCs w:val="22"/>
        </w:rPr>
        <w:t xml:space="preserve">Production-grade models: </w:t>
      </w:r>
      <w:r>
        <w:rPr>
          <w:rFonts w:ascii="Arial" w:cs="Arial" w:eastAsia="Arial" w:hAnsi="Arial"/>
          <w:color w:val="1F2937"/>
          <w:sz w:val="22"/>
          <w:szCs w:val="22"/>
        </w:rPr>
        <w:t xml:space="preserve">Predictive models are trained, backtested with walk-forward validation, promoted only on passing defined thresholds, and registered with full lineage.</w:t>
      </w:r>
    </w:p>
    <w:p>
      <w:pPr>
        <w:pStyle w:val="ListParagraph"/>
        <w:numPr>
          <w:ilvl w:val="0"/>
          <w:numId w:val="2"/>
        </w:numPr>
        <w:spacing w:after="40" w:before="40"/>
        <w:ind w:left="720" w:hanging="360"/>
      </w:pPr>
      <w:r>
        <w:rPr>
          <w:rFonts w:ascii="Arial" w:cs="Arial" w:eastAsia="Arial" w:hAnsi="Arial"/>
          <w:b/>
          <w:bCs/>
          <w:color w:val="2B2D6E"/>
          <w:sz w:val="22"/>
          <w:szCs w:val="22"/>
        </w:rPr>
        <w:t xml:space="preserve">Portable artifacts: </w:t>
      </w:r>
      <w:r>
        <w:rPr>
          <w:rFonts w:ascii="Arial" w:cs="Arial" w:eastAsia="Arial" w:hAnsi="Arial"/>
          <w:color w:val="1F2937"/>
          <w:sz w:val="22"/>
          <w:szCs w:val="22"/>
        </w:rPr>
        <w:t xml:space="preserve">Dashboard outputs are self-contained HTML files hostable on any static infrastructure, with signed embed tokens for workspace sharing and public link distribution.</w:t>
      </w:r>
    </w:p>
    <w:p>
      <w:pPr>
        <w:pStyle w:val="ListParagraph"/>
        <w:numPr>
          <w:ilvl w:val="0"/>
          <w:numId w:val="2"/>
        </w:numPr>
        <w:spacing w:after="40" w:before="40"/>
        <w:ind w:left="720" w:hanging="360"/>
      </w:pPr>
      <w:r>
        <w:rPr>
          <w:rFonts w:ascii="Arial" w:cs="Arial" w:eastAsia="Arial" w:hAnsi="Arial"/>
          <w:b/>
          <w:bCs/>
          <w:color w:val="2B2D6E"/>
          <w:sz w:val="22"/>
          <w:szCs w:val="22"/>
        </w:rPr>
        <w:t xml:space="preserve">Trust by default: </w:t>
      </w:r>
      <w:r>
        <w:rPr>
          <w:rFonts w:ascii="Arial" w:cs="Arial" w:eastAsia="Arial" w:hAnsi="Arial"/>
          <w:color w:val="1F2937"/>
          <w:sz w:val="22"/>
          <w:szCs w:val="22"/>
        </w:rPr>
        <w:t xml:space="preserve">Data quality gates run at five distinct checkpoints. No artifact is produced from data that fails health checks. Every metric has one canonical definition.</w:t>
      </w:r>
    </w:p>
    <w:p>
      <w:pPr>
        <w:spacing w:after="0" w:before="120"/>
      </w:pPr>
    </w:p>
    <w:p>
      <w:r>
        <w:br w:type="page"/>
      </w:r>
    </w:p>
    <w:p>
      <w:pPr>
        <w:pStyle w:val="Heading1"/>
        <w:pBdr>
          <w:bottom w:val="single" w:color="4F46E5" w:sz="8" w:space="4"/>
        </w:pBdr>
        <w:spacing w:after="160" w:before="480"/>
      </w:pPr>
      <w:r>
        <w:rPr>
          <w:rFonts w:ascii="Arial" w:cs="Arial" w:eastAsia="Arial" w:hAnsi="Arial"/>
          <w:b/>
          <w:bCs/>
          <w:color w:val="2B2D6E"/>
          <w:sz w:val="36"/>
          <w:szCs w:val="36"/>
        </w:rPr>
        <w:t xml:space="preserve">2. Problem Statement &amp; Market Context</w:t>
      </w:r>
    </w:p>
    <w:p>
      <w:pPr>
        <w:pStyle w:val="Heading2"/>
        <w:spacing w:after="120" w:before="360"/>
      </w:pPr>
      <w:r>
        <w:rPr>
          <w:rFonts w:ascii="Arial" w:cs="Arial" w:eastAsia="Arial" w:hAnsi="Arial"/>
          <w:b/>
          <w:bCs/>
          <w:color w:val="2B2D6E"/>
          <w:sz w:val="28"/>
          <w:szCs w:val="28"/>
        </w:rPr>
        <w:t xml:space="preserve">2.1 The Current State of Self-Service Analytics</w:t>
      </w:r>
    </w:p>
    <w:p>
      <w:pPr>
        <w:spacing w:after="60" w:before="60"/>
        <w:jc w:val="left"/>
      </w:pPr>
      <w:r>
        <w:rPr>
          <w:rFonts w:ascii="Arial" w:cs="Arial" w:eastAsia="Arial" w:hAnsi="Arial"/>
          <w:color w:val="1F2937"/>
          <w:sz w:val="22"/>
          <w:szCs w:val="22"/>
        </w:rPr>
        <w:t xml:space="preserve">Existing self-service analytics tools fall into two unsatisfying categories: tools that are genuinely self-service but produce only descriptive visualizations (Tableau, Power BI, Metabase), and tools that produce predictive models but require data science expertise to use (Databricks, SageMaker, Azure ML). The gap between these categories — a system that produces validated predictive models from a natural language conversation — represents an unaddressed market.</w:t>
      </w:r>
    </w:p>
    <w:p>
      <w:pPr>
        <w:spacing w:after="0" w:before="120"/>
      </w:pPr>
    </w:p>
    <w:p>
      <w:pPr>
        <w:pStyle w:val="Heading2"/>
        <w:spacing w:after="120" w:before="360"/>
      </w:pPr>
      <w:r>
        <w:rPr>
          <w:rFonts w:ascii="Arial" w:cs="Arial" w:eastAsia="Arial" w:hAnsi="Arial"/>
          <w:b/>
          <w:bCs/>
          <w:color w:val="2B2D6E"/>
          <w:sz w:val="28"/>
          <w:szCs w:val="28"/>
        </w:rPr>
        <w:t xml:space="preserve">2.2 Specific Failure Modes in Existing Tools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Metric inconsistency: </w:t>
      </w:r>
      <w:r>
        <w:rPr>
          <w:rFonts w:ascii="Arial" w:cs="Arial" w:eastAsia="Arial" w:hAnsi="Arial"/>
          <w:color w:val="1F2937"/>
          <w:sz w:val="22"/>
          <w:szCs w:val="22"/>
        </w:rPr>
        <w:t xml:space="preserve">The same business term (e.g., 'revenue') resolves to different SQL expressions in different dashboards, eroding organizational trust in analytics.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No lineage: </w:t>
      </w:r>
      <w:r>
        <w:rPr>
          <w:rFonts w:ascii="Arial" w:cs="Arial" w:eastAsia="Arial" w:hAnsi="Arial"/>
          <w:color w:val="1F2937"/>
          <w:sz w:val="22"/>
          <w:szCs w:val="22"/>
        </w:rPr>
        <w:t xml:space="preserve">Ad-hoc BI queries have no provenance. Nobody knows which version of the data a dashboard is reading, or whether the underlying table changed since last refresh.</w:t>
      </w:r>
    </w:p>
    <w:p>
      <w:pPr>
        <w:pStyle w:val="ListParagraph"/>
        <w:numPr>
          <w:ilvl w:val="0"/>
          <w:numId w:val="2"/>
        </w:numPr>
        <w:spacing w:after="40" w:before="40"/>
        <w:ind w:left="720" w:hanging="360"/>
      </w:pPr>
      <w:r>
        <w:rPr>
          <w:rFonts w:ascii="Arial" w:cs="Arial" w:eastAsia="Arial" w:hAnsi="Arial"/>
          <w:b/>
          <w:bCs/>
          <w:color w:val="2B2D6E"/>
          <w:sz w:val="22"/>
          <w:szCs w:val="22"/>
        </w:rPr>
        <w:t xml:space="preserve">Static train/test splits on time-series: </w:t>
      </w:r>
      <w:r>
        <w:rPr>
          <w:rFonts w:ascii="Arial" w:cs="Arial" w:eastAsia="Arial" w:hAnsi="Arial"/>
          <w:color w:val="1F2937"/>
          <w:sz w:val="22"/>
          <w:szCs w:val="22"/>
        </w:rPr>
        <w:t xml:space="preserve">Most AutoML tools use random train/test splits on temporal data, producing optimistic accuracy metrics that collapse in production.</w:t>
      </w:r>
    </w:p>
    <w:p>
      <w:pPr>
        <w:pStyle w:val="ListParagraph"/>
        <w:numPr>
          <w:ilvl w:val="0"/>
          <w:numId w:val="2"/>
        </w:numPr>
        <w:spacing w:after="40" w:before="40"/>
        <w:ind w:left="720" w:hanging="360"/>
      </w:pPr>
      <w:r>
        <w:rPr>
          <w:rFonts w:ascii="Arial" w:cs="Arial" w:eastAsia="Arial" w:hAnsi="Arial"/>
          <w:b/>
          <w:bCs/>
          <w:color w:val="2B2D6E"/>
          <w:sz w:val="22"/>
          <w:szCs w:val="22"/>
        </w:rPr>
        <w:t xml:space="preserve">Dashboard drift: </w:t>
      </w:r>
      <w:r>
        <w:rPr>
          <w:rFonts w:ascii="Arial" w:cs="Arial" w:eastAsia="Arial" w:hAnsi="Arial"/>
          <w:color w:val="1F2937"/>
          <w:sz w:val="22"/>
          <w:szCs w:val="22"/>
        </w:rPr>
        <w:t xml:space="preserve">Dashboards go stale when source tables change schema or freshness. There is no automated system that detects drift and alerts owners.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Sharing friction: </w:t>
      </w:r>
      <w:r>
        <w:rPr>
          <w:rFonts w:ascii="Arial" w:cs="Arial" w:eastAsia="Arial" w:hAnsi="Arial"/>
          <w:color w:val="1F2937"/>
          <w:sz w:val="22"/>
          <w:szCs w:val="22"/>
        </w:rPr>
        <w:t xml:space="preserve">Sharing a BI dashboard requires the recipient to have an account, a license, and access to the same data environment. Portability is an afterthought.</w:t>
      </w:r>
    </w:p>
    <w:p>
      <w:pPr>
        <w:spacing w:after="0" w:before="120"/>
      </w:pPr>
    </w:p>
    <w:p>
      <w:pPr>
        <w:pStyle w:val="Heading2"/>
        <w:spacing w:after="120" w:before="360"/>
      </w:pPr>
      <w:r>
        <w:rPr>
          <w:rFonts w:ascii="Arial" w:cs="Arial" w:eastAsia="Arial" w:hAnsi="Arial"/>
          <w:b/>
          <w:bCs/>
          <w:color w:val="2B2D6E"/>
          <w:sz w:val="28"/>
          <w:szCs w:val="28"/>
        </w:rPr>
        <w:t xml:space="preserve">2.3 Competitive Landscape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360"/>
        <w:gridCol w:w="1200"/>
      </w:tblGrid>
      <w:tr>
        <w:trPr>
          <w:tblHeader/>
        </w:trPr>
        <w:tc>
          <w:tcPr>
            <w:tcW w:type="dxa" w:w="22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2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Conversational</w:t>
            </w:r>
          </w:p>
        </w:tc>
        <w:tc>
          <w:tcPr>
            <w:tcW w:type="dxa" w:w="12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Predictive ML</w:t>
            </w:r>
          </w:p>
        </w:tc>
        <w:tc>
          <w:tcPr>
            <w:tcW w:type="dxa" w:w="12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Gold Layer</w:t>
            </w:r>
          </w:p>
        </w:tc>
        <w:tc>
          <w:tcPr>
            <w:tcW w:type="dxa" w:w="13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Portable Artifact</w:t>
            </w:r>
          </w:p>
        </w:tc>
        <w:tc>
          <w:tcPr>
            <w:tcW w:type="dxa" w:w="12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Governance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ThoughtSpot / SpotIQ</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Partial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Insights only</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Partial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Hex</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Partial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Via notebooks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App share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Databricks Genie + AutoML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Partial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Partial</w:t>
            </w:r>
          </w:p>
        </w:tc>
        <w:tc>
          <w:tcPr>
            <w:tcW w:type="dxa" w:w="1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Partial</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Obviously AI</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Yes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Looker / LookML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Semantic layer</w:t>
            </w:r>
          </w:p>
        </w:tc>
        <w:tc>
          <w:tcPr>
            <w:tcW w:type="dxa" w:w="1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No</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Strong</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AnalytIQ (this system)</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Full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Full + backtest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Automated</w:t>
            </w:r>
          </w:p>
        </w:tc>
        <w:tc>
          <w:tcPr>
            <w:tcW w:type="dxa" w:w="1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Yes — portable HTML</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Full + versioned</w:t>
            </w:r>
          </w:p>
        </w:tc>
      </w:tr>
    </w:tbl>
    <w:p>
      <w:pPr>
        <w:spacing w:after="0" w:before="240"/>
      </w:pPr>
    </w:p>
    <w:p>
      <w:r>
        <w:br w:type="page"/>
      </w:r>
    </w:p>
    <w:p>
      <w:pPr>
        <w:pStyle w:val="Heading1"/>
        <w:pBdr>
          <w:bottom w:val="single" w:color="4F46E5" w:sz="8" w:space="4"/>
        </w:pBdr>
        <w:spacing w:after="160" w:before="480"/>
      </w:pPr>
      <w:r>
        <w:rPr>
          <w:rFonts w:ascii="Arial" w:cs="Arial" w:eastAsia="Arial" w:hAnsi="Arial"/>
          <w:b/>
          <w:bCs/>
          <w:color w:val="2B2D6E"/>
          <w:sz w:val="36"/>
          <w:szCs w:val="36"/>
        </w:rPr>
        <w:t xml:space="preserve">3. System Architecture Overview</w:t>
      </w:r>
    </w:p>
    <w:p>
      <w:pPr>
        <w:spacing w:after="60" w:before="60"/>
        <w:jc w:val="left"/>
      </w:pPr>
      <w:r>
        <w:rPr>
          <w:rFonts w:ascii="Arial" w:cs="Arial" w:eastAsia="Arial" w:hAnsi="Arial"/>
          <w:color w:val="1F2937"/>
          <w:sz w:val="22"/>
          <w:szCs w:val="22"/>
        </w:rPr>
        <w:t xml:space="preserve">AnalytIQ is organized as a directed acyclic pipeline of eight stages. Each stage is executed by one or more AI agents with a defined system prompt, explicit input schema, explicit output schema, and one or more data quality gates. Stages cannot be skipped. Failed quality gates halt the pipeline and surface a specific, actionable remediation to the user — they never silently produce degraded output.</w:t>
      </w:r>
    </w:p>
    <w:p>
      <w:pPr>
        <w:spacing w:after="0" w:before="120"/>
      </w:pPr>
    </w:p>
    <w:p>
      <w:pPr>
        <w:pStyle w:val="Heading2"/>
        <w:spacing w:after="120" w:before="360"/>
      </w:pPr>
      <w:r>
        <w:rPr>
          <w:rFonts w:ascii="Arial" w:cs="Arial" w:eastAsia="Arial" w:hAnsi="Arial"/>
          <w:b/>
          <w:bCs/>
          <w:color w:val="2B2D6E"/>
          <w:sz w:val="28"/>
          <w:szCs w:val="28"/>
        </w:rPr>
        <w:t xml:space="preserve">3.1 Pipeline Overview</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800"/>
        <w:gridCol w:w="2200"/>
        <w:gridCol w:w="2160"/>
      </w:tblGrid>
      <w:tr>
        <w:trPr>
          <w:tblHeader/>
        </w:trPr>
        <w:tc>
          <w:tcPr>
            <w:tcW w:type="dxa" w:w="6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6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18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Agent Type</w:t>
            </w:r>
          </w:p>
        </w:tc>
        <w:tc>
          <w:tcPr>
            <w:tcW w:type="dxa" w:w="22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Primary Output</w:t>
            </w:r>
          </w:p>
        </w:tc>
        <w:tc>
          <w:tcPr>
            <w:tcW w:type="dxa" w:w="21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DQ Gate</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Integration ingestion + governance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Governance agent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Versioned governance manifest</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Schema, null, PII, freshness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Semantic layer construction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Semantic layer agent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Cube-compatible schema JSON</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Ambiguity flags, join integrity</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Conversational data selection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planner agent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spec JSON</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Intent confidence threshold</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Data model + feature engineering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Data modeler + FE agent</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Gold table DDL + feature manifest</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Leakage scan, null rate, correlation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training + backtesting loop</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Training orchestrator</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Promoted model card + artifacts</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Walk-forward MAPE, overfit test</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Gold layer output persistence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Gold layer writer</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Prediction + insight + forecast tables</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Row count, CI integrity, distribution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Dashboard artifact generation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 engine agent</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Self-contained HTML dashboard</w:t>
            </w:r>
          </w:p>
        </w:tc>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Render validation, embed token check</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7</w:t>
            </w:r>
          </w:p>
        </w:tc>
        <w:tc>
          <w:tcPr>
            <w:tcW w:type="dxa" w:w="2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Workspace + sharing layer</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Workspace service (deterministic)</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record + share links</w:t>
            </w:r>
          </w:p>
        </w:tc>
        <w:tc>
          <w:tcPr>
            <w:tcW w:type="dxa" w:w="2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Access control, token expiry</w:t>
            </w:r>
          </w:p>
        </w:tc>
      </w:tr>
    </w:tbl>
    <w:p>
      <w:pPr>
        <w:spacing w:after="0" w:before="240"/>
      </w:pPr>
    </w:p>
    <w:p>
      <w:pPr>
        <w:pStyle w:val="Heading2"/>
        <w:spacing w:after="120" w:before="360"/>
      </w:pPr>
      <w:r>
        <w:rPr>
          <w:rFonts w:ascii="Arial" w:cs="Arial" w:eastAsia="Arial" w:hAnsi="Arial"/>
          <w:b/>
          <w:bCs/>
          <w:color w:val="2B2D6E"/>
          <w:sz w:val="28"/>
          <w:szCs w:val="28"/>
        </w:rPr>
        <w:t xml:space="preserve">3.2 Technology Stack Decisions</w:t>
      </w:r>
    </w:p>
    <w:p>
      <w:pPr>
        <w:pStyle w:val="Heading3"/>
        <w:spacing w:after="80" w:before="240"/>
      </w:pPr>
      <w:r>
        <w:rPr>
          <w:rFonts w:ascii="Arial" w:cs="Arial" w:eastAsia="Arial" w:hAnsi="Arial"/>
          <w:b/>
          <w:bCs/>
          <w:color w:val="4F46E5"/>
          <w:sz w:val="24"/>
          <w:szCs w:val="24"/>
        </w:rPr>
        <w:t xml:space="preserve">3.2.1 Orchestration Layer</w:t>
      </w:r>
    </w:p>
    <w:p>
      <w:pPr>
        <w:pStyle w:val="ListParagraph"/>
        <w:numPr>
          <w:ilvl w:val="0"/>
          <w:numId w:val="2"/>
        </w:numPr>
        <w:spacing w:after="40" w:before="40"/>
        <w:ind w:left="720" w:hanging="360"/>
      </w:pPr>
      <w:r>
        <w:rPr>
          <w:rFonts w:ascii="Arial" w:cs="Arial" w:eastAsia="Arial" w:hAnsi="Arial"/>
          <w:b/>
          <w:bCs/>
          <w:color w:val="2B2D6E"/>
          <w:sz w:val="22"/>
          <w:szCs w:val="22"/>
        </w:rPr>
        <w:t xml:space="preserve">Orchestration runtime: </w:t>
      </w:r>
      <w:r>
        <w:rPr>
          <w:rFonts w:ascii="Arial" w:cs="Arial" w:eastAsia="Arial" w:hAnsi="Arial"/>
          <w:color w:val="1F2937"/>
          <w:sz w:val="22"/>
          <w:szCs w:val="22"/>
        </w:rPr>
        <w:t xml:space="preserve">Custom agent loop built on top of the Anthropic Messages API (claude-sonnet-4-6 as base model for all agents). Tool-use API used for structured JSON output at every agent boundary — no free-form text output passes between agents.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Inter-agent communication: </w:t>
      </w:r>
      <w:r>
        <w:rPr>
          <w:rFonts w:ascii="Arial" w:cs="Arial" w:eastAsia="Arial" w:hAnsi="Arial"/>
          <w:color w:val="1F2937"/>
          <w:sz w:val="22"/>
          <w:szCs w:val="22"/>
        </w:rPr>
        <w:t xml:space="preserve">Typed JSON schemas enforced via JSON Schema validation at each stage boundary. Any schema validation failure is treated as a pipeline error, not a warning.</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Agent isolation: </w:t>
      </w:r>
      <w:r>
        <w:rPr>
          <w:rFonts w:ascii="Arial" w:cs="Arial" w:eastAsia="Arial" w:hAnsi="Arial"/>
          <w:color w:val="1F2937"/>
          <w:sz w:val="22"/>
          <w:szCs w:val="22"/>
        </w:rPr>
        <w:t xml:space="preserve">Each agent runs in an isolated execution context with read-only access to upstream outputs. No agent can mutate the outputs of a previous stage.</w:t>
      </w:r>
    </w:p>
    <w:p>
      <w:pPr>
        <w:pStyle w:val="Heading3"/>
        <w:spacing w:after="80" w:before="240"/>
      </w:pPr>
      <w:r>
        <w:rPr>
          <w:rFonts w:ascii="Arial" w:cs="Arial" w:eastAsia="Arial" w:hAnsi="Arial"/>
          <w:b/>
          <w:bCs/>
          <w:color w:val="4F46E5"/>
          <w:sz w:val="24"/>
          <w:szCs w:val="24"/>
        </w:rPr>
        <w:t xml:space="preserve">3.2.2 Data Layer</w:t>
      </w:r>
    </w:p>
    <w:p>
      <w:pPr>
        <w:pStyle w:val="ListParagraph"/>
        <w:numPr>
          <w:ilvl w:val="0"/>
          <w:numId w:val="2"/>
        </w:numPr>
        <w:spacing w:after="40" w:before="40"/>
        <w:ind w:left="720" w:hanging="360"/>
      </w:pPr>
      <w:r>
        <w:rPr>
          <w:rFonts w:ascii="Arial" w:cs="Arial" w:eastAsia="Arial" w:hAnsi="Arial"/>
          <w:b/>
          <w:bCs/>
          <w:color w:val="2B2D6E"/>
          <w:sz w:val="22"/>
          <w:szCs w:val="22"/>
        </w:rPr>
        <w:t xml:space="preserve">Primary warehouse: </w:t>
      </w:r>
      <w:r>
        <w:rPr>
          <w:rFonts w:ascii="Arial" w:cs="Arial" w:eastAsia="Arial" w:hAnsi="Arial"/>
          <w:color w:val="1F2937"/>
          <w:sz w:val="22"/>
          <w:szCs w:val="22"/>
        </w:rPr>
        <w:t xml:space="preserve">Snowflake (default) with connector support for BigQuery, Databricks, Redshift, DuckDB (local/dev), and Postgres. Abstracted behind a single warehouse interface with dialect-aware SQL generation.</w:t>
      </w:r>
    </w:p>
    <w:p>
      <w:pPr>
        <w:pStyle w:val="ListParagraph"/>
        <w:numPr>
          <w:ilvl w:val="0"/>
          <w:numId w:val="2"/>
        </w:numPr>
        <w:spacing w:after="40" w:before="40"/>
        <w:ind w:left="720" w:hanging="360"/>
      </w:pPr>
      <w:r>
        <w:rPr>
          <w:rFonts w:ascii="Arial" w:cs="Arial" w:eastAsia="Arial" w:hAnsi="Arial"/>
          <w:b/>
          <w:bCs/>
          <w:color w:val="2B2D6E"/>
          <w:sz w:val="22"/>
          <w:szCs w:val="22"/>
        </w:rPr>
        <w:t xml:space="preserve">Gold layer schema: </w:t>
      </w:r>
      <w:r>
        <w:rPr>
          <w:rFonts w:ascii="Arial" w:cs="Arial" w:eastAsia="Arial" w:hAnsi="Arial"/>
          <w:color w:val="1F2937"/>
          <w:sz w:val="22"/>
          <w:szCs w:val="22"/>
        </w:rPr>
        <w:t xml:space="preserve">Dedicated analytics schema per workspace (analytics_{workspace_id}) with table naming convention: gold_{session_topic}_{grain}_{version}.</w:t>
      </w:r>
    </w:p>
    <w:p>
      <w:pPr>
        <w:pStyle w:val="ListParagraph"/>
        <w:numPr>
          <w:ilvl w:val="0"/>
          <w:numId w:val="2"/>
        </w:numPr>
        <w:spacing w:after="40" w:before="40"/>
        <w:ind w:left="720" w:hanging="360"/>
      </w:pPr>
      <w:r>
        <w:rPr>
          <w:rFonts w:ascii="Arial" w:cs="Arial" w:eastAsia="Arial" w:hAnsi="Arial"/>
          <w:b/>
          <w:bCs/>
          <w:color w:val="2B2D6E"/>
          <w:sz w:val="22"/>
          <w:szCs w:val="22"/>
        </w:rPr>
        <w:t xml:space="preserve">Semantic layer storage: </w:t>
      </w:r>
      <w:r>
        <w:rPr>
          <w:rFonts w:ascii="Arial" w:cs="Arial" w:eastAsia="Arial" w:hAnsi="Arial"/>
          <w:color w:val="1F2937"/>
          <w:sz w:val="22"/>
          <w:szCs w:val="22"/>
        </w:rPr>
        <w:t xml:space="preserve">Cube.dev-compatible YAML schema files, version-controlled in a workspace-scoped Git repository. Changes trigger incremental re-validation.</w:t>
      </w:r>
    </w:p>
    <w:p>
      <w:pPr>
        <w:pStyle w:val="ListParagraph"/>
        <w:numPr>
          <w:ilvl w:val="0"/>
          <w:numId w:val="2"/>
        </w:numPr>
        <w:spacing w:after="40" w:before="40"/>
        <w:ind w:left="720" w:hanging="360"/>
      </w:pPr>
      <w:r>
        <w:rPr>
          <w:rFonts w:ascii="Arial" w:cs="Arial" w:eastAsia="Arial" w:hAnsi="Arial"/>
          <w:b/>
          <w:bCs/>
          <w:color w:val="2B2D6E"/>
          <w:sz w:val="22"/>
          <w:szCs w:val="22"/>
        </w:rPr>
        <w:t xml:space="preserve">Model registry: </w:t>
      </w:r>
      <w:r>
        <w:rPr>
          <w:rFonts w:ascii="Arial" w:cs="Arial" w:eastAsia="Arial" w:hAnsi="Arial"/>
          <w:color w:val="1F2937"/>
          <w:sz w:val="22"/>
          <w:szCs w:val="22"/>
        </w:rPr>
        <w:t xml:space="preserve">MLflow-compatible artifact store. Model binaries serialized as pickle (scikit-learn) or ONNX for cross-runtime portability. SHAP explainability bundles stored alongside each model.</w:t>
      </w:r>
    </w:p>
    <w:p>
      <w:pPr>
        <w:pStyle w:val="Heading3"/>
        <w:spacing w:after="80" w:before="240"/>
      </w:pPr>
      <w:r>
        <w:rPr>
          <w:rFonts w:ascii="Arial" w:cs="Arial" w:eastAsia="Arial" w:hAnsi="Arial"/>
          <w:b/>
          <w:bCs/>
          <w:color w:val="4F46E5"/>
          <w:sz w:val="24"/>
          <w:szCs w:val="24"/>
        </w:rPr>
        <w:t xml:space="preserve">3.2.3 Frontend / Artifact Layer</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Artifact format: </w:t>
      </w:r>
      <w:r>
        <w:rPr>
          <w:rFonts w:ascii="Arial" w:cs="Arial" w:eastAsia="Arial" w:hAnsi="Arial"/>
          <w:color w:val="1F2937"/>
          <w:sz w:val="22"/>
          <w:szCs w:val="22"/>
        </w:rPr>
        <w:t xml:space="preserve">Single-file HTML with embedded JavaScript (Recharts for charts, vanilla JS state management). Zero framework dependencies. CDN-hosted libraries only (cdnjs.cloudflare.com allowlist). Target file size under 250KB uncompressed.</w:t>
      </w:r>
    </w:p>
    <w:p>
      <w:pPr>
        <w:pStyle w:val="ListParagraph"/>
        <w:numPr>
          <w:ilvl w:val="0"/>
          <w:numId w:val="2"/>
        </w:numPr>
        <w:spacing w:after="40" w:before="40"/>
        <w:ind w:left="720" w:hanging="360"/>
      </w:pPr>
      <w:r>
        <w:rPr>
          <w:rFonts w:ascii="Arial" w:cs="Arial" w:eastAsia="Arial" w:hAnsi="Arial"/>
          <w:b/>
          <w:bCs/>
          <w:color w:val="2B2D6E"/>
          <w:sz w:val="22"/>
          <w:szCs w:val="22"/>
        </w:rPr>
        <w:t xml:space="preserve">Data access in artifacts: </w:t>
      </w:r>
      <w:r>
        <w:rPr>
          <w:rFonts w:ascii="Arial" w:cs="Arial" w:eastAsia="Arial" w:hAnsi="Arial"/>
          <w:color w:val="1F2937"/>
          <w:sz w:val="22"/>
          <w:szCs w:val="22"/>
        </w:rPr>
        <w:t xml:space="preserve">REST API calls to AnalytIQ's gold layer query API at artifact load time. Data is never embedded in the HTML file — this keeps artifacts small and ensures they always reflect current predictions.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Embedding: </w:t>
      </w:r>
      <w:r>
        <w:rPr>
          <w:rFonts w:ascii="Arial" w:cs="Arial" w:eastAsia="Arial" w:hAnsi="Arial"/>
          <w:color w:val="1F2937"/>
          <w:sz w:val="22"/>
          <w:szCs w:val="22"/>
        </w:rPr>
        <w:t xml:space="preserve">Signed JWT embed tokens (HS256, 24-hour default expiry, configurable). Token scopes: read_only | interactive | admin. Tokens are workspace-scoped and cannot be used across workspaces.</w:t>
      </w:r>
    </w:p>
    <w:p>
      <w:pPr>
        <w:spacing w:after="0" w:before="120"/>
      </w:pPr>
    </w:p>
    <w:p>
      <w:r>
        <w:br w:type="page"/>
      </w:r>
    </w:p>
    <w:p>
      <w:pPr>
        <w:pStyle w:val="Heading1"/>
        <w:pBdr>
          <w:bottom w:val="single" w:color="4F46E5" w:sz="8" w:space="4"/>
        </w:pBdr>
        <w:spacing w:after="160" w:before="480"/>
      </w:pPr>
      <w:r>
        <w:rPr>
          <w:rFonts w:ascii="Arial" w:cs="Arial" w:eastAsia="Arial" w:hAnsi="Arial"/>
          <w:b/>
          <w:bCs/>
          <w:color w:val="2B2D6E"/>
          <w:sz w:val="36"/>
          <w:szCs w:val="36"/>
        </w:rPr>
        <w:t xml:space="preserve">4. Detailed Stage Specifications</w:t>
      </w:r>
    </w:p>
    <w:p>
      <w:pPr>
        <w:pStyle w:val="Heading2"/>
        <w:spacing w:after="120" w:before="360"/>
      </w:pPr>
      <w:r>
        <w:rPr>
          <w:rFonts w:ascii="Arial" w:cs="Arial" w:eastAsia="Arial" w:hAnsi="Arial"/>
          <w:b/>
          <w:bCs/>
          <w:color w:val="2B2D6E"/>
          <w:sz w:val="28"/>
          <w:szCs w:val="28"/>
        </w:rPr>
        <w:t xml:space="preserve">4.1 Stage 0 — Integration Ingestion &amp; Automated Governance</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4F46E5"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PURPOSE</w:t>
            </w:r>
          </w:p>
        </w:tc>
        <w:tc>
          <w:tcPr>
            <w:tcW w:type="dxa" w:w="9160"/>
            <w:shd w:fill="EEF2FF" w:val="clear"/>
            <w:tcMar>
              <w:top w:type="dxa" w:w="80"/>
              <w:left w:type="dxa" w:w="160"/>
              <w:bottom w:type="dxa" w:w="80"/>
              <w:right w:type="dxa" w:w="120"/>
            </w:tcMar>
          </w:tcPr>
          <w:p>
            <w:r>
              <w:rPr>
                <w:rFonts w:ascii="Arial" w:cs="Arial" w:eastAsia="Arial" w:hAnsi="Arial"/>
                <w:color w:val="1F2937"/>
                <w:sz w:val="21"/>
                <w:szCs w:val="21"/>
              </w:rPr>
              <w:t xml:space="preserve">Establish ground truth about every connected data source before any user-facing feature is exposed. This stage runs once per new integration and re-runs on a configurable schedule (default: nightly) or when schema drift is detected.</w:t>
            </w:r>
          </w:p>
        </w:tc>
      </w:tr>
    </w:tbl>
    <w:p>
      <w:pPr>
        <w:spacing w:after="0" w:before="160"/>
      </w:pPr>
    </w:p>
    <w:p>
      <w:pPr>
        <w:pStyle w:val="Heading3"/>
        <w:spacing w:after="80" w:before="240"/>
      </w:pPr>
      <w:r>
        <w:rPr>
          <w:rFonts w:ascii="Arial" w:cs="Arial" w:eastAsia="Arial" w:hAnsi="Arial"/>
          <w:b/>
          <w:bCs/>
          <w:color w:val="4F46E5"/>
          <w:sz w:val="24"/>
          <w:szCs w:val="24"/>
        </w:rPr>
        <w:t xml:space="preserve">4.1.1 Ingestion Agent — Internal System Prompt</w:t>
      </w:r>
    </w:p>
    <w:p>
      <w:pPr>
        <w:spacing w:after="60" w:before="60"/>
        <w:jc w:val="left"/>
      </w:pPr>
      <w:r>
        <w:rPr>
          <w:rFonts w:ascii="Arial" w:cs="Arial" w:eastAsia="Arial" w:hAnsi="Arial"/>
          <w:color w:val="1F2937"/>
          <w:sz w:val="22"/>
          <w:szCs w:val="22"/>
        </w:rPr>
        <w:t xml:space="preserve">The following prompt governs the governance agent's behavior on every integration run:</w:t>
      </w:r>
    </w:p>
    <w:p>
      <w:pPr>
        <w:spacing w:after="0" w:before="80"/>
      </w:pP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9CA3A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PROMPT</w:t>
            </w:r>
          </w:p>
        </w:tc>
        <w:tc>
          <w:tcPr>
            <w:tcW w:type="dxa" w:w="9160"/>
            <w:shd w:fill="F9FAFB" w:val="clear"/>
            <w:tcMar>
              <w:top w:type="dxa" w:w="80"/>
              <w:left w:type="dxa" w:w="160"/>
              <w:bottom w:type="dxa" w:w="80"/>
              <w:right w:type="dxa" w:w="120"/>
            </w:tcMar>
          </w:tcPr>
          <w:p>
            <w:r>
              <w:rPr>
                <w:rFonts w:ascii="Arial" w:cs="Arial" w:eastAsia="Arial" w:hAnsi="Arial"/>
                <w:color w:val="1F2937"/>
                <w:sz w:val="21"/>
                <w:szCs w:val="21"/>
              </w:rPr>
              <w:t xml:space="preserve">You are a data governance agent. Given a database connection, execute the following steps in strict order and output only structured JSON at each step. Never infer or hallucinate column definitions — base all definitions on observed data samples and naming conventions only.
1. CATALOG: Introspect all accessible schemas and tables. For each column produce: { semantic_type: dimension|measure|date|id|text|flag|geo|unknown, nullable: bool, estimated_cardinality }
2. PROFILE: Sample 10,000 rows per table (or all rows if &lt; 10,000). Compute per column: { null_pct, distinct_count, min, max, p25, p50, p75, mean, stddev, top_5_values }
3. DEFINE: Generate a natural_language_definition for each table and column. Confidence level: high (naming + values align), medium (naming clear but values ambiguous), low (must flag for human review before downstream use).
4. HEALTH_SCORE: Score each table 0–100 using: null penalties (−1pt per 1% avg null rate), freshness lag (−2pt per hour beyond SLA), PK uniqueness (−20pt if violations detected), row count trend (−10pt if declining &gt; 5% week-over-week).
5. PII_SCAN: Apply regex + token classifier to detect: email, SSN, phone, credit card, full name patterns. Flag columns, do not mask — masking is a separate governance decision.
6. Output governance_manifest as versioned JSON (semver). Increment minor version on profile changes, major version on schema changes.</w:t>
            </w:r>
          </w:p>
        </w:tc>
      </w:tr>
    </w:tbl>
    <w:p>
      <w:pPr>
        <w:spacing w:after="0" w:before="160"/>
      </w:pPr>
    </w:p>
    <w:p>
      <w:pPr>
        <w:pStyle w:val="Heading3"/>
        <w:spacing w:after="80" w:before="240"/>
      </w:pPr>
      <w:r>
        <w:rPr>
          <w:rFonts w:ascii="Arial" w:cs="Arial" w:eastAsia="Arial" w:hAnsi="Arial"/>
          <w:b/>
          <w:bCs/>
          <w:color w:val="4F46E5"/>
          <w:sz w:val="24"/>
          <w:szCs w:val="24"/>
        </w:rPr>
        <w:t xml:space="preserve">4.1.2 Data Quality Gates — Stage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500"/>
        <w:gridCol w:w="1260"/>
      </w:tblGrid>
      <w:tr>
        <w:trPr>
          <w:tblHeader/>
        </w:trPr>
        <w:tc>
          <w:tcPr>
            <w:tcW w:type="dxa" w:w="24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2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25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On Failure</w:t>
            </w:r>
          </w:p>
        </w:tc>
        <w:tc>
          <w:tcPr>
            <w:tcW w:type="dxa" w:w="12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Schema fingerprint baseline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Stored on first run; drift alerts on mismatch</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Alert owner, flag affected tables</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Primary key uniqueness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0 violations allowed</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Block table from semantic layer</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Null rate — key columns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5% on any column with semantic_type: id or date</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Flag column, exclude from join paths</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Freshness SLA</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Configurable per table; default 48 hours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Reduce health score; alert if &gt; 2× SLA</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PII detection</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Any positive hit</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Flag column; require governance review before ML use</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Row count minimum</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 100 rows for any table exposed to ML stages</w:t>
            </w:r>
          </w:p>
        </w:tc>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Exclude from ML; allow descriptive analytics only</w:t>
            </w:r>
          </w:p>
        </w:tc>
        <w:tc>
          <w:tcPr>
            <w:tcW w:type="dxa" w:w="1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Distribution baseline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Stored on first run; alert if column mean shifts &gt; 3σ</w:t>
            </w:r>
          </w:p>
        </w:tc>
        <w:tc>
          <w:tcPr>
            <w:tcW w:type="dxa" w:w="2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Flag as drifted; trigger re-profile</w:t>
            </w:r>
          </w:p>
        </w:tc>
        <w:tc>
          <w:tcPr>
            <w:tcW w:type="dxa" w:w="1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r>
    </w:tbl>
    <w:p>
      <w:pPr>
        <w:spacing w:after="0" w:before="160"/>
      </w:pPr>
    </w:p>
    <w:p>
      <w:pPr>
        <w:pStyle w:val="Heading3"/>
        <w:spacing w:after="80" w:before="240"/>
      </w:pPr>
      <w:r>
        <w:rPr>
          <w:rFonts w:ascii="Arial" w:cs="Arial" w:eastAsia="Arial" w:hAnsi="Arial"/>
          <w:b/>
          <w:bCs/>
          <w:color w:val="4F46E5"/>
          <w:sz w:val="24"/>
          <w:szCs w:val="24"/>
        </w:rPr>
        <w:t xml:space="preserve">4.1.3 Governance Manifest Schema</w:t>
      </w:r>
    </w:p>
    <w:p>
      <w:pPr>
        <w:spacing w:after="60" w:before="60"/>
        <w:jc w:val="left"/>
      </w:pPr>
      <w:r>
        <w:rPr>
          <w:rFonts w:ascii="Arial" w:cs="Arial" w:eastAsia="Arial" w:hAnsi="Arial"/>
          <w:color w:val="1F2937"/>
          <w:sz w:val="22"/>
          <w:szCs w:val="22"/>
        </w:rPr>
        <w:t xml:space="preserve">The governance manifest is the canonical source of truth passed to all downstream stages. It is immutable once written; updates produce a new version. Schema:</w:t>
      </w:r>
    </w:p>
    <w:p>
      <w:pPr>
        <w:spacing w:after="0" w:before="80"/>
      </w:pP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9CA3A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SCHEMA</w:t>
            </w:r>
          </w:p>
        </w:tc>
        <w:tc>
          <w:tcPr>
            <w:tcW w:type="dxa" w:w="9160"/>
            <w:shd w:fill="F9FAFB" w:val="clear"/>
            <w:tcMar>
              <w:top w:type="dxa" w:w="80"/>
              <w:left w:type="dxa" w:w="160"/>
              <w:bottom w:type="dxa" w:w="80"/>
              <w:right w:type="dxa" w:w="120"/>
            </w:tcMar>
          </w:tcPr>
          <w:p>
            <w:r>
              <w:rPr>
                <w:rFonts w:ascii="Arial" w:cs="Arial" w:eastAsia="Arial" w:hAnsi="Arial"/>
                <w:color w:val="1F2937"/>
                <w:sz w:val="21"/>
                <w:szCs w:val="21"/>
              </w:rPr>
              <w:t xml:space="preserve">{
  manifest_version: string (semver),
  workspace_id: string,
  integration_id: string,
  generated_at: ISO8601,
  tables: {
    [table_name]: {
      health_score: 0–100,
      definition: string,
      definition_confidence: high|medium|low,
      row_count: int,
      freshness_lag_hrs: float,
      pii_flags: [{ column, pattern_type }],
      columns: {
        [column_name]: {
          semantic_type: dimension|measure|date|id|text|flag|geo|unknown,
          null_pct: float,
          distinct_count: int,
          stats: { min, max, p25, p50, p75, mean, stddev },
          top_values: string[],
          definition: string,
          definition_confidence: high|medium|low
        }
      }
    }
  },
  lineage_edges: [{ from_table.column, to_table.column }],
  dq_gate_status: PASS|WARN|BLOCK,
  human_review_required: bool
}</w:t>
            </w:r>
          </w:p>
        </w:tc>
      </w:tr>
    </w:tbl>
    <w:p>
      <w:pPr>
        <w:spacing w:after="0" w:before="320"/>
      </w:pPr>
    </w:p>
    <w:p>
      <w:pPr>
        <w:pStyle w:val="Heading2"/>
        <w:spacing w:after="120" w:before="360"/>
      </w:pPr>
      <w:r>
        <w:rPr>
          <w:rFonts w:ascii="Arial" w:cs="Arial" w:eastAsia="Arial" w:hAnsi="Arial"/>
          <w:b/>
          <w:bCs/>
          <w:color w:val="2B2D6E"/>
          <w:sz w:val="28"/>
          <w:szCs w:val="28"/>
        </w:rPr>
        <w:t xml:space="preserve">4.2 Stage 1 — Semantic Layer Construction</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0D9488"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PURPOSE</w:t>
            </w:r>
          </w:p>
        </w:tc>
        <w:tc>
          <w:tcPr>
            <w:tcW w:type="dxa" w:w="9160"/>
            <w:shd w:fill="CCFBF1" w:val="clear"/>
            <w:tcMar>
              <w:top w:type="dxa" w:w="80"/>
              <w:left w:type="dxa" w:w="160"/>
              <w:bottom w:type="dxa" w:w="80"/>
              <w:right w:type="dxa" w:w="120"/>
            </w:tcMar>
          </w:tcPr>
          <w:p>
            <w:r>
              <w:rPr>
                <w:rFonts w:ascii="Arial" w:cs="Arial" w:eastAsia="Arial" w:hAnsi="Arial"/>
                <w:color w:val="1F2937"/>
                <w:sz w:val="21"/>
                <w:szCs w:val="21"/>
              </w:rPr>
              <w:t xml:space="preserve">Transform the raw governance manifest into a versioned, human-readable semantic schema that defines every metric, dimension, and join path exactly once. This eliminates metric inconsistency across dashboards — the most common trust failure in enterprise analytics.</w:t>
            </w:r>
          </w:p>
        </w:tc>
      </w:tr>
    </w:tbl>
    <w:p>
      <w:pPr>
        <w:spacing w:after="0" w:before="160"/>
      </w:pPr>
    </w:p>
    <w:p>
      <w:pPr>
        <w:pStyle w:val="Heading3"/>
        <w:spacing w:after="80" w:before="240"/>
      </w:pPr>
      <w:r>
        <w:rPr>
          <w:rFonts w:ascii="Arial" w:cs="Arial" w:eastAsia="Arial" w:hAnsi="Arial"/>
          <w:b/>
          <w:bCs/>
          <w:color w:val="4F46E5"/>
          <w:sz w:val="24"/>
          <w:szCs w:val="24"/>
        </w:rPr>
        <w:t xml:space="preserve">4.2.1 Semantic Layer Agent — Internal System Prompt</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0D9488"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PROMPT</w:t>
            </w:r>
          </w:p>
        </w:tc>
        <w:tc>
          <w:tcPr>
            <w:tcW w:type="dxa" w:w="9160"/>
            <w:shd w:fill="CCFBF1" w:val="clear"/>
            <w:tcMar>
              <w:top w:type="dxa" w:w="80"/>
              <w:left w:type="dxa" w:w="160"/>
              <w:bottom w:type="dxa" w:w="80"/>
              <w:right w:type="dxa" w:w="120"/>
            </w:tcMar>
          </w:tcPr>
          <w:p>
            <w:r>
              <w:rPr>
                <w:rFonts w:ascii="Arial" w:cs="Arial" w:eastAsia="Arial" w:hAnsi="Arial"/>
                <w:color w:val="1F2937"/>
                <w:sz w:val="21"/>
                <w:szCs w:val="21"/>
              </w:rPr>
              <w:t xml:space="preserve">You are a semantic layer architect. You receive a governance_manifest. Produce a cube_schema JSON compatible with Cube.dev v0.35+ format.
1. METRICS: For each measure column, produce exactly one metric definition:
   { name, sql_expression, aggregation: sum|avg|count|count_distinct|max|min,
     description, allowed_filter_dimensions, format: currency|percent|number|duration }
   Deduplicate across tables. If two tables produce the same logical metric,
   define it once with a UNION or prioritized source, documented in a note field.
2. DIMENSIONS: For each dimension/date/flag/geo column:
   { name, sql_expression, data_type, hierarchies: [[coarse,...,fine]],
     is_primary_date: bool, filterable: bool, sortable: bool }
   Infer date hierarchies automatically. Detect geo columns by name pattern
   (state, city, zip, lat, lng, region, territory) and assign hierarchy.
3. JOIN_PATHS: From lineage_edges, enumerate all valid join paths as
   directed edges with join_type (inner|left) inferred from FK null_pct.
   If null_pct &gt; 2% on FK column, assign left join and add a note.
   Flag any many-to-many relationships — these require bridge table resolution
   before they can be used in metrics (block until resolved).
4. EXPLORES: Group metrics + dimensions into named explores representing
   coherent business topics. Name explores for business users, not tables.
   Maximum 8 explores per workspace to prevent cognitive overload.
5. Assign confidence: high|medium|low to each definition.
   Low-confidence items are visible in the UI but marked with a review badge
   and cannot be used in ML feature sets until a human confirms them.</w:t>
            </w:r>
          </w:p>
        </w:tc>
      </w:tr>
    </w:tbl>
    <w:p>
      <w:pPr>
        <w:spacing w:after="0" w:before="160"/>
      </w:pPr>
    </w:p>
    <w:p>
      <w:pPr>
        <w:pStyle w:val="Heading3"/>
        <w:spacing w:after="80" w:before="240"/>
      </w:pPr>
      <w:r>
        <w:rPr>
          <w:rFonts w:ascii="Arial" w:cs="Arial" w:eastAsia="Arial" w:hAnsi="Arial"/>
          <w:b/>
          <w:bCs/>
          <w:color w:val="4F46E5"/>
          <w:sz w:val="24"/>
          <w:szCs w:val="24"/>
        </w:rPr>
        <w:t xml:space="preserve">4.2.2 Semantic Layer Storage &amp; Versioning</w:t>
      </w:r>
    </w:p>
    <w:p>
      <w:pPr>
        <w:pStyle w:val="ListParagraph"/>
        <w:numPr>
          <w:ilvl w:val="0"/>
          <w:numId w:val="2"/>
        </w:numPr>
        <w:spacing w:after="40" w:before="40"/>
        <w:ind w:left="720" w:hanging="360"/>
      </w:pPr>
      <w:r>
        <w:rPr>
          <w:rFonts w:ascii="Arial" w:cs="Arial" w:eastAsia="Arial" w:hAnsi="Arial"/>
          <w:b/>
          <w:bCs/>
          <w:color w:val="2B2D6E"/>
          <w:sz w:val="22"/>
          <w:szCs w:val="22"/>
        </w:rPr>
        <w:t xml:space="preserve">Format: </w:t>
      </w:r>
      <w:r>
        <w:rPr>
          <w:rFonts w:ascii="Arial" w:cs="Arial" w:eastAsia="Arial" w:hAnsi="Arial"/>
          <w:color w:val="1F2937"/>
          <w:sz w:val="22"/>
          <w:szCs w:val="22"/>
        </w:rPr>
        <w:t xml:space="preserve">Cube.dev-compatible YAML, stored in a workspace-scoped Git repository under /semantic/{workspace_id}/schema/. Each file represents one explore.</w:t>
      </w:r>
    </w:p>
    <w:p>
      <w:pPr>
        <w:pStyle w:val="ListParagraph"/>
        <w:numPr>
          <w:ilvl w:val="0"/>
          <w:numId w:val="2"/>
        </w:numPr>
        <w:spacing w:after="40" w:before="40"/>
        <w:ind w:left="720" w:hanging="360"/>
      </w:pPr>
      <w:r>
        <w:rPr>
          <w:rFonts w:ascii="Arial" w:cs="Arial" w:eastAsia="Arial" w:hAnsi="Arial"/>
          <w:b/>
          <w:bCs/>
          <w:color w:val="2B2D6E"/>
          <w:sz w:val="22"/>
          <w:szCs w:val="22"/>
        </w:rPr>
        <w:t xml:space="preserve">Versioning: </w:t>
      </w:r>
      <w:r>
        <w:rPr>
          <w:rFonts w:ascii="Arial" w:cs="Arial" w:eastAsia="Arial" w:hAnsi="Arial"/>
          <w:color w:val="1F2937"/>
          <w:sz w:val="22"/>
          <w:szCs w:val="22"/>
        </w:rPr>
        <w:t xml:space="preserve">Semantic version (semver). Patch: definition text changes. Minor: new metric or dimension added. Major: metric renamed, aggregation changed, join type changed. Any major version change triggers re-validation of all dependent artifacts.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Human review workflow: </w:t>
      </w:r>
      <w:r>
        <w:rPr>
          <w:rFonts w:ascii="Arial" w:cs="Arial" w:eastAsia="Arial" w:hAnsi="Arial"/>
          <w:color w:val="1F2937"/>
          <w:sz w:val="22"/>
          <w:szCs w:val="22"/>
        </w:rPr>
        <w:t xml:space="preserve">Low-confidence definitions surface in a Review Queue UI. A workspace admin can Accept (promotes to high confidence), Edit (modify definition + re-validate), or Reject (removes from schema). No ML pipeline can use a low-confidence definition without explicit acceptance.</w:t>
      </w:r>
    </w:p>
    <w:p>
      <w:pPr>
        <w:pStyle w:val="ListParagraph"/>
        <w:numPr>
          <w:ilvl w:val="0"/>
          <w:numId w:val="2"/>
        </w:numPr>
        <w:spacing w:after="40" w:before="40"/>
        <w:ind w:left="720" w:hanging="360"/>
      </w:pPr>
      <w:r>
        <w:rPr>
          <w:rFonts w:ascii="Arial" w:cs="Arial" w:eastAsia="Arial" w:hAnsi="Arial"/>
          <w:b/>
          <w:bCs/>
          <w:color w:val="2B2D6E"/>
          <w:sz w:val="22"/>
          <w:szCs w:val="22"/>
        </w:rPr>
        <w:t xml:space="preserve">Conflict resolution: </w:t>
      </w:r>
      <w:r>
        <w:rPr>
          <w:rFonts w:ascii="Arial" w:cs="Arial" w:eastAsia="Arial" w:hAnsi="Arial"/>
          <w:color w:val="1F2937"/>
          <w:sz w:val="22"/>
          <w:szCs w:val="22"/>
        </w:rPr>
        <w:t xml:space="preserve">If two data engineers define the same metric name differently, the system flags a conflict and presents a diff view. Resolution is required before either definition is promoted.</w:t>
      </w:r>
    </w:p>
    <w:p>
      <w:pPr>
        <w:spacing w:after="0" w:before="320"/>
      </w:pPr>
    </w:p>
    <w:p>
      <w:pPr>
        <w:pStyle w:val="Heading2"/>
        <w:spacing w:after="120" w:before="360"/>
      </w:pPr>
      <w:r>
        <w:rPr>
          <w:rFonts w:ascii="Arial" w:cs="Arial" w:eastAsia="Arial" w:hAnsi="Arial"/>
          <w:b/>
          <w:bCs/>
          <w:color w:val="2B2D6E"/>
          <w:sz w:val="28"/>
          <w:szCs w:val="28"/>
        </w:rPr>
        <w:t xml:space="preserve">4.3 Stage 2 — Conversational Data Selection</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D9770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PURPOSE</w:t>
            </w:r>
          </w:p>
        </w:tc>
        <w:tc>
          <w:tcPr>
            <w:tcW w:type="dxa" w:w="9160"/>
            <w:shd w:fill="FEF3C7" w:val="clear"/>
            <w:tcMar>
              <w:top w:type="dxa" w:w="80"/>
              <w:left w:type="dxa" w:w="160"/>
              <w:bottom w:type="dxa" w:w="80"/>
              <w:right w:type="dxa" w:w="120"/>
            </w:tcMar>
          </w:tcPr>
          <w:p>
            <w:r>
              <w:rPr>
                <w:rFonts w:ascii="Arial" w:cs="Arial" w:eastAsia="Arial" w:hAnsi="Arial"/>
                <w:color w:val="1F2937"/>
                <w:sz w:val="21"/>
                <w:szCs w:val="21"/>
              </w:rPr>
              <w:t xml:space="preserve">The primary user interaction point. Translate natural language intent into a precise, machine-executable session specification using only validated semantic layer vocabulary. Users never see table names, column names, or SQL.</w:t>
            </w:r>
          </w:p>
        </w:tc>
      </w:tr>
    </w:tbl>
    <w:p>
      <w:pPr>
        <w:spacing w:after="0" w:before="160"/>
      </w:pPr>
    </w:p>
    <w:p>
      <w:pPr>
        <w:pStyle w:val="Heading3"/>
        <w:spacing w:after="80" w:before="240"/>
      </w:pPr>
      <w:r>
        <w:rPr>
          <w:rFonts w:ascii="Arial" w:cs="Arial" w:eastAsia="Arial" w:hAnsi="Arial"/>
          <w:b/>
          <w:bCs/>
          <w:color w:val="4F46E5"/>
          <w:sz w:val="24"/>
          <w:szCs w:val="24"/>
        </w:rPr>
        <w:t xml:space="preserve">4.3.1 Session Planner Agent — Internal System Prompt</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D97706"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PROMPT</w:t>
            </w:r>
          </w:p>
        </w:tc>
        <w:tc>
          <w:tcPr>
            <w:tcW w:type="dxa" w:w="9160"/>
            <w:shd w:fill="FEF3C7" w:val="clear"/>
            <w:tcMar>
              <w:top w:type="dxa" w:w="80"/>
              <w:left w:type="dxa" w:w="160"/>
              <w:bottom w:type="dxa" w:w="80"/>
              <w:right w:type="dxa" w:w="120"/>
            </w:tcMar>
          </w:tcPr>
          <w:p>
            <w:r>
              <w:rPr>
                <w:rFonts w:ascii="Arial" w:cs="Arial" w:eastAsia="Arial" w:hAnsi="Arial"/>
                <w:color w:val="1F2937"/>
                <w:sz w:val="21"/>
                <w:szCs w:val="21"/>
              </w:rPr>
              <w:t xml:space="preserve">You are an analytics session planner. The user wants to build a dashboard, run an analysis, or train a predictive model. You have access to the semantic_layer_schema below as your only vocabulary.
Your response protocol per turn:
1. Classify analytic_intent:
   descriptive (what happened) | diagnostic (why it happened) |
   predictive (what will happen) | prescriptive (what should we do)
2. Map the request to 1–3 explores from the semantic schema.
   Present metric options and dimension options as selectable lists in plain English.
   Never expose column names, table names, or SQL syntax to the user.
3. Ask at most ONE clarifying question per turn.
   Always format clarifying questions as multiple-choice with 3–5 options.
   Never ask open-ended questions when a closed option set is available.
4. Once you have sufficient information, produce a session_spec JSON:
   { intent, analytic_goal: string, target_metric: metric_name,
     feature_candidates: [dimension/metric names from schema],
     date_range: { type: rolling|fixed, value: string },
     grain: string (e.g. location_day, user_week),
     output_type: dashboard_only|model+dashboard|model_only,
     prediction_horizon: string (if predictive) }
5. NEVER produce a session_spec if intent_confidence &lt; 0.85.
   At &lt; 0.85, ask one more clarifying question.
   Log confidence in the session_spec for audit.</w:t>
            </w:r>
          </w:p>
        </w:tc>
      </w:tr>
    </w:tbl>
    <w:p>
      <w:pPr>
        <w:spacing w:after="0" w:before="160"/>
      </w:pPr>
    </w:p>
    <w:p>
      <w:pPr>
        <w:pStyle w:val="Heading3"/>
        <w:spacing w:after="80" w:before="240"/>
      </w:pPr>
      <w:r>
        <w:rPr>
          <w:rFonts w:ascii="Arial" w:cs="Arial" w:eastAsia="Arial" w:hAnsi="Arial"/>
          <w:b/>
          <w:bCs/>
          <w:color w:val="4F46E5"/>
          <w:sz w:val="24"/>
          <w:szCs w:val="24"/>
        </w:rPr>
        <w:t xml:space="preserve">4.3.2 Data Selection UX Patterns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Explore picker: </w:t>
      </w:r>
      <w:r>
        <w:rPr>
          <w:rFonts w:ascii="Arial" w:cs="Arial" w:eastAsia="Arial" w:hAnsi="Arial"/>
          <w:color w:val="1F2937"/>
          <w:sz w:val="22"/>
          <w:szCs w:val="22"/>
        </w:rPr>
        <w:t xml:space="preserve">When a user's request spans multiple explores, the session planner presents a card-based picker showing explore names, associated metric counts, and a one-line description. User selects 1–3.</w:t>
      </w:r>
    </w:p>
    <w:p>
      <w:pPr>
        <w:pStyle w:val="ListParagraph"/>
        <w:numPr>
          <w:ilvl w:val="0"/>
          <w:numId w:val="2"/>
        </w:numPr>
        <w:spacing w:after="40" w:before="40"/>
        <w:ind w:left="720" w:hanging="360"/>
      </w:pPr>
      <w:r>
        <w:rPr>
          <w:rFonts w:ascii="Arial" w:cs="Arial" w:eastAsia="Arial" w:hAnsi="Arial"/>
          <w:b/>
          <w:bCs/>
          <w:color w:val="2B2D6E"/>
          <w:sz w:val="22"/>
          <w:szCs w:val="22"/>
        </w:rPr>
        <w:t xml:space="preserve">Metric cards: </w:t>
      </w:r>
      <w:r>
        <w:rPr>
          <w:rFonts w:ascii="Arial" w:cs="Arial" w:eastAsia="Arial" w:hAnsi="Arial"/>
          <w:color w:val="1F2937"/>
          <w:sz w:val="22"/>
          <w:szCs w:val="22"/>
        </w:rPr>
        <w:t xml:space="preserve">Each metric is presented as a card showing: metric name (plain English), definition string, current value (sparkline preview from last 30 days), data freshness badge. User selects the target metric and optionally comparison metrics.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Dimension selector: </w:t>
      </w:r>
      <w:r>
        <w:rPr>
          <w:rFonts w:ascii="Arial" w:cs="Arial" w:eastAsia="Arial" w:hAnsi="Arial"/>
          <w:color w:val="1F2937"/>
          <w:sz w:val="22"/>
          <w:szCs w:val="22"/>
        </w:rPr>
        <w:t xml:space="preserve">Dimensions presented as grouped chips (date dimensions, categorical dimensions, geographic dimensions). User selects features they believe are relevant. The system adds lag/rolling features automatically in Stage 3.</w:t>
      </w:r>
    </w:p>
    <w:p>
      <w:pPr>
        <w:pStyle w:val="ListParagraph"/>
        <w:numPr>
          <w:ilvl w:val="0"/>
          <w:numId w:val="2"/>
        </w:numPr>
        <w:spacing w:after="40" w:before="40"/>
        <w:ind w:left="720" w:hanging="360"/>
      </w:pPr>
      <w:r>
        <w:rPr>
          <w:rFonts w:ascii="Arial" w:cs="Arial" w:eastAsia="Arial" w:hAnsi="Arial"/>
          <w:b/>
          <w:bCs/>
          <w:color w:val="2B2D6E"/>
          <w:sz w:val="22"/>
          <w:szCs w:val="22"/>
        </w:rPr>
        <w:t xml:space="preserve">Intent confirmation: </w:t>
      </w:r>
      <w:r>
        <w:rPr>
          <w:rFonts w:ascii="Arial" w:cs="Arial" w:eastAsia="Arial" w:hAnsi="Arial"/>
          <w:color w:val="1F2937"/>
          <w:sz w:val="22"/>
          <w:szCs w:val="22"/>
        </w:rPr>
        <w:t xml:space="preserve">Before generating a session_spec, the system presents a plain-English summary: 'You want to predict net revenue for the next 14 days, broken down by location, using the last 90 days of data.' User must confirm before the pipeline advances.</w:t>
      </w:r>
    </w:p>
    <w:p>
      <w:pPr>
        <w:spacing w:after="0" w:before="320"/>
      </w:pPr>
    </w:p>
    <w:p>
      <w:pPr>
        <w:pStyle w:val="Heading2"/>
        <w:spacing w:after="120" w:before="360"/>
      </w:pPr>
      <w:r>
        <w:rPr>
          <w:rFonts w:ascii="Arial" w:cs="Arial" w:eastAsia="Arial" w:hAnsi="Arial"/>
          <w:b/>
          <w:bCs/>
          <w:color w:val="2B2D6E"/>
          <w:sz w:val="28"/>
          <w:szCs w:val="28"/>
        </w:rPr>
        <w:t xml:space="preserve">4.4 Stage 3 — Data Modeling &amp; Feature Engineering</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E85D3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PURPOSE</w:t>
            </w:r>
          </w:p>
        </w:tc>
        <w:tc>
          <w:tcPr>
            <w:tcW w:type="dxa" w:w="9160"/>
            <w:shd w:fill="FEE2D5" w:val="clear"/>
            <w:tcMar>
              <w:top w:type="dxa" w:w="80"/>
              <w:left w:type="dxa" w:w="160"/>
              <w:bottom w:type="dxa" w:w="80"/>
              <w:right w:type="dxa" w:w="120"/>
            </w:tcMar>
          </w:tcPr>
          <w:p>
            <w:r>
              <w:rPr>
                <w:rFonts w:ascii="Arial" w:cs="Arial" w:eastAsia="Arial" w:hAnsi="Arial"/>
                <w:color w:val="1F2937"/>
                <w:sz w:val="21"/>
                <w:szCs w:val="21"/>
              </w:rPr>
              <w:t xml:space="preserve">Transform the session spec into a production-quality gold layer analytical table at the correct grain, enriched with a comprehensive feature set, ready for model training. Two sequential subagents (data modeler and feature engineer) with a quality gate between them.</w:t>
            </w:r>
          </w:p>
        </w:tc>
      </w:tr>
    </w:tbl>
    <w:p>
      <w:pPr>
        <w:spacing w:after="0" w:before="160"/>
      </w:pPr>
    </w:p>
    <w:p>
      <w:pPr>
        <w:pStyle w:val="Heading3"/>
        <w:spacing w:after="80" w:before="240"/>
      </w:pPr>
      <w:r>
        <w:rPr>
          <w:rFonts w:ascii="Arial" w:cs="Arial" w:eastAsia="Arial" w:hAnsi="Arial"/>
          <w:b/>
          <w:bCs/>
          <w:color w:val="4F46E5"/>
          <w:sz w:val="24"/>
          <w:szCs w:val="24"/>
        </w:rPr>
        <w:t xml:space="preserve">4.4.1 Data Modeler Subagent — Responsibilities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Gold table construction: </w:t>
      </w:r>
      <w:r>
        <w:rPr>
          <w:rFonts w:ascii="Arial" w:cs="Arial" w:eastAsia="Arial" w:hAnsi="Arial"/>
          <w:color w:val="1F2937"/>
          <w:sz w:val="22"/>
          <w:szCs w:val="22"/>
        </w:rPr>
        <w:t xml:space="preserve">Generates a SQL CREATE TABLE statement and INSERT SELECT query that joins all required explores at the specified grain, using only join paths validated in the semantic layer.</w:t>
      </w:r>
    </w:p>
    <w:p>
      <w:pPr>
        <w:pStyle w:val="ListParagraph"/>
        <w:numPr>
          <w:ilvl w:val="0"/>
          <w:numId w:val="2"/>
        </w:numPr>
        <w:spacing w:after="40" w:before="40"/>
        <w:ind w:left="720" w:hanging="360"/>
      </w:pPr>
      <w:r>
        <w:rPr>
          <w:rFonts w:ascii="Arial" w:cs="Arial" w:eastAsia="Arial" w:hAnsi="Arial"/>
          <w:b/>
          <w:bCs/>
          <w:color w:val="2B2D6E"/>
          <w:sz w:val="22"/>
          <w:szCs w:val="22"/>
        </w:rPr>
        <w:t xml:space="preserve">Temporal split definition: </w:t>
      </w:r>
      <w:r>
        <w:rPr>
          <w:rFonts w:ascii="Arial" w:cs="Arial" w:eastAsia="Arial" w:hAnsi="Arial"/>
          <w:color w:val="1F2937"/>
          <w:sz w:val="22"/>
          <w:szCs w:val="22"/>
        </w:rPr>
        <w:t xml:space="preserve">All splits are time-based (never random). Default: train 70% oldest, validation 15% middle, test 15% most recent. Minimum 500 training rows required to proceed.</w:t>
      </w:r>
    </w:p>
    <w:p>
      <w:pPr>
        <w:pStyle w:val="ListParagraph"/>
        <w:numPr>
          <w:ilvl w:val="0"/>
          <w:numId w:val="2"/>
        </w:numPr>
        <w:spacing w:after="40" w:before="40"/>
        <w:ind w:left="720" w:hanging="360"/>
      </w:pPr>
      <w:r>
        <w:rPr>
          <w:rFonts w:ascii="Arial" w:cs="Arial" w:eastAsia="Arial" w:hAnsi="Arial"/>
          <w:b/>
          <w:bCs/>
          <w:color w:val="2B2D6E"/>
          <w:sz w:val="22"/>
          <w:szCs w:val="22"/>
        </w:rPr>
        <w:t xml:space="preserve">Target leakage scan: </w:t>
      </w:r>
      <w:r>
        <w:rPr>
          <w:rFonts w:ascii="Arial" w:cs="Arial" w:eastAsia="Arial" w:hAnsi="Arial"/>
          <w:color w:val="1F2937"/>
          <w:sz w:val="22"/>
          <w:szCs w:val="22"/>
        </w:rPr>
        <w:t xml:space="preserve">For every feature candidate, checks whether the column value could include information from after the prediction point. Lag-zero values of the target metric are always flagged. Any column with leakage_risk &gt; 0.3 is held for explicit user confirmation before proceeding.</w:t>
      </w:r>
    </w:p>
    <w:p>
      <w:pPr>
        <w:pStyle w:val="ListParagraph"/>
        <w:numPr>
          <w:ilvl w:val="0"/>
          <w:numId w:val="2"/>
        </w:numPr>
        <w:spacing w:after="40" w:before="40"/>
        <w:ind w:left="720" w:hanging="360"/>
      </w:pPr>
      <w:r>
        <w:rPr>
          <w:rFonts w:ascii="Arial" w:cs="Arial" w:eastAsia="Arial" w:hAnsi="Arial"/>
          <w:b/>
          <w:bCs/>
          <w:color w:val="2B2D6E"/>
          <w:sz w:val="22"/>
          <w:szCs w:val="22"/>
        </w:rPr>
        <w:t xml:space="preserve">Grain validation: </w:t>
      </w:r>
      <w:r>
        <w:rPr>
          <w:rFonts w:ascii="Arial" w:cs="Arial" w:eastAsia="Arial" w:hAnsi="Arial"/>
          <w:color w:val="1F2937"/>
          <w:sz w:val="22"/>
          <w:szCs w:val="22"/>
        </w:rPr>
        <w:t xml:space="preserve">Confirms that the chosen grain produces unique rows (no implicit fan-out from joins). If duplicates detected, surfaces the offending join with a recommended fix (add a deduplication key or switch join type).</w:t>
      </w:r>
    </w:p>
    <w:p>
      <w:pPr>
        <w:spacing w:after="0" w:before="160"/>
      </w:pPr>
    </w:p>
    <w:p>
      <w:pPr>
        <w:pStyle w:val="Heading3"/>
        <w:spacing w:after="80" w:before="240"/>
      </w:pPr>
      <w:r>
        <w:rPr>
          <w:rFonts w:ascii="Arial" w:cs="Arial" w:eastAsia="Arial" w:hAnsi="Arial"/>
          <w:b/>
          <w:bCs/>
          <w:color w:val="4F46E5"/>
          <w:sz w:val="24"/>
          <w:szCs w:val="24"/>
        </w:rPr>
        <w:t xml:space="preserve">4.4.2 Feature Engineering Subagent — Internal Prompt</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E85D3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PROMPT</w:t>
            </w:r>
          </w:p>
        </w:tc>
        <w:tc>
          <w:tcPr>
            <w:tcW w:type="dxa" w:w="9160"/>
            <w:shd w:fill="FEE2D5" w:val="clear"/>
            <w:tcMar>
              <w:top w:type="dxa" w:w="80"/>
              <w:left w:type="dxa" w:w="160"/>
              <w:bottom w:type="dxa" w:w="80"/>
              <w:right w:type="dxa" w:w="120"/>
            </w:tcMar>
          </w:tcPr>
          <w:p>
            <w:r>
              <w:rPr>
                <w:rFonts w:ascii="Arial" w:cs="Arial" w:eastAsia="Arial" w:hAnsi="Arial"/>
                <w:color w:val="1F2937"/>
                <w:sz w:val="21"/>
                <w:szCs w:val="21"/>
              </w:rPr>
              <w:t xml:space="preserve">You are a feature engineering agent for time-series and tabular prediction tasks. Given a gold_table_spec and feature_manifest, enrich the feature set:
1. TEMPORAL FEATURES (always generated for time-series targets):
   lag_1d, lag_3d, lag_7d, lag_14d, lag_28d
   rolling_mean_7d, rolling_mean_14d, rolling_mean_28d
   rolling_std_7d, rolling_std_28d
   rolling_max_7d, rolling_min_7d
   day_of_week (int 0–6), week_of_year, month, quarter
   is_weekend (bool), is_holiday (join to holiday calendar table)
   days_since_last_zero (streak feature)
2. INTERACTION FEATURES:
   For each pair of top-3 categorical dimensions, generate a combined
   string feature (e.g. region + terminal_type). Cap at 6 interactions.
3. ENCODING RULES:
   Low cardinality (&lt; 15 unique): one-hot encoding, prefix col_name_
   Medium cardinality (15–50 unique): target encoding with 5-fold CV
     to prevent target leakage. Use out-of-fold predictions only.
   High cardinality (&gt; 50 unique): hash encoding with 32 buckets,
     plus a frequency encoding column.
4. IMPUTATION RULES (apply in this order):
   Measure columns: rolling_median fill (window=7), then global median
   Dimension columns: mode fill + add is_{col}_null indicator column
   Date columns: forward fill, then backward fill
5. COLLINEARITY CHECK:
   Compute Pearson correlation matrix. Flag any pair with |r| &gt; 0.95.
   For flagged pairs, keep the feature with higher mutual information
   with the target. Document dropped features in the manifest.
6. OUTPUT: enriched_feature_manifest listing every final column,
   its derivation method, leakage_risk (0–1), and importance_estimate
   (mutual information score with target).</w:t>
            </w:r>
          </w:p>
        </w:tc>
      </w:tr>
    </w:tbl>
    <w:p>
      <w:pPr>
        <w:spacing w:after="0" w:before="160"/>
      </w:pPr>
    </w:p>
    <w:p>
      <w:pPr>
        <w:pStyle w:val="Heading3"/>
        <w:spacing w:after="80" w:before="240"/>
      </w:pPr>
      <w:r>
        <w:rPr>
          <w:rFonts w:ascii="Arial" w:cs="Arial" w:eastAsia="Arial" w:hAnsi="Arial"/>
          <w:b/>
          <w:bCs/>
          <w:color w:val="4F46E5"/>
          <w:sz w:val="24"/>
          <w:szCs w:val="24"/>
        </w:rPr>
        <w:t xml:space="preserve">4.4.3 Data Quality Gates — Stage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2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3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Action on Failure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Minimum training rows after feature engineering</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500 rows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Halt pipeline; prompt user to expand date range</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Target leakage risk</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leakage_risk &gt; 0.3 on any feature</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Hold feature; require explicit user confirmation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Post-imputation null rate</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1% on any feature after imputation</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Drop feature; log to manifest</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Collinearity</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 &gt; 0.95 between any feature pair</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Drop lower-MI feature; log decision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Class imbalance (classification targets)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Minority class &lt; 10% of total</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Apply SMOTE; log imbalance ratio in model card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Feature count upper bound</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 200 features after engineering</w:t>
            </w:r>
          </w:p>
        </w:tc>
        <w:tc>
          <w:tcPr>
            <w:tcW w:type="dxa" w:w="43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Apply MI-based selection to reduce to top 200</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Grain uniqueness</w:t>
            </w:r>
          </w:p>
        </w:tc>
        <w:tc>
          <w:tcPr>
            <w:tcW w:type="dxa" w:w="2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 duplicate rows on grain keys</w:t>
            </w:r>
          </w:p>
        </w:tc>
        <w:tc>
          <w:tcPr>
            <w:tcW w:type="dxa" w:w="4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Halt pipeline; surface offending join to user</w:t>
            </w:r>
          </w:p>
        </w:tc>
      </w:tr>
    </w:tbl>
    <w:p>
      <w:pPr>
        <w:spacing w:after="0" w:before="320"/>
      </w:pPr>
    </w:p>
    <w:p>
      <w:pPr>
        <w:pStyle w:val="Heading2"/>
        <w:spacing w:after="120" w:before="360"/>
      </w:pPr>
      <w:r>
        <w:rPr>
          <w:rFonts w:ascii="Arial" w:cs="Arial" w:eastAsia="Arial" w:hAnsi="Arial"/>
          <w:b/>
          <w:bCs/>
          <w:color w:val="2B2D6E"/>
          <w:sz w:val="28"/>
          <w:szCs w:val="28"/>
        </w:rPr>
        <w:t xml:space="preserve">4.5 Stage 4 — Model Training &amp; Backtesting Loop</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4F46E5"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PURPOSE</w:t>
            </w:r>
          </w:p>
        </w:tc>
        <w:tc>
          <w:tcPr>
            <w:tcW w:type="dxa" w:w="9160"/>
            <w:shd w:fill="EEF2FF" w:val="clear"/>
            <w:tcMar>
              <w:top w:type="dxa" w:w="80"/>
              <w:left w:type="dxa" w:w="160"/>
              <w:bottom w:type="dxa" w:w="80"/>
              <w:right w:type="dxa" w:w="120"/>
            </w:tcMar>
          </w:tcPr>
          <w:p>
            <w:r>
              <w:rPr>
                <w:rFonts w:ascii="Arial" w:cs="Arial" w:eastAsia="Arial" w:hAnsi="Arial"/>
                <w:color w:val="1F2937"/>
                <w:sz w:val="21"/>
                <w:szCs w:val="21"/>
              </w:rPr>
              <w:t xml:space="preserve">Train candidate models, validate them with walk-forward backtesting (not static splits), and promote only models that meet defined performance thresholds. A deterministic repair loop re-trains with targeted fixes — not full regeneration — before escalating to the user.</w:t>
            </w:r>
          </w:p>
        </w:tc>
      </w:tr>
    </w:tbl>
    <w:p>
      <w:pPr>
        <w:spacing w:after="0" w:before="160"/>
      </w:pPr>
    </w:p>
    <w:p>
      <w:pPr>
        <w:pStyle w:val="Heading3"/>
        <w:spacing w:after="80" w:before="240"/>
      </w:pPr>
      <w:r>
        <w:rPr>
          <w:rFonts w:ascii="Arial" w:cs="Arial" w:eastAsia="Arial" w:hAnsi="Arial"/>
          <w:b/>
          <w:bCs/>
          <w:color w:val="4F46E5"/>
          <w:sz w:val="24"/>
          <w:szCs w:val="24"/>
        </w:rPr>
        <w:t xml:space="preserve">4.5.1 Model Selection Logic</w:t>
      </w:r>
    </w:p>
    <w:p>
      <w:pPr>
        <w:pStyle w:val="ListParagraph"/>
        <w:numPr>
          <w:ilvl w:val="0"/>
          <w:numId w:val="2"/>
        </w:numPr>
        <w:spacing w:after="40" w:before="40"/>
        <w:ind w:left="720" w:hanging="360"/>
      </w:pPr>
      <w:r>
        <w:rPr>
          <w:rFonts w:ascii="Arial" w:cs="Arial" w:eastAsia="Arial" w:hAnsi="Arial"/>
          <w:b/>
          <w:bCs/>
          <w:color w:val="2B2D6E"/>
          <w:sz w:val="22"/>
          <w:szCs w:val="22"/>
        </w:rPr>
        <w:t xml:space="preserve">Continuous regression targets: </w:t>
      </w:r>
      <w:r>
        <w:rPr>
          <w:rFonts w:ascii="Arial" w:cs="Arial" w:eastAsia="Arial" w:hAnsi="Arial"/>
          <w:color w:val="1F2937"/>
          <w:sz w:val="22"/>
          <w:szCs w:val="22"/>
        </w:rPr>
        <w:t xml:space="preserve">XGBoost (primary), LightGBM (secondary), Ridge regression (linear baseline). If Prophet is appropriate (pure date-grain time series with no non-temporal features), it is added as a fourth candidate.</w:t>
      </w:r>
    </w:p>
    <w:p>
      <w:pPr>
        <w:pStyle w:val="ListParagraph"/>
        <w:numPr>
          <w:ilvl w:val="0"/>
          <w:numId w:val="2"/>
        </w:numPr>
        <w:spacing w:after="40" w:before="40"/>
        <w:ind w:left="720" w:hanging="360"/>
      </w:pPr>
      <w:r>
        <w:rPr>
          <w:rFonts w:ascii="Arial" w:cs="Arial" w:eastAsia="Arial" w:hAnsi="Arial"/>
          <w:b/>
          <w:bCs/>
          <w:color w:val="2B2D6E"/>
          <w:sz w:val="22"/>
          <w:szCs w:val="22"/>
        </w:rPr>
        <w:t xml:space="preserve">Binary classification targets: </w:t>
      </w:r>
      <w:r>
        <w:rPr>
          <w:rFonts w:ascii="Arial" w:cs="Arial" w:eastAsia="Arial" w:hAnsi="Arial"/>
          <w:color w:val="1F2937"/>
          <w:sz w:val="22"/>
          <w:szCs w:val="22"/>
        </w:rPr>
        <w:t xml:space="preserve">XGBoost classifier (primary), LightGBM classifier (secondary), Logistic Regression (baseline). SMOTE applied if class imbalance detected.</w:t>
      </w:r>
    </w:p>
    <w:p>
      <w:pPr>
        <w:pStyle w:val="ListParagraph"/>
        <w:numPr>
          <w:ilvl w:val="0"/>
          <w:numId w:val="2"/>
        </w:numPr>
        <w:spacing w:after="40" w:before="40"/>
        <w:ind w:left="720" w:hanging="360"/>
      </w:pPr>
      <w:r>
        <w:rPr>
          <w:rFonts w:ascii="Arial" w:cs="Arial" w:eastAsia="Arial" w:hAnsi="Arial"/>
          <w:b/>
          <w:bCs/>
          <w:color w:val="2B2D6E"/>
          <w:sz w:val="22"/>
          <w:szCs w:val="22"/>
        </w:rPr>
        <w:t xml:space="preserve">Multiclass targets: </w:t>
      </w:r>
      <w:r>
        <w:rPr>
          <w:rFonts w:ascii="Arial" w:cs="Arial" w:eastAsia="Arial" w:hAnsi="Arial"/>
          <w:color w:val="1F2937"/>
          <w:sz w:val="22"/>
          <w:szCs w:val="22"/>
        </w:rPr>
        <w:t xml:space="preserve">XGBoost multiclass (primary), LightGBM multiclass (secondary), Multinomial Logistic Regression (baseline). One-vs-rest strategy if &gt; 10 classes.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Ensemble: </w:t>
      </w:r>
      <w:r>
        <w:rPr>
          <w:rFonts w:ascii="Arial" w:cs="Arial" w:eastAsia="Arial" w:hAnsi="Arial"/>
          <w:color w:val="1F2937"/>
          <w:sz w:val="22"/>
          <w:szCs w:val="22"/>
        </w:rPr>
        <w:t xml:space="preserve">If the top-2 models have validation metric within 3% of each other, a simple average ensemble is trained and evaluated. If the ensemble outperforms both constituents by &gt; 1%, it is promoted instead.</w:t>
      </w:r>
    </w:p>
    <w:p>
      <w:pPr>
        <w:spacing w:after="0" w:before="160"/>
      </w:pPr>
    </w:p>
    <w:p>
      <w:pPr>
        <w:pStyle w:val="Heading3"/>
        <w:spacing w:after="80" w:before="240"/>
      </w:pPr>
      <w:r>
        <w:rPr>
          <w:rFonts w:ascii="Arial" w:cs="Arial" w:eastAsia="Arial" w:hAnsi="Arial"/>
          <w:b/>
          <w:bCs/>
          <w:color w:val="4F46E5"/>
          <w:sz w:val="24"/>
          <w:szCs w:val="24"/>
        </w:rPr>
        <w:t xml:space="preserve">4.5.2 Walk-Forward Backtesting Protocol</w:t>
      </w:r>
    </w:p>
    <w:p>
      <w:pPr>
        <w:spacing w:after="60" w:before="60"/>
        <w:jc w:val="left"/>
      </w:pPr>
      <w:r>
        <w:rPr>
          <w:rFonts w:ascii="Arial" w:cs="Arial" w:eastAsia="Arial" w:hAnsi="Arial"/>
          <w:color w:val="1F2937"/>
          <w:sz w:val="22"/>
          <w:szCs w:val="22"/>
        </w:rPr>
        <w:t xml:space="preserve">Static train/test splits are prohibited on all temporal data. The walk-forward protocol is as follows:</w:t>
      </w:r>
    </w:p>
    <w:p>
      <w:pPr>
        <w:pStyle w:val="ListParagraph"/>
        <w:numPr>
          <w:ilvl w:val="0"/>
          <w:numId w:val="3"/>
        </w:numPr>
        <w:spacing w:after="40" w:before="40"/>
        <w:ind w:left="720" w:hanging="360"/>
      </w:pPr>
      <w:r>
        <w:rPr>
          <w:rFonts w:ascii="Arial" w:cs="Arial" w:eastAsia="Arial" w:hAnsi="Arial"/>
          <w:color w:val="1F2937"/>
          <w:sz w:val="22"/>
          <w:szCs w:val="22"/>
        </w:rPr>
        <w:t xml:space="preserve">Divide training data into 5 equally-sized expanding windows.</w:t>
      </w:r>
    </w:p>
    <w:p>
      <w:pPr>
        <w:pStyle w:val="ListParagraph"/>
        <w:numPr>
          <w:ilvl w:val="0"/>
          <w:numId w:val="3"/>
        </w:numPr>
        <w:spacing w:after="40" w:before="40"/>
        <w:ind w:left="720" w:hanging="360"/>
      </w:pPr>
      <w:r>
        <w:rPr>
          <w:rFonts w:ascii="Arial" w:cs="Arial" w:eastAsia="Arial" w:hAnsi="Arial"/>
          <w:color w:val="1F2937"/>
          <w:sz w:val="22"/>
          <w:szCs w:val="22"/>
        </w:rPr>
        <w:t xml:space="preserve">For window i: train on all data in windows 1..i, predict on window i+1.</w:t>
      </w:r>
    </w:p>
    <w:p>
      <w:pPr>
        <w:pStyle w:val="ListParagraph"/>
        <w:numPr>
          <w:ilvl w:val="0"/>
          <w:numId w:val="3"/>
        </w:numPr>
        <w:spacing w:after="40" w:before="40"/>
        <w:ind w:left="720" w:hanging="360"/>
      </w:pPr>
      <w:r>
        <w:rPr>
          <w:rFonts w:ascii="Arial" w:cs="Arial" w:eastAsia="Arial" w:hAnsi="Arial"/>
          <w:color w:val="1F2937"/>
          <w:sz w:val="22"/>
          <w:szCs w:val="22"/>
        </w:rPr>
        <w:t xml:space="preserve">Compute MAPE, RMSE, and directional accuracy for each window.</w:t>
      </w:r>
    </w:p>
    <w:p>
      <w:pPr>
        <w:pStyle w:val="ListParagraph"/>
        <w:numPr>
          <w:ilvl w:val="0"/>
          <w:numId w:val="3"/>
        </w:numPr>
        <w:spacing w:after="40" w:before="40"/>
        <w:ind w:left="720" w:hanging="360"/>
      </w:pPr>
      <w:r>
        <w:rPr>
          <w:rFonts w:ascii="Arial" w:cs="Arial" w:eastAsia="Arial" w:hAnsi="Arial"/>
          <w:color w:val="1F2937"/>
          <w:sz w:val="22"/>
          <w:szCs w:val="22"/>
        </w:rPr>
        <w:t xml:space="preserve">The reported validation metric is the mean across all 5 windows.</w:t>
      </w:r>
    </w:p>
    <w:p>
      <w:pPr>
        <w:pStyle w:val="ListParagraph"/>
        <w:numPr>
          <w:ilvl w:val="0"/>
          <w:numId w:val="3"/>
        </w:numPr>
        <w:spacing w:after="40" w:before="40"/>
        <w:ind w:left="720" w:hanging="360"/>
      </w:pPr>
      <w:r>
        <w:rPr>
          <w:rFonts w:ascii="Arial" w:cs="Arial" w:eastAsia="Arial" w:hAnsi="Arial"/>
          <w:color w:val="1F2937"/>
          <w:sz w:val="22"/>
          <w:szCs w:val="22"/>
        </w:rPr>
        <w:t xml:space="preserve">The worst single window metric must not exceed 1.5× the mean (no catastrophic failure windows).</w:t>
      </w:r>
    </w:p>
    <w:p>
      <w:pPr>
        <w:pStyle w:val="ListParagraph"/>
        <w:numPr>
          <w:ilvl w:val="0"/>
          <w:numId w:val="3"/>
        </w:numPr>
        <w:spacing w:after="40" w:before="40"/>
        <w:ind w:left="720" w:hanging="360"/>
      </w:pPr>
      <w:r>
        <w:rPr>
          <w:rFonts w:ascii="Arial" w:cs="Arial" w:eastAsia="Arial" w:hAnsi="Arial"/>
          <w:color w:val="1F2937"/>
          <w:sz w:val="22"/>
          <w:szCs w:val="22"/>
        </w:rPr>
        <w:t xml:space="preserve">Final test set (most recent 15%) is held out entirely and only used for promotion decision — never for hyperparameter tuning.</w:t>
      </w:r>
    </w:p>
    <w:p>
      <w:pPr>
        <w:spacing w:after="0" w:before="160"/>
      </w:pPr>
    </w:p>
    <w:p>
      <w:pPr>
        <w:pStyle w:val="Heading3"/>
        <w:spacing w:after="80" w:before="240"/>
      </w:pPr>
      <w:r>
        <w:rPr>
          <w:rFonts w:ascii="Arial" w:cs="Arial" w:eastAsia="Arial" w:hAnsi="Arial"/>
          <w:b/>
          <w:bCs/>
          <w:color w:val="4F46E5"/>
          <w:sz w:val="24"/>
          <w:szCs w:val="24"/>
        </w:rPr>
        <w:t xml:space="preserve">4.5.3 Promotion Criteria (all must pass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24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W w:type="dxa" w:w="41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Validation MAPE (regression)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15%</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Operationally meaningful prediction accuracy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Worst walk-forward window MAPE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25%</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No catastrophic failure in any time window</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Test set MAPE vs validation MAPE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Test ≤ validation × 1.2</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Detects overfitting to validation period</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Feature importance concentration</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Top 10 features explain ≥ 70% variance</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Model relies on meaningful signals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Calibration (classification)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Brier score &lt; 0.2</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Predicted probabilities are trustworthy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Training time ceiling</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15 minutes wall clock</w:t>
            </w:r>
          </w:p>
        </w:tc>
        <w:tc>
          <w:tcPr>
            <w:tcW w:type="dxa" w:w="4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Protects UX; longer runs escalate to async</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Minimum test set size</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 100 rows</w:t>
            </w:r>
          </w:p>
        </w:tc>
        <w:tc>
          <w:tcPr>
            <w:tcW w:type="dxa" w:w="4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Promotion decision has statistical power</w:t>
            </w:r>
          </w:p>
        </w:tc>
      </w:tr>
    </w:tbl>
    <w:p>
      <w:pPr>
        <w:spacing w:after="0" w:before="160"/>
      </w:pPr>
    </w:p>
    <w:p>
      <w:pPr>
        <w:pStyle w:val="Heading3"/>
        <w:spacing w:after="80" w:before="240"/>
      </w:pPr>
      <w:r>
        <w:rPr>
          <w:rFonts w:ascii="Arial" w:cs="Arial" w:eastAsia="Arial" w:hAnsi="Arial"/>
          <w:b/>
          <w:bCs/>
          <w:color w:val="4F46E5"/>
          <w:sz w:val="24"/>
          <w:szCs w:val="24"/>
        </w:rPr>
        <w:t xml:space="preserve">4.5.4 Repair Loop Protocol</w:t>
      </w:r>
    </w:p>
    <w:p>
      <w:pPr>
        <w:spacing w:after="60" w:before="60"/>
        <w:jc w:val="left"/>
      </w:pPr>
      <w:r>
        <w:rPr>
          <w:rFonts w:ascii="Arial" w:cs="Arial" w:eastAsia="Arial" w:hAnsi="Arial"/>
          <w:color w:val="1F2937"/>
          <w:sz w:val="22"/>
          <w:szCs w:val="22"/>
        </w:rPr>
        <w:t xml:space="preserve">When a promotion criterion fails, the system executes a targeted repair before escalating to the user. Maximum 3 repair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65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Targeted Repair Action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Validation MAPE &gt; 15%</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Expand hyperparameter search space (n_trials × 2); add top-3 dropped collinear features back as candidates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Overfit detected (test &gt;&gt; validation)</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Increase regularization (XGB: add reg_lambda, LGB: add min_child_samples); reduce max_depth by 1</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Feature importance too diffuse</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Apply recursive feature elimination; retrain with top-30 features only</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Worst window &gt; 25% MAPE</w:t>
            </w:r>
          </w:p>
        </w:tc>
        <w:tc>
          <w:tcPr>
            <w:tcW w:type="dxa" w:w="6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Add window-specific calendar features for that time period; check for data quality anomalies in that window</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Training time exceeded</w:t>
            </w:r>
          </w:p>
        </w:tc>
        <w:tc>
          <w:tcPr>
            <w:tcW w:type="dxa" w:w="6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Switch to LightGBM (faster) if XGBoost primary; reduce n_trials to 15; enable early stopping</w:t>
            </w:r>
          </w:p>
        </w:tc>
      </w:tr>
    </w:tbl>
    <w:p>
      <w:pPr>
        <w:spacing w:after="0" w:before="160"/>
      </w:pPr>
    </w:p>
    <w:p>
      <w:pPr>
        <w:pStyle w:val="Heading3"/>
        <w:spacing w:after="80" w:before="240"/>
      </w:pPr>
      <w:r>
        <w:rPr>
          <w:rFonts w:ascii="Arial" w:cs="Arial" w:eastAsia="Arial" w:hAnsi="Arial"/>
          <w:b/>
          <w:bCs/>
          <w:color w:val="4F46E5"/>
          <w:sz w:val="24"/>
          <w:szCs w:val="24"/>
        </w:rPr>
        <w:t xml:space="preserve">4.5.5 Model Trial Leaderboard — Specification</w:t>
      </w:r>
    </w:p>
    <w:p>
      <w:pPr>
        <w:spacing w:after="60" w:before="60"/>
        <w:jc w:val="left"/>
      </w:pPr>
      <w:r>
        <w:rPr>
          <w:rFonts w:ascii="Arial" w:cs="Arial" w:eastAsia="Arial" w:hAnsi="Arial"/>
          <w:color w:val="1F2937"/>
          <w:sz w:val="22"/>
          <w:szCs w:val="22"/>
        </w:rPr>
        <w:t xml:space="preserve">Every trial run during training is logged to a leaderboard table stored alongside the model card. This table is surfaced directly in the artifact as an eighth dashboard panel and is also accessible via the model registry API.</w:t>
      </w:r>
    </w:p>
    <w:p>
      <w:pPr>
        <w:pStyle w:val="ListParagraph"/>
        <w:numPr>
          <w:ilvl w:val="0"/>
          <w:numId w:val="2"/>
        </w:numPr>
        <w:spacing w:after="40" w:before="40"/>
        <w:ind w:left="720" w:hanging="360"/>
      </w:pPr>
      <w:r>
        <w:rPr>
          <w:rFonts w:ascii="Arial" w:cs="Arial" w:eastAsia="Arial" w:hAnsi="Arial"/>
          <w:b/>
          <w:bCs/>
          <w:color w:val="2B2D6E"/>
          <w:sz w:val="22"/>
          <w:szCs w:val="22"/>
        </w:rPr>
        <w:t xml:space="preserve">Leaderboard record fields: </w:t>
      </w:r>
      <w:r>
        <w:rPr>
          <w:rFonts w:ascii="Arial" w:cs="Arial" w:eastAsia="Arial" w:hAnsi="Arial"/>
          <w:color w:val="1F2937"/>
          <w:sz w:val="22"/>
          <w:szCs w:val="22"/>
        </w:rPr>
        <w:t xml:space="preserve">{ trial_id, algorithm, hyperparameters (JSON), validation_mape, test_mape, training_duration_seconds, walk_forward_mapes (array of 5), promoted: bool, trade_off_summary: string }</w:t>
      </w:r>
    </w:p>
    <w:p>
      <w:pPr>
        <w:pStyle w:val="ListParagraph"/>
        <w:numPr>
          <w:ilvl w:val="0"/>
          <w:numId w:val="2"/>
        </w:numPr>
        <w:spacing w:after="40" w:before="40"/>
        <w:ind w:left="720" w:hanging="360"/>
      </w:pPr>
      <w:r>
        <w:rPr>
          <w:rFonts w:ascii="Arial" w:cs="Arial" w:eastAsia="Arial" w:hAnsi="Arial"/>
          <w:b/>
          <w:bCs/>
          <w:color w:val="2B2D6E"/>
          <w:sz w:val="22"/>
          <w:szCs w:val="22"/>
        </w:rPr>
        <w:t xml:space="preserve">Trade-off summary generation: </w:t>
      </w:r>
      <w:r>
        <w:rPr>
          <w:rFonts w:ascii="Arial" w:cs="Arial" w:eastAsia="Arial" w:hAnsi="Arial"/>
          <w:color w:val="1F2937"/>
          <w:sz w:val="22"/>
          <w:szCs w:val="22"/>
        </w:rPr>
        <w:t xml:space="preserve">After all trials complete, a summary agent produces a one-sentence plain-English trade-off note per non-promoted model explaining the specific accuracy/speed/complexity trade-off relative to the winner (e.g. 'LightGBM achieved 9.2% MAPE vs the winner at 8.9% but trains 4x faster — switch if refresh latency matters more than accuracy').</w:t>
      </w:r>
    </w:p>
    <w:p>
      <w:pPr>
        <w:pStyle w:val="ListParagraph"/>
        <w:numPr>
          <w:ilvl w:val="0"/>
          <w:numId w:val="2"/>
        </w:numPr>
        <w:spacing w:after="40" w:before="40"/>
        <w:ind w:left="720" w:hanging="360"/>
      </w:pPr>
      <w:r>
        <w:rPr>
          <w:rFonts w:ascii="Arial" w:cs="Arial" w:eastAsia="Arial" w:hAnsi="Arial"/>
          <w:b/>
          <w:bCs/>
          <w:color w:val="2B2D6E"/>
          <w:sz w:val="22"/>
          <w:szCs w:val="22"/>
        </w:rPr>
        <w:t xml:space="preserve">User champion override: </w:t>
      </w:r>
      <w:r>
        <w:rPr>
          <w:rFonts w:ascii="Arial" w:cs="Arial" w:eastAsia="Arial" w:hAnsi="Arial"/>
          <w:color w:val="1F2937"/>
          <w:sz w:val="22"/>
          <w:szCs w:val="22"/>
        </w:rPr>
        <w:t xml:space="preserve">The leaderboard panel in the artifact includes a 'Switch to this model' button for each non-promoted trial. Clicking it re-runs the Stage 5 persistence step with the selected model and regenerates the artifact — the previous champion is archived with a note recording why it was overridden.</w:t>
      </w:r>
    </w:p>
    <w:p>
      <w:pPr>
        <w:pStyle w:val="ListParagraph"/>
        <w:numPr>
          <w:ilvl w:val="0"/>
          <w:numId w:val="2"/>
        </w:numPr>
        <w:spacing w:after="40" w:before="40"/>
        <w:ind w:left="720" w:hanging="360"/>
      </w:pPr>
      <w:r>
        <w:rPr>
          <w:rFonts w:ascii="Arial" w:cs="Arial" w:eastAsia="Arial" w:hAnsi="Arial"/>
          <w:b/>
          <w:bCs/>
          <w:color w:val="2B2D6E"/>
          <w:sz w:val="22"/>
          <w:szCs w:val="22"/>
        </w:rPr>
        <w:t xml:space="preserve">Leaderboard API endpoint: </w:t>
      </w:r>
      <w:r>
        <w:rPr>
          <w:rFonts w:ascii="Arial" w:cs="Arial" w:eastAsia="Arial" w:hAnsi="Arial"/>
          <w:color w:val="1F2937"/>
          <w:sz w:val="22"/>
          <w:szCs w:val="22"/>
        </w:rPr>
        <w:t xml:space="preserve">/api/v1/models/{model_id}/leaderboard returns the full trial log as paginated JSON, enabling external tooling to consume trial history.</w:t>
      </w:r>
    </w:p>
    <w:p>
      <w:pPr>
        <w:spacing w:after="0" w:before="320"/>
      </w:pPr>
    </w:p>
    <w:p>
      <w:pPr>
        <w:pStyle w:val="Heading2"/>
        <w:spacing w:after="120" w:before="360"/>
      </w:pPr>
      <w:r>
        <w:rPr>
          <w:rFonts w:ascii="Arial" w:cs="Arial" w:eastAsia="Arial" w:hAnsi="Arial"/>
          <w:b/>
          <w:bCs/>
          <w:color w:val="2B2D6E"/>
          <w:sz w:val="28"/>
          <w:szCs w:val="28"/>
        </w:rPr>
        <w:t xml:space="preserve">4.6 Stage 5 — Gold Layer Output Persistence</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16A34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PURPOSE</w:t>
            </w:r>
          </w:p>
        </w:tc>
        <w:tc>
          <w:tcPr>
            <w:tcW w:type="dxa" w:w="9160"/>
            <w:shd w:fill="DCFCE7" w:val="clear"/>
            <w:tcMar>
              <w:top w:type="dxa" w:w="80"/>
              <w:left w:type="dxa" w:w="160"/>
              <w:bottom w:type="dxa" w:w="80"/>
              <w:right w:type="dxa" w:w="120"/>
            </w:tcMar>
          </w:tcPr>
          <w:p>
            <w:r>
              <w:rPr>
                <w:rFonts w:ascii="Arial" w:cs="Arial" w:eastAsia="Arial" w:hAnsi="Arial"/>
                <w:color w:val="1F2937"/>
                <w:sz w:val="21"/>
                <w:szCs w:val="21"/>
              </w:rPr>
              <w:t xml:space="preserve">Write model outputs back to the data warehouse as first-class governed tables. Prediction tables, SHAP explainability tables, and forward-looking forecast tables are written with the same governance metadata as any source table — they are queryable, lineage-tracked, and re-usable by future sessions.</w:t>
            </w:r>
          </w:p>
        </w:tc>
      </w:tr>
    </w:tbl>
    <w:p>
      <w:pPr>
        <w:spacing w:after="0" w:before="160"/>
      </w:pPr>
    </w:p>
    <w:p>
      <w:pPr>
        <w:pStyle w:val="Heading3"/>
        <w:spacing w:after="80" w:before="240"/>
      </w:pPr>
      <w:r>
        <w:rPr>
          <w:rFonts w:ascii="Arial" w:cs="Arial" w:eastAsia="Arial" w:hAnsi="Arial"/>
          <w:b/>
          <w:bCs/>
          <w:color w:val="4F46E5"/>
          <w:sz w:val="24"/>
          <w:szCs w:val="24"/>
        </w:rPr>
        <w:t xml:space="preserve">4.6.1 Output Table Schemas</w:t>
      </w:r>
    </w:p>
    <w:p>
      <w:pPr>
        <w:spacing w:after="60" w:before="200"/>
      </w:pPr>
      <w:r>
        <w:rPr>
          <w:rFonts w:ascii="Arial" w:cs="Arial" w:eastAsia="Arial" w:hAnsi="Arial"/>
          <w:b/>
          <w:bCs/>
          <w:color w:val="1F2937"/>
          <w:sz w:val="22"/>
          <w:szCs w:val="22"/>
        </w:rPr>
        <w:t xml:space="preserve">Predictions table: gold.predictions_{model_id}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grain_keys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VARIANT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All grain key values (e.g. location_id + report_date)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target_metric</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The metric name from the semantic layer</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actual_value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FLOAT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Observed value (null for future periods)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predicted_value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FLOAT</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Model prediction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lower_ci_95</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FLOAT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Lower bound of 95% confidence interval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upper_ci_95</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FLOAT</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Upper bound of 95% confidence interval</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residual</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FLOAT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actual_value − predicted_value (null for future)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split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train | validation | test | forecast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prediction_date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Timestamp when prediction was generated</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model_id</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Foreign key to model registry</w:t>
            </w:r>
          </w:p>
        </w:tc>
      </w:tr>
    </w:tbl>
    <w:p>
      <w:pPr>
        <w:spacing w:after="0" w:before="160"/>
      </w:pPr>
    </w:p>
    <w:p>
      <w:pPr>
        <w:spacing w:after="60" w:before="200"/>
      </w:pPr>
      <w:r>
        <w:rPr>
          <w:rFonts w:ascii="Arial" w:cs="Arial" w:eastAsia="Arial" w:hAnsi="Arial"/>
          <w:b/>
          <w:bCs/>
          <w:color w:val="1F2937"/>
          <w:sz w:val="22"/>
          <w:szCs w:val="22"/>
        </w:rPr>
        <w:t xml:space="preserve">Model insights table: gold.model_insights_{model_id}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grain_keys</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VARIANT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Grain key values for this row</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feature_name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Feature name from enriched feature manifest</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shap_value</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FLOAT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SHAP contribution for this feature on this row</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feature_value</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FLOAT</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Actual feature value used in prediction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abs_shap_rank</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w:t>
            </w:r>
          </w:p>
        </w:tc>
        <w:tc>
          <w:tcPr>
            <w:tcW w:type="dxa" w:w="6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Rank by absolute SHAP value for this grain instance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model_id</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VARCHAR</w:t>
            </w:r>
          </w:p>
        </w:tc>
        <w:tc>
          <w:tcPr>
            <w:tcW w:type="dxa" w:w="6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Foreign key to model registry</w:t>
            </w:r>
          </w:p>
        </w:tc>
      </w:tr>
    </w:tbl>
    <w:p>
      <w:pPr>
        <w:spacing w:after="0" w:before="160"/>
      </w:pPr>
    </w:p>
    <w:p>
      <w:pPr>
        <w:pStyle w:val="Heading3"/>
        <w:spacing w:after="80" w:before="240"/>
      </w:pPr>
      <w:r>
        <w:rPr>
          <w:rFonts w:ascii="Arial" w:cs="Arial" w:eastAsia="Arial" w:hAnsi="Arial"/>
          <w:b/>
          <w:bCs/>
          <w:color w:val="4F46E5"/>
          <w:sz w:val="24"/>
          <w:szCs w:val="24"/>
        </w:rPr>
        <w:t xml:space="preserve">4.6.2 Data Quality Gates — Stage 5</w:t>
      </w:r>
    </w:p>
    <w:p>
      <w:pPr>
        <w:pStyle w:val="ListParagraph"/>
        <w:numPr>
          <w:ilvl w:val="0"/>
          <w:numId w:val="2"/>
        </w:numPr>
        <w:spacing w:after="40" w:before="40"/>
        <w:ind w:left="720" w:hanging="360"/>
      </w:pPr>
      <w:r>
        <w:rPr>
          <w:rFonts w:ascii="Arial" w:cs="Arial" w:eastAsia="Arial" w:hAnsi="Arial"/>
          <w:b/>
          <w:bCs/>
          <w:color w:val="2B2D6E"/>
          <w:sz w:val="22"/>
          <w:szCs w:val="22"/>
        </w:rPr>
        <w:t xml:space="preserve">Row count tolerance: </w:t>
      </w:r>
      <w:r>
        <w:rPr>
          <w:rFonts w:ascii="Arial" w:cs="Arial" w:eastAsia="Arial" w:hAnsi="Arial"/>
          <w:color w:val="1F2937"/>
          <w:sz w:val="22"/>
          <w:szCs w:val="22"/>
        </w:rPr>
        <w:t xml:space="preserve">Written row count must be within 2% of expected (based on grain + date range). Larger discrepancy blocks the write and surfaces the delta to the user.</w:t>
      </w:r>
    </w:p>
    <w:p>
      <w:pPr>
        <w:pStyle w:val="ListParagraph"/>
        <w:numPr>
          <w:ilvl w:val="0"/>
          <w:numId w:val="2"/>
        </w:numPr>
        <w:spacing w:after="40" w:before="40"/>
        <w:ind w:left="720" w:hanging="360"/>
      </w:pPr>
      <w:r>
        <w:rPr>
          <w:rFonts w:ascii="Arial" w:cs="Arial" w:eastAsia="Arial" w:hAnsi="Arial"/>
          <w:b/>
          <w:bCs/>
          <w:color w:val="2B2D6E"/>
          <w:sz w:val="22"/>
          <w:szCs w:val="22"/>
        </w:rPr>
        <w:t xml:space="preserve">Prediction distribution check: </w:t>
      </w:r>
      <w:r>
        <w:rPr>
          <w:rFonts w:ascii="Arial" w:cs="Arial" w:eastAsia="Arial" w:hAnsi="Arial"/>
          <w:color w:val="1F2937"/>
          <w:sz w:val="22"/>
          <w:szCs w:val="22"/>
        </w:rPr>
        <w:t xml:space="preserve">Predicted_value distribution (mean, std, p5, p95) is compared to the training target distribution. If predicted mean deviates &gt; 3σ from training mean, the write is blocked as a model calibration failure.</w:t>
      </w:r>
    </w:p>
    <w:p>
      <w:pPr>
        <w:pStyle w:val="ListParagraph"/>
        <w:numPr>
          <w:ilvl w:val="0"/>
          <w:numId w:val="2"/>
        </w:numPr>
        <w:spacing w:after="40" w:before="40"/>
        <w:ind w:left="720" w:hanging="360"/>
      </w:pPr>
      <w:r>
        <w:rPr>
          <w:rFonts w:ascii="Arial" w:cs="Arial" w:eastAsia="Arial" w:hAnsi="Arial"/>
          <w:b/>
          <w:bCs/>
          <w:color w:val="2B2D6E"/>
          <w:sz w:val="22"/>
          <w:szCs w:val="22"/>
        </w:rPr>
        <w:t xml:space="preserve">CI integrity: </w:t>
      </w:r>
      <w:r>
        <w:rPr>
          <w:rFonts w:ascii="Arial" w:cs="Arial" w:eastAsia="Arial" w:hAnsi="Arial"/>
          <w:color w:val="1F2937"/>
          <w:sz w:val="22"/>
          <w:szCs w:val="22"/>
        </w:rPr>
        <w:t xml:space="preserve">lower_ci_95 &lt; predicted_value &lt; upper_ci_95 must hold for &gt; 99% of rows. Violations indicate a model implementation error, not a data issue.</w:t>
      </w:r>
    </w:p>
    <w:p>
      <w:pPr>
        <w:pStyle w:val="ListParagraph"/>
        <w:numPr>
          <w:ilvl w:val="0"/>
          <w:numId w:val="2"/>
        </w:numPr>
        <w:spacing w:after="40" w:before="40"/>
        <w:ind w:left="720" w:hanging="360"/>
      </w:pPr>
      <w:r>
        <w:rPr>
          <w:rFonts w:ascii="Arial" w:cs="Arial" w:eastAsia="Arial" w:hAnsi="Arial"/>
          <w:b/>
          <w:bCs/>
          <w:color w:val="2B2D6E"/>
          <w:sz w:val="22"/>
          <w:szCs w:val="22"/>
        </w:rPr>
        <w:t xml:space="preserve">Forecast horizon integrity: </w:t>
      </w:r>
      <w:r>
        <w:rPr>
          <w:rFonts w:ascii="Arial" w:cs="Arial" w:eastAsia="Arial" w:hAnsi="Arial"/>
          <w:color w:val="1F2937"/>
          <w:sz w:val="22"/>
          <w:szCs w:val="22"/>
        </w:rPr>
        <w:t xml:space="preserve">No rows in the forecast split should have non-null actual_value (this would indicate future data contamination). Any violation is treated as a critical error.</w:t>
      </w:r>
    </w:p>
    <w:p>
      <w:pPr>
        <w:spacing w:after="0" w:before="320"/>
      </w:pPr>
    </w:p>
    <w:p>
      <w:pPr>
        <w:pStyle w:val="Heading2"/>
        <w:spacing w:after="120" w:before="360"/>
      </w:pPr>
      <w:r>
        <w:rPr>
          <w:rFonts w:ascii="Arial" w:cs="Arial" w:eastAsia="Arial" w:hAnsi="Arial"/>
          <w:b/>
          <w:bCs/>
          <w:color w:val="2B2D6E"/>
          <w:sz w:val="28"/>
          <w:szCs w:val="28"/>
        </w:rPr>
        <w:t xml:space="preserve">4.7 Stage 6 — Dashboard Artifact Generation</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4F46E5"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PURPOSE</w:t>
            </w:r>
          </w:p>
        </w:tc>
        <w:tc>
          <w:tcPr>
            <w:tcW w:type="dxa" w:w="9160"/>
            <w:shd w:fill="EEF2FF" w:val="clear"/>
            <w:tcMar>
              <w:top w:type="dxa" w:w="80"/>
              <w:left w:type="dxa" w:w="160"/>
              <w:bottom w:type="dxa" w:w="80"/>
              <w:right w:type="dxa" w:w="120"/>
            </w:tcMar>
          </w:tcPr>
          <w:p>
            <w:r>
              <w:rPr>
                <w:rFonts w:ascii="Arial" w:cs="Arial" w:eastAsia="Arial" w:hAnsi="Arial"/>
                <w:color w:val="1F2937"/>
                <w:sz w:val="21"/>
                <w:szCs w:val="21"/>
              </w:rPr>
              <w:t xml:space="preserve">Generate a production-quality, self-contained HTML dashboard artifact from the model outputs. The artifact is the primary deliverable of every AnalytIQ session — a live, filterable, embeddable dashboard that reads from gold layer API endpoints and requires no framework, build step, or deployment infrastructure to host.</w:t>
            </w:r>
          </w:p>
        </w:tc>
      </w:tr>
    </w:tbl>
    <w:p>
      <w:pPr>
        <w:spacing w:after="0" w:before="160"/>
      </w:pPr>
    </w:p>
    <w:p>
      <w:pPr>
        <w:pStyle w:val="Heading3"/>
        <w:spacing w:after="80" w:before="240"/>
      </w:pPr>
      <w:r>
        <w:rPr>
          <w:rFonts w:ascii="Arial" w:cs="Arial" w:eastAsia="Arial" w:hAnsi="Arial"/>
          <w:b/>
          <w:bCs/>
          <w:color w:val="4F46E5"/>
          <w:sz w:val="24"/>
          <w:szCs w:val="24"/>
        </w:rPr>
        <w:t xml:space="preserve">4.7.1 Artifact Structure — Required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3560"/>
      </w:tblGrid>
      <w:tr>
        <w:trPr>
          <w:tblHeader/>
        </w:trPr>
        <w:tc>
          <w:tcPr>
            <w:tcW w:type="dxa" w:w="16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24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18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35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Interactivity</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Header bar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 title, date range, last refreshed, share button, export menu</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 metadata</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Share button, export PDF/CSV</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KPI row</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3–4 metric cards: actual vs predicted, MAPE badge, trend arrow, period comparison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gold.predictions</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Period selector (WoW, MoM, YoY)</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Primary time series</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Actual vs predicted line chart with 95% CI ribbon, residuals subplot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gold.predictions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Date range brush, zoom</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Feature importance</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Horizontal bar chart of top-10 SHAP values, color-coded by direction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gold.model_insights</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Hover for feature definition</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Dimension breakdown</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Small multiples or heatmap by top categorical dimension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gold.predictions</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Dimension selector dropdown</w:t>
            </w:r>
          </w:p>
        </w:tc>
      </w:tr>
      <w:tr>
        <w:tc>
          <w:tcPr>
            <w:tcW w:type="dxa" w:w="1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Forecast panel</w:t>
            </w:r>
          </w:p>
        </w:tc>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14-day forward predictions with CI ribbon and uncertainty widening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gold.forecast</w:t>
            </w:r>
          </w:p>
        </w:tc>
        <w:tc>
          <w:tcPr>
            <w:tcW w:type="dxa" w:w="35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Horizon slider (7/14/30d)</w:t>
            </w:r>
          </w:p>
        </w:tc>
      </w:tr>
      <w:tr>
        <w:tc>
          <w:tcPr>
            <w:tcW w:type="dxa" w:w="1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quality footer</w:t>
            </w:r>
          </w:p>
        </w:tc>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ID, feature manifest version, DQ gate status, last refresh, lineage chain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 metadata</w:t>
            </w:r>
          </w:p>
        </w:tc>
        <w:tc>
          <w:tcPr>
            <w:tcW w:type="dxa" w:w="3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Click to expand full lineage</w:t>
            </w:r>
          </w:p>
        </w:tc>
      </w:tr>
    </w:tbl>
    <w:p>
      <w:pPr>
        <w:spacing w:after="0" w:before="160"/>
      </w:pPr>
    </w:p>
    <w:p>
      <w:pPr>
        <w:pStyle w:val="Heading3"/>
        <w:spacing w:after="80" w:before="240"/>
      </w:pPr>
      <w:r>
        <w:rPr>
          <w:rFonts w:ascii="Arial" w:cs="Arial" w:eastAsia="Arial" w:hAnsi="Arial"/>
          <w:b/>
          <w:bCs/>
          <w:color w:val="4F46E5"/>
          <w:sz w:val="24"/>
          <w:szCs w:val="24"/>
        </w:rPr>
        <w:t xml:space="preserve">4.7.2 Artifact Generation Agent — Internal Prompt</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4F46E5"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PROMPT</w:t>
            </w:r>
          </w:p>
        </w:tc>
        <w:tc>
          <w:tcPr>
            <w:tcW w:type="dxa" w:w="9160"/>
            <w:shd w:fill="EEF2FF" w:val="clear"/>
            <w:tcMar>
              <w:top w:type="dxa" w:w="80"/>
              <w:left w:type="dxa" w:w="160"/>
              <w:bottom w:type="dxa" w:w="80"/>
              <w:right w:type="dxa" w:w="120"/>
            </w:tcMar>
          </w:tcPr>
          <w:p>
            <w:r>
              <w:rPr>
                <w:rFonts w:ascii="Arial" w:cs="Arial" w:eastAsia="Arial" w:hAnsi="Arial"/>
                <w:color w:val="1F2937"/>
                <w:sz w:val="21"/>
                <w:szCs w:val="21"/>
              </w:rPr>
              <w:t xml:space="preserve">You are the dashboard artifact generation agent. You produce a single self-contained HTML file.
REQUIREMENTS:
- Single HTML file, all JS inline, CSS inline
- External dependencies ONLY from cdnjs.cloudflare.com:
    Recharts (via React CDN), D3 v7, lodash 4.x
- All data fetched via fetch() to gold layer REST endpoints at load time
- Zero hardcoded data in the HTML — the artifact must always show live data
- Dark mode via CSS custom properties that auto-detect prefers-color-scheme
- All text uses system font stack; no external font CDN calls
- Artifact must be embeddable as &lt;iframe src='...'&gt; with embed_token in query param
- All charts must be accessible: aria-label on svg, role='img', keyboard navigation on filters
- Share button must call the workspace API to generate a shareable link
- Every chart panel must have a download button (PNG via canvas.toBlob, CSV via Blob API)
- Target file size: &lt; 250KB uncompressed HTML
- Include &lt;meta name='analytiq-artifact-id'&gt; and &lt;meta name='workspace-id'&gt; tags
- State management: single JS object window.__analytiq_state; all filter updates go through one function updateFilters(patch) that re-renders all panels
QUALITY RULES:
- Filters must update ALL panels simultaneously — no stale panel states
- Error states: if any API call fails, show a bordered error card in that panel with a retry button — never a blank panel
- Loading states: skeleton loaders for all panels before data resolves
- Responsive layout: stack panels vertically on viewports &lt; 768px wide</w:t>
            </w:r>
          </w:p>
        </w:tc>
      </w:tr>
    </w:tbl>
    <w:p>
      <w:pPr>
        <w:spacing w:after="0" w:before="160"/>
      </w:pPr>
    </w:p>
    <w:p>
      <w:pPr>
        <w:pStyle w:val="Heading3"/>
        <w:spacing w:after="80" w:before="240"/>
      </w:pPr>
      <w:r>
        <w:rPr>
          <w:rFonts w:ascii="Arial" w:cs="Arial" w:eastAsia="Arial" w:hAnsi="Arial"/>
          <w:b/>
          <w:bCs/>
          <w:color w:val="4F46E5"/>
          <w:sz w:val="24"/>
          <w:szCs w:val="24"/>
        </w:rPr>
        <w:t xml:space="preserve">4.7.3 Click-to-Drill Interaction — Specification</w:t>
      </w:r>
    </w:p>
    <w:p>
      <w:pPr>
        <w:spacing w:after="60" w:before="60"/>
        <w:jc w:val="left"/>
      </w:pPr>
      <w:r>
        <w:rPr>
          <w:rFonts w:ascii="Arial" w:cs="Arial" w:eastAsia="Arial" w:hAnsi="Arial"/>
          <w:color w:val="1F2937"/>
          <w:sz w:val="22"/>
          <w:szCs w:val="22"/>
        </w:rPr>
        <w:t xml:space="preserve">Click-to-drill is a first-class artifact behavior, not an optional enhancement. Every chart panel must implement it. The interaction model is two-level:</w:t>
      </w:r>
    </w:p>
    <w:p>
      <w:pPr>
        <w:pStyle w:val="ListParagraph"/>
        <w:numPr>
          <w:ilvl w:val="0"/>
          <w:numId w:val="3"/>
        </w:numPr>
        <w:spacing w:after="40" w:before="40"/>
        <w:ind w:left="720" w:hanging="360"/>
      </w:pPr>
      <w:r>
        <w:rPr>
          <w:rFonts w:ascii="Arial" w:cs="Arial" w:eastAsia="Arial" w:hAnsi="Arial"/>
          <w:color w:val="1F2937"/>
          <w:sz w:val="22"/>
          <w:szCs w:val="22"/>
        </w:rPr>
        <w:t xml:space="preserve">Single click on any chart element (bar, line point, heatmap cell, small multiple): all other panels cross-filter to that dimension value. A filter chip appears in the header bar showing the active drill dimension. All API calls re-execute with the filter appended.</w:t>
      </w:r>
    </w:p>
    <w:p>
      <w:pPr>
        <w:pStyle w:val="ListParagraph"/>
        <w:numPr>
          <w:ilvl w:val="0"/>
          <w:numId w:val="3"/>
        </w:numPr>
        <w:spacing w:after="40" w:before="40"/>
        <w:ind w:left="720" w:hanging="360"/>
      </w:pPr>
      <w:r>
        <w:rPr>
          <w:rFonts w:ascii="Arial" w:cs="Arial" w:eastAsia="Arial" w:hAnsi="Arial"/>
          <w:color w:val="1F2937"/>
          <w:sz w:val="22"/>
          <w:szCs w:val="22"/>
        </w:rPr>
        <w:t xml:space="preserve">Double click (or second click on same element): a drill-through drawer slides in from the right, fetching the underlying grain-level rows from the gold layer API with a row limit of 1,000. The drawer shows a sortable table with all grain key columns plus the target metric, predicted value, residual, and top-3 SHAP features per row. A CSV export button at the drawer footer downloads all rows without the limit.</w:t>
      </w:r>
    </w:p>
    <w:p>
      <w:pPr>
        <w:spacing w:after="60" w:before="60"/>
        <w:jc w:val="left"/>
      </w:pPr>
      <w:r>
        <w:rPr>
          <w:rFonts w:ascii="Arial" w:cs="Arial" w:eastAsia="Arial" w:hAnsi="Arial"/>
          <w:color w:val="1F2937"/>
          <w:sz w:val="22"/>
          <w:szCs w:val="22"/>
        </w:rPr>
        <w:t xml:space="preserve">Drill state is serializable: the URL hash is updated with the active drill filters, so sharing the artifact URL while a drill is active shares the drilled view.</w:t>
      </w:r>
    </w:p>
    <w:p>
      <w:pPr>
        <w:spacing w:after="0" w:before="160"/>
      </w:pPr>
    </w:p>
    <w:p>
      <w:pPr>
        <w:pStyle w:val="Heading3"/>
        <w:spacing w:after="80" w:before="240"/>
      </w:pPr>
      <w:r>
        <w:rPr>
          <w:rFonts w:ascii="Arial" w:cs="Arial" w:eastAsia="Arial" w:hAnsi="Arial"/>
          <w:b/>
          <w:bCs/>
          <w:color w:val="4F46E5"/>
          <w:sz w:val="24"/>
          <w:szCs w:val="24"/>
        </w:rPr>
        <w:t xml:space="preserve">4.7.4 Natural Language Annotations — Specification</w:t>
      </w:r>
    </w:p>
    <w:p>
      <w:pPr>
        <w:spacing w:after="60" w:before="60"/>
        <w:jc w:val="left"/>
      </w:pPr>
      <w:r>
        <w:rPr>
          <w:rFonts w:ascii="Arial" w:cs="Arial" w:eastAsia="Arial" w:hAnsi="Arial"/>
          <w:color w:val="1F2937"/>
          <w:sz w:val="22"/>
          <w:szCs w:val="22"/>
        </w:rPr>
        <w:t xml:space="preserve">Annotations are a structured collaboration layer built into every artifact. They are not comments on the artifact as a whole — they are keyed to specific data points.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Annotation creation: </w:t>
      </w:r>
      <w:r>
        <w:rPr>
          <w:rFonts w:ascii="Arial" w:cs="Arial" w:eastAsia="Arial" w:hAnsi="Arial"/>
          <w:color w:val="1F2937"/>
          <w:sz w:val="22"/>
          <w:szCs w:val="22"/>
        </w:rPr>
        <w:t xml:space="preserve">Any viewer with at least Viewer role can right-click (or long-press on mobile) any data point on any chart to open an annotation input. The grain key values and timestamp of the selected point are captured automatically. The user types a plain-English annotation of up to 500 characters and optionally selects a category tag: operational event, data quality note, external factor, or model anomaly.</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Annotation storage schema: </w:t>
      </w:r>
      <w:r>
        <w:rPr>
          <w:rFonts w:ascii="Arial" w:cs="Arial" w:eastAsia="Arial" w:hAnsi="Arial"/>
          <w:color w:val="1F2937"/>
          <w:sz w:val="22"/>
          <w:szCs w:val="22"/>
        </w:rPr>
        <w:t xml:space="preserve">{ annotation_id, artifact_id, grain_keys (JSON), chart_panel_id, annotation_text, category, author_id, created_at, is_ml_feature_candidate: bool }</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Annotation rendering: </w:t>
      </w:r>
      <w:r>
        <w:rPr>
          <w:rFonts w:ascii="Arial" w:cs="Arial" w:eastAsia="Arial" w:hAnsi="Arial"/>
          <w:color w:val="1F2937"/>
          <w:sz w:val="22"/>
          <w:szCs w:val="22"/>
        </w:rPr>
        <w:t xml:space="preserve">On artifact load, all annotations for the active date range are fetched and rendered as small marker dots on the relevant chart panels. Hovering a marker shows the annotation text, author, and timestamp in a tooltip. Markers are togglable via a show/hide annotations control in the header bar.</w:t>
      </w:r>
    </w:p>
    <w:p>
      <w:pPr>
        <w:pStyle w:val="ListParagraph"/>
        <w:numPr>
          <w:ilvl w:val="0"/>
          <w:numId w:val="2"/>
        </w:numPr>
        <w:spacing w:after="40" w:before="40"/>
        <w:ind w:left="720" w:hanging="360"/>
      </w:pPr>
      <w:r>
        <w:rPr>
          <w:rFonts w:ascii="Arial" w:cs="Arial" w:eastAsia="Arial" w:hAnsi="Arial"/>
          <w:b/>
          <w:bCs/>
          <w:color w:val="2B2D6E"/>
          <w:sz w:val="22"/>
          <w:szCs w:val="22"/>
        </w:rPr>
        <w:t xml:space="preserve">ML feature injection: </w:t>
      </w:r>
      <w:r>
        <w:rPr>
          <w:rFonts w:ascii="Arial" w:cs="Arial" w:eastAsia="Arial" w:hAnsi="Arial"/>
          <w:color w:val="1F2937"/>
          <w:sz w:val="22"/>
          <w:szCs w:val="22"/>
        </w:rPr>
        <w:t xml:space="preserve">When a new session is started that uses the same grain and target metric as an artifact with annotations, the session planner surfaces an opt-in: 'This analysis covers data points with 14 annotations. Include them as a binary feature (is_annotated_event)?' If accepted, the feature engineering agent adds is_annotated_event (1 where annotations exist, 0 elsewhere) and annotation_category (one-hot encoded) to the feature manifest. Annotation-derived features always carry leakage_risk: 0.0 because they are entered by humans after the fact.</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Annotation API: </w:t>
      </w:r>
      <w:r>
        <w:rPr>
          <w:rFonts w:ascii="Arial" w:cs="Arial" w:eastAsia="Arial" w:hAnsi="Arial"/>
          <w:color w:val="1F2937"/>
          <w:sz w:val="22"/>
          <w:szCs w:val="22"/>
        </w:rPr>
        <w:t xml:space="preserve">GET /api/v1/artifacts/{id}/annotations returns all annotations as JSON. POST /api/v1/artifacts/{id}/annotations creates a new annotation. DELETE requires Owner role.</w:t>
      </w:r>
    </w:p>
    <w:p>
      <w:pPr>
        <w:spacing w:after="0" w:before="160"/>
      </w:pPr>
    </w:p>
    <w:p>
      <w:pPr>
        <w:pStyle w:val="Heading3"/>
        <w:spacing w:after="80" w:before="240"/>
      </w:pPr>
      <w:r>
        <w:rPr>
          <w:rFonts w:ascii="Arial" w:cs="Arial" w:eastAsia="Arial" w:hAnsi="Arial"/>
          <w:b/>
          <w:bCs/>
          <w:color w:val="4F46E5"/>
          <w:sz w:val="24"/>
          <w:szCs w:val="24"/>
        </w:rPr>
        <w:t xml:space="preserve">4.7.5 Metric Alert Subscriptions — Specification</w:t>
      </w:r>
    </w:p>
    <w:p>
      <w:pPr>
        <w:pStyle w:val="ListParagraph"/>
        <w:numPr>
          <w:ilvl w:val="0"/>
          <w:numId w:val="2"/>
        </w:numPr>
        <w:spacing w:after="40" w:before="40"/>
        <w:ind w:left="720" w:hanging="360"/>
      </w:pPr>
      <w:r>
        <w:rPr>
          <w:rFonts w:ascii="Arial" w:cs="Arial" w:eastAsia="Arial" w:hAnsi="Arial"/>
          <w:b/>
          <w:bCs/>
          <w:color w:val="2B2D6E"/>
          <w:sz w:val="22"/>
          <w:szCs w:val="22"/>
        </w:rPr>
        <w:t xml:space="preserve">Subscription creation: </w:t>
      </w:r>
      <w:r>
        <w:rPr>
          <w:rFonts w:ascii="Arial" w:cs="Arial" w:eastAsia="Arial" w:hAnsi="Arial"/>
          <w:color w:val="1F2937"/>
          <w:sz w:val="22"/>
          <w:szCs w:val="22"/>
        </w:rPr>
        <w:t xml:space="preserve">Any viewer can open the metric alerts panel from the artifact header menu and define a threshold rule: select a metric, select a comparison operator (&gt;, &lt;, % change WoW/MoM), enter a threshold value, and optionally scope to a specific dimension value (e.g. only for location Springfield).</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Alert evaluation: </w:t>
      </w:r>
      <w:r>
        <w:rPr>
          <w:rFonts w:ascii="Arial" w:cs="Arial" w:eastAsia="Arial" w:hAnsi="Arial"/>
          <w:color w:val="1F2937"/>
          <w:sz w:val="22"/>
          <w:szCs w:val="22"/>
        </w:rPr>
        <w:t xml:space="preserve">On every scheduled artifact refresh, the alert evaluation service runs all active subscription rules against the new prediction data. Evaluation uses actual_value where available, predicted_value for future periods.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Alert delivery: </w:t>
      </w:r>
      <w:r>
        <w:rPr>
          <w:rFonts w:ascii="Arial" w:cs="Arial" w:eastAsia="Arial" w:hAnsi="Arial"/>
          <w:color w:val="1F2937"/>
          <w:sz w:val="22"/>
          <w:szCs w:val="22"/>
        </w:rPr>
        <w:t xml:space="preserve">Email (always available) or Slack (if workspace Slack integration is configured). Alert messages include: metric name, current value, threshold, the dimension value that triggered the alert, and a direct deep link to the artifact pre-filtered to the triggering dimension.</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Alert schema: </w:t>
      </w:r>
      <w:r>
        <w:rPr>
          <w:rFonts w:ascii="Arial" w:cs="Arial" w:eastAsia="Arial" w:hAnsi="Arial"/>
          <w:color w:val="1F2937"/>
          <w:sz w:val="22"/>
          <w:szCs w:val="22"/>
        </w:rPr>
        <w:t xml:space="preserve">{ subscription_id, artifact_id, metric, operator, threshold, dimension_filter (optional), delivery_channel, subscriber_id, created_at, last_triggered_at, trigger_count }</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Alert muting: </w:t>
      </w:r>
      <w:r>
        <w:rPr>
          <w:rFonts w:ascii="Arial" w:cs="Arial" w:eastAsia="Arial" w:hAnsi="Arial"/>
          <w:color w:val="1F2937"/>
          <w:sz w:val="22"/>
          <w:szCs w:val="22"/>
        </w:rPr>
        <w:t xml:space="preserve">Subscribers can mute an alert for 1, 7, or 30 days directly from the alert email/Slack message without opening the artifact.</w:t>
      </w:r>
    </w:p>
    <w:p>
      <w:pPr>
        <w:spacing w:after="0" w:before="160"/>
      </w:pPr>
    </w:p>
    <w:p>
      <w:pPr>
        <w:pStyle w:val="Heading3"/>
        <w:spacing w:after="80" w:before="240"/>
      </w:pPr>
      <w:r>
        <w:rPr>
          <w:rFonts w:ascii="Arial" w:cs="Arial" w:eastAsia="Arial" w:hAnsi="Arial"/>
          <w:b/>
          <w:bCs/>
          <w:color w:val="4F46E5"/>
          <w:sz w:val="24"/>
          <w:szCs w:val="24"/>
        </w:rPr>
        <w:t xml:space="preserve">4.7.6 Proactive Insight Detection — Specification</w:t>
      </w:r>
    </w:p>
    <w:p>
      <w:pPr>
        <w:spacing w:after="60" w:before="60"/>
        <w:jc w:val="left"/>
      </w:pPr>
      <w:r>
        <w:rPr>
          <w:rFonts w:ascii="Arial" w:cs="Arial" w:eastAsia="Arial" w:hAnsi="Arial"/>
          <w:color w:val="1F2937"/>
          <w:sz w:val="22"/>
          <w:szCs w:val="22"/>
        </w:rPr>
        <w:t xml:space="preserve">After every artifact generation and every scheduled refresh, a background insight agent runs asynchronously against the gold table. It never blocks artifact delivery — insights surface as a dismissible panel below the main dashboard within 60 seconds of artifact load.</w:t>
      </w:r>
    </w:p>
    <w:p>
      <w:pPr>
        <w:pStyle w:val="ListParagraph"/>
        <w:numPr>
          <w:ilvl w:val="0"/>
          <w:numId w:val="2"/>
        </w:numPr>
        <w:spacing w:after="40" w:before="40"/>
        <w:ind w:left="720" w:hanging="360"/>
      </w:pPr>
      <w:r>
        <w:rPr>
          <w:rFonts w:ascii="Arial" w:cs="Arial" w:eastAsia="Arial" w:hAnsi="Arial"/>
          <w:b/>
          <w:bCs/>
          <w:color w:val="2B2D6E"/>
          <w:sz w:val="22"/>
          <w:szCs w:val="22"/>
        </w:rPr>
        <w:t xml:space="preserve">Insight types detected: </w:t>
      </w:r>
      <w:r>
        <w:rPr>
          <w:rFonts w:ascii="Arial" w:cs="Arial" w:eastAsia="Arial" w:hAnsi="Arial"/>
          <w:color w:val="1F2937"/>
          <w:sz w:val="22"/>
          <w:szCs w:val="22"/>
        </w:rPr>
        <w:t xml:space="preserve">Point anomalies (individual grain values &gt; 2.5 standard deviations from rolling mean); trend breaks (slope change detected via Pettitt test); cross-dimensional outliers (a dimension value performing &gt; 1.5 IQR above/below its cohort peers); unexpected correlations between two metrics not in the original analysis (Spearman |r| &gt; 0.7 with p &lt; 0.01).</w:t>
      </w:r>
    </w:p>
    <w:p>
      <w:pPr>
        <w:pStyle w:val="ListParagraph"/>
        <w:numPr>
          <w:ilvl w:val="0"/>
          <w:numId w:val="2"/>
        </w:numPr>
        <w:spacing w:after="40" w:before="40"/>
        <w:ind w:left="720" w:hanging="360"/>
      </w:pPr>
      <w:r>
        <w:rPr>
          <w:rFonts w:ascii="Arial" w:cs="Arial" w:eastAsia="Arial" w:hAnsi="Arial"/>
          <w:b/>
          <w:bCs/>
          <w:color w:val="2B2D6E"/>
          <w:sz w:val="22"/>
          <w:szCs w:val="22"/>
        </w:rPr>
        <w:t xml:space="preserve">Insight card format: </w:t>
      </w:r>
      <w:r>
        <w:rPr>
          <w:rFonts w:ascii="Arial" w:cs="Arial" w:eastAsia="Arial" w:hAnsi="Arial"/>
          <w:color w:val="1F2937"/>
          <w:sz w:val="22"/>
          <w:szCs w:val="22"/>
        </w:rPr>
        <w:t xml:space="preserve">Each insight is presented as a card with: a plain-English headline ('Location 4471 has declined 3 standard deviations below peer group for 11 consecutive days'), a small sparkline or bar chart, a confidence level (high/medium/low), and a 'Investigate' button that starts a new session pre-seeded with the insight as the analytic goal.</w:t>
      </w:r>
    </w:p>
    <w:p>
      <w:pPr>
        <w:pStyle w:val="ListParagraph"/>
        <w:numPr>
          <w:ilvl w:val="0"/>
          <w:numId w:val="2"/>
        </w:numPr>
        <w:spacing w:after="40" w:before="40"/>
        <w:ind w:left="720" w:hanging="360"/>
      </w:pPr>
      <w:r>
        <w:rPr>
          <w:rFonts w:ascii="Arial" w:cs="Arial" w:eastAsia="Arial" w:hAnsi="Arial"/>
          <w:b/>
          <w:bCs/>
          <w:color w:val="2B2D6E"/>
          <w:sz w:val="22"/>
          <w:szCs w:val="22"/>
        </w:rPr>
        <w:t xml:space="preserve">Insight deduplication: </w:t>
      </w:r>
      <w:r>
        <w:rPr>
          <w:rFonts w:ascii="Arial" w:cs="Arial" w:eastAsia="Arial" w:hAnsi="Arial"/>
          <w:color w:val="1F2937"/>
          <w:sz w:val="22"/>
          <w:szCs w:val="22"/>
        </w:rPr>
        <w:t xml:space="preserve">Insights are deduplicated against previously seen insights for the same artifact. An insight that was surfaced and dismissed is not re-surfaced unless the underlying signal strengthens.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Insight storage: </w:t>
      </w:r>
      <w:r>
        <w:rPr>
          <w:rFonts w:ascii="Arial" w:cs="Arial" w:eastAsia="Arial" w:hAnsi="Arial"/>
          <w:color w:val="1F2937"/>
          <w:sz w:val="22"/>
          <w:szCs w:val="22"/>
        </w:rPr>
        <w:t xml:space="preserve">Insights are stored in gold.artifact_insights_{artifact_id} with full lineage. They are queryable by future sessions and can be referenced in annotations.</w:t>
      </w:r>
    </w:p>
    <w:p>
      <w:pPr>
        <w:pStyle w:val="Heading3"/>
        <w:spacing w:after="80" w:before="240"/>
      </w:pPr>
      <w:r>
        <w:rPr>
          <w:rFonts w:ascii="Arial" w:cs="Arial" w:eastAsia="Arial" w:hAnsi="Arial"/>
          <w:b/>
          <w:bCs/>
          <w:color w:val="4F46E5"/>
          <w:sz w:val="24"/>
          <w:szCs w:val="24"/>
        </w:rPr>
        <w:t xml:space="preserve">4.7.7 Artifact Validation (Deterministic — Not LLM)</w:t>
      </w:r>
    </w:p>
    <w:p>
      <w:pPr>
        <w:spacing w:after="60" w:before="60"/>
        <w:jc w:val="left"/>
      </w:pPr>
      <w:r>
        <w:rPr>
          <w:rFonts w:ascii="Arial" w:cs="Arial" w:eastAsia="Arial" w:hAnsi="Arial"/>
          <w:color w:val="1F2937"/>
          <w:sz w:val="22"/>
          <w:szCs w:val="22"/>
        </w:rPr>
        <w:t xml:space="preserve">Before the artifact is written to the workspace store, a deterministic validator runs the following checklist. Failures produce a targeted repair prompt back to the generation agent. Maximum 2 repair cycles before surfacing to user.</w:t>
      </w:r>
    </w:p>
    <w:p>
      <w:pPr>
        <w:pStyle w:val="ListParagraph"/>
        <w:numPr>
          <w:ilvl w:val="0"/>
          <w:numId w:val="2"/>
        </w:numPr>
        <w:spacing w:after="40" w:before="40"/>
        <w:ind w:left="720" w:hanging="360"/>
      </w:pPr>
      <w:r>
        <w:rPr>
          <w:rFonts w:ascii="Arial" w:cs="Arial" w:eastAsia="Arial" w:hAnsi="Arial"/>
          <w:color w:val="1F2937"/>
          <w:sz w:val="22"/>
          <w:szCs w:val="22"/>
        </w:rPr>
        <w:t xml:space="preserve">No hardcoded color hex values — all colors must use CSS custom properties</w:t>
      </w:r>
    </w:p>
    <w:p>
      <w:pPr>
        <w:pStyle w:val="ListParagraph"/>
        <w:numPr>
          <w:ilvl w:val="0"/>
          <w:numId w:val="2"/>
        </w:numPr>
        <w:spacing w:after="40" w:before="40"/>
        <w:ind w:left="720" w:hanging="360"/>
      </w:pPr>
      <w:r>
        <w:rPr>
          <w:rFonts w:ascii="Arial" w:cs="Arial" w:eastAsia="Arial" w:hAnsi="Arial"/>
          <w:color w:val="1F2937"/>
          <w:sz w:val="22"/>
          <w:szCs w:val="22"/>
        </w:rPr>
        <w:t xml:space="preserve">All interactive elements have aria-label or role attributes</w:t>
      </w:r>
    </w:p>
    <w:p>
      <w:pPr>
        <w:pStyle w:val="ListParagraph"/>
        <w:numPr>
          <w:ilvl w:val="0"/>
          <w:numId w:val="2"/>
        </w:numPr>
        <w:spacing w:after="40" w:before="40"/>
        <w:ind w:left="720" w:hanging="360"/>
      </w:pPr>
      <w:r>
        <w:rPr>
          <w:rFonts w:ascii="Arial" w:cs="Arial" w:eastAsia="Arial" w:hAnsi="Arial"/>
          <w:color w:val="1F2937"/>
          <w:sz w:val="22"/>
          <w:szCs w:val="22"/>
        </w:rPr>
        <w:t xml:space="preserve">No position: fixed (collapses iframe height)</w:t>
      </w:r>
    </w:p>
    <w:p>
      <w:pPr>
        <w:pStyle w:val="ListParagraph"/>
        <w:numPr>
          <w:ilvl w:val="0"/>
          <w:numId w:val="2"/>
        </w:numPr>
        <w:spacing w:after="40" w:before="40"/>
        <w:ind w:left="720" w:hanging="360"/>
      </w:pPr>
      <w:r>
        <w:rPr>
          <w:rFonts w:ascii="Arial" w:cs="Arial" w:eastAsia="Arial" w:hAnsi="Arial"/>
          <w:color w:val="1F2937"/>
          <w:sz w:val="22"/>
          <w:szCs w:val="22"/>
        </w:rPr>
        <w:t xml:space="preserve">No localStorage or sessionStorage usage</w:t>
      </w:r>
    </w:p>
    <w:p>
      <w:pPr>
        <w:pStyle w:val="ListParagraph"/>
        <w:numPr>
          <w:ilvl w:val="0"/>
          <w:numId w:val="2"/>
        </w:numPr>
        <w:spacing w:after="40" w:before="40"/>
        <w:ind w:left="720" w:hanging="360"/>
      </w:pPr>
      <w:r>
        <w:rPr>
          <w:rFonts w:ascii="Arial" w:cs="Arial" w:eastAsia="Arial" w:hAnsi="Arial"/>
          <w:color w:val="1F2937"/>
          <w:sz w:val="22"/>
          <w:szCs w:val="22"/>
        </w:rPr>
        <w:t xml:space="preserve">All fetch() calls wrapped in try/catch with error state handling</w:t>
      </w:r>
    </w:p>
    <w:p>
      <w:pPr>
        <w:pStyle w:val="ListParagraph"/>
        <w:numPr>
          <w:ilvl w:val="0"/>
          <w:numId w:val="2"/>
        </w:numPr>
        <w:spacing w:after="40" w:before="40"/>
        <w:ind w:left="720" w:hanging="360"/>
      </w:pPr>
      <w:r>
        <w:rPr>
          <w:rFonts w:ascii="Arial" w:cs="Arial" w:eastAsia="Arial" w:hAnsi="Arial"/>
          <w:color w:val="1F2937"/>
          <w:sz w:val="22"/>
          <w:szCs w:val="22"/>
        </w:rPr>
        <w:t xml:space="preserve">No inline event handlers on global objects (no window.onclick = ...)</w:t>
      </w:r>
    </w:p>
    <w:p>
      <w:pPr>
        <w:pStyle w:val="ListParagraph"/>
        <w:numPr>
          <w:ilvl w:val="0"/>
          <w:numId w:val="2"/>
        </w:numPr>
        <w:spacing w:after="40" w:before="40"/>
        <w:ind w:left="720" w:hanging="360"/>
      </w:pPr>
      <w:r>
        <w:rPr>
          <w:rFonts w:ascii="Arial" w:cs="Arial" w:eastAsia="Arial" w:hAnsi="Arial"/>
          <w:color w:val="1F2937"/>
          <w:sz w:val="22"/>
          <w:szCs w:val="22"/>
        </w:rPr>
        <w:t xml:space="preserve">Meta tags analytiq-artifact-id and workspace-id present</w:t>
      </w:r>
    </w:p>
    <w:p>
      <w:pPr>
        <w:pStyle w:val="ListParagraph"/>
        <w:numPr>
          <w:ilvl w:val="0"/>
          <w:numId w:val="2"/>
        </w:numPr>
        <w:spacing w:after="40" w:before="40"/>
        <w:ind w:left="720" w:hanging="360"/>
      </w:pPr>
      <w:r>
        <w:rPr>
          <w:rFonts w:ascii="Arial" w:cs="Arial" w:eastAsia="Arial" w:hAnsi="Arial"/>
          <w:color w:val="1F2937"/>
          <w:sz w:val="22"/>
          <w:szCs w:val="22"/>
        </w:rPr>
        <w:t xml:space="preserve">File size &lt; 250KB (post-validation minification applied)</w:t>
      </w:r>
    </w:p>
    <w:p>
      <w:pPr>
        <w:pStyle w:val="ListParagraph"/>
        <w:numPr>
          <w:ilvl w:val="0"/>
          <w:numId w:val="2"/>
        </w:numPr>
        <w:spacing w:after="40" w:before="40"/>
        <w:ind w:left="720" w:hanging="360"/>
      </w:pPr>
      <w:r>
        <w:rPr>
          <w:rFonts w:ascii="Arial" w:cs="Arial" w:eastAsia="Arial" w:hAnsi="Arial"/>
          <w:color w:val="1F2937"/>
          <w:sz w:val="22"/>
          <w:szCs w:val="22"/>
        </w:rPr>
        <w:t xml:space="preserve">window.__analytiq_state defined and all filter updates route through updateFilters()</w:t>
      </w:r>
    </w:p>
    <w:p>
      <w:pPr>
        <w:spacing w:after="0" w:before="320"/>
      </w:pPr>
    </w:p>
    <w:p>
      <w:pPr>
        <w:pStyle w:val="Heading2"/>
        <w:spacing w:after="120" w:before="360"/>
      </w:pPr>
      <w:r>
        <w:rPr>
          <w:rFonts w:ascii="Arial" w:cs="Arial" w:eastAsia="Arial" w:hAnsi="Arial"/>
          <w:b/>
          <w:bCs/>
          <w:color w:val="2B2D6E"/>
          <w:sz w:val="28"/>
          <w:szCs w:val="28"/>
        </w:rPr>
        <w:t xml:space="preserve">4.8 Stage 7 — Workspace, Artifact List &amp; Sharing</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9CA3A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PURPOSE</w:t>
            </w:r>
          </w:p>
        </w:tc>
        <w:tc>
          <w:tcPr>
            <w:tcW w:type="dxa" w:w="9160"/>
            <w:shd w:fill="F3F4F6" w:val="clear"/>
            <w:tcMar>
              <w:top w:type="dxa" w:w="80"/>
              <w:left w:type="dxa" w:w="160"/>
              <w:bottom w:type="dxa" w:w="80"/>
              <w:right w:type="dxa" w:w="120"/>
            </w:tcMar>
          </w:tcPr>
          <w:p>
            <w:r>
              <w:rPr>
                <w:rFonts w:ascii="Arial" w:cs="Arial" w:eastAsia="Arial" w:hAnsi="Arial"/>
                <w:color w:val="1F2937"/>
                <w:sz w:val="21"/>
                <w:szCs w:val="21"/>
              </w:rPr>
              <w:t xml:space="preserve">Manage the artifact lifecycle within the workspace — versioning, access control, scheduled refresh, share link generation, and cross-account sharing. This is a deterministic service layer, not an AI agent.</w:t>
            </w:r>
          </w:p>
        </w:tc>
      </w:tr>
    </w:tbl>
    <w:p>
      <w:pPr>
        <w:spacing w:after="0" w:before="160"/>
      </w:pPr>
    </w:p>
    <w:p>
      <w:pPr>
        <w:pStyle w:val="Heading3"/>
        <w:spacing w:after="80" w:before="240"/>
      </w:pPr>
      <w:r>
        <w:rPr>
          <w:rFonts w:ascii="Arial" w:cs="Arial" w:eastAsia="Arial" w:hAnsi="Arial"/>
          <w:b/>
          <w:bCs/>
          <w:color w:val="4F46E5"/>
          <w:sz w:val="24"/>
          <w:szCs w:val="24"/>
        </w:rPr>
        <w:t xml:space="preserve">4.8.1 Workspace Artifact Record Schema</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9CA3A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SCHEMA</w:t>
            </w:r>
          </w:p>
        </w:tc>
        <w:tc>
          <w:tcPr>
            <w:tcW w:type="dxa" w:w="9160"/>
            <w:shd w:fill="F9FAFB" w:val="clear"/>
            <w:tcMar>
              <w:top w:type="dxa" w:w="80"/>
              <w:left w:type="dxa" w:w="160"/>
              <w:bottom w:type="dxa" w:w="80"/>
              <w:right w:type="dxa" w:w="120"/>
            </w:tcMar>
          </w:tcPr>
          <w:p>
            <w:r>
              <w:rPr>
                <w:rFonts w:ascii="Arial" w:cs="Arial" w:eastAsia="Arial" w:hAnsi="Arial"/>
                <w:color w:val="1F2937"/>
                <w:sz w:val="21"/>
                <w:szCs w:val="21"/>
              </w:rPr>
              <w:t xml:space="preserve">{
  artifact_id: string (uuid),
  name: string,
  description: string,
  owner_id: string,
  workspace_id: string,
  version: string (semver),
  created_at: ISO8601,
  updated_at: ISO8601,
  session_spec: SessionSpec (full reproducibility),
  model_card: ModelCard,
  lineage: {
    source_tables: string[],
    gold_table: string,
    feature_manifest_version: string,
    governance_manifest_version: string,
    model_id: string,
    model_registry_uri: string
  },
  access: [
    { principal_id, principal_type: user|group|public, role: viewer|editor|owner }
  ],
  share_links: [
    { token, expires_at, role, created_by, view_count }
  ],
  embed_tokens: [
    { token, scope: read_only|interactive, expires_at, allowed_origins: string[] }
  ],
  refresh_schedule: { cron: string, timezone: string, paused: bool },
  artifact_url: string,
  embed_url: string,
  html_size_bytes: int,
  dq_monitor: { last_check: ISO8601, status: PASS|WARN|FAIL, alerts: [] }
}</w:t>
            </w:r>
          </w:p>
        </w:tc>
      </w:tr>
    </w:tbl>
    <w:p>
      <w:pPr>
        <w:spacing w:after="0" w:before="160"/>
      </w:pPr>
    </w:p>
    <w:p>
      <w:pPr>
        <w:pStyle w:val="Heading3"/>
        <w:spacing w:after="80" w:before="240"/>
      </w:pPr>
      <w:r>
        <w:rPr>
          <w:rFonts w:ascii="Arial" w:cs="Arial" w:eastAsia="Arial" w:hAnsi="Arial"/>
          <w:b/>
          <w:bCs/>
          <w:color w:val="4F46E5"/>
          <w:sz w:val="24"/>
          <w:szCs w:val="24"/>
        </w:rPr>
        <w:t xml:space="preserve">4.8.2 Sharing Model</w:t>
      </w:r>
    </w:p>
    <w:p>
      <w:pPr>
        <w:pStyle w:val="ListParagraph"/>
        <w:numPr>
          <w:ilvl w:val="0"/>
          <w:numId w:val="2"/>
        </w:numPr>
        <w:spacing w:after="40" w:before="40"/>
        <w:ind w:left="720" w:hanging="360"/>
      </w:pPr>
      <w:r>
        <w:rPr>
          <w:rFonts w:ascii="Arial" w:cs="Arial" w:eastAsia="Arial" w:hAnsi="Arial"/>
          <w:b/>
          <w:bCs/>
          <w:color w:val="2B2D6E"/>
          <w:sz w:val="22"/>
          <w:szCs w:val="22"/>
        </w:rPr>
        <w:t xml:space="preserve">Within-workspace sharing: </w:t>
      </w:r>
      <w:r>
        <w:rPr>
          <w:rFonts w:ascii="Arial" w:cs="Arial" w:eastAsia="Arial" w:hAnsi="Arial"/>
          <w:color w:val="1F2937"/>
          <w:sz w:val="22"/>
          <w:szCs w:val="22"/>
        </w:rPr>
        <w:t xml:space="preserve">Any workspace member can share an artifact they own with other workspace members. Role options: Viewer (read + filter only), Editor (can fork the artifact and modify the session spec), Owner (full control including delete and re-share).</w:t>
      </w:r>
    </w:p>
    <w:p>
      <w:pPr>
        <w:pStyle w:val="ListParagraph"/>
        <w:numPr>
          <w:ilvl w:val="0"/>
          <w:numId w:val="2"/>
        </w:numPr>
        <w:spacing w:after="40" w:before="40"/>
        <w:ind w:left="720" w:hanging="360"/>
      </w:pPr>
      <w:r>
        <w:rPr>
          <w:rFonts w:ascii="Arial" w:cs="Arial" w:eastAsia="Arial" w:hAnsi="Arial"/>
          <w:b/>
          <w:bCs/>
          <w:color w:val="2B2D6E"/>
          <w:sz w:val="22"/>
          <w:szCs w:val="22"/>
        </w:rPr>
        <w:t xml:space="preserve">Cross-workspace sharing: </w:t>
      </w:r>
      <w:r>
        <w:rPr>
          <w:rFonts w:ascii="Arial" w:cs="Arial" w:eastAsia="Arial" w:hAnsi="Arial"/>
          <w:color w:val="1F2937"/>
          <w:sz w:val="22"/>
          <w:szCs w:val="22"/>
        </w:rPr>
        <w:t xml:space="preserve">Workspace admins can enable cross-workspace sharing. Cross-workspace recipients receive a scoped embed token that provides read-only access to the artifact's gold layer API endpoints — they do not get access to the source tables or any other workspace data.</w:t>
      </w:r>
    </w:p>
    <w:p>
      <w:pPr>
        <w:pStyle w:val="ListParagraph"/>
        <w:numPr>
          <w:ilvl w:val="0"/>
          <w:numId w:val="2"/>
        </w:numPr>
        <w:spacing w:after="40" w:before="40"/>
        <w:ind w:left="720" w:hanging="360"/>
      </w:pPr>
      <w:r>
        <w:rPr>
          <w:rFonts w:ascii="Arial" w:cs="Arial" w:eastAsia="Arial" w:hAnsi="Arial"/>
          <w:b/>
          <w:bCs/>
          <w:color w:val="2B2D6E"/>
          <w:sz w:val="22"/>
          <w:szCs w:val="22"/>
        </w:rPr>
        <w:t xml:space="preserve">Public links: </w:t>
      </w:r>
      <w:r>
        <w:rPr>
          <w:rFonts w:ascii="Arial" w:cs="Arial" w:eastAsia="Arial" w:hAnsi="Arial"/>
          <w:color w:val="1F2937"/>
          <w:sz w:val="22"/>
          <w:szCs w:val="22"/>
        </w:rPr>
        <w:t xml:space="preserve">Owners can generate password-optional public share links with configurable expiry (1 hour to never). Public links serve a static snapshot of the artifact with data refreshed on-demand up to once per hour.</w:t>
      </w:r>
    </w:p>
    <w:p>
      <w:pPr>
        <w:pStyle w:val="ListParagraph"/>
        <w:numPr>
          <w:ilvl w:val="0"/>
          <w:numId w:val="2"/>
        </w:numPr>
        <w:spacing w:after="40" w:before="40"/>
        <w:ind w:left="720" w:hanging="360"/>
      </w:pPr>
      <w:r>
        <w:rPr>
          <w:rFonts w:ascii="Arial" w:cs="Arial" w:eastAsia="Arial" w:hAnsi="Arial"/>
          <w:b/>
          <w:bCs/>
          <w:color w:val="2B2D6E"/>
          <w:sz w:val="22"/>
          <w:szCs w:val="22"/>
        </w:rPr>
        <w:t xml:space="preserve">Embed tokens: </w:t>
      </w:r>
      <w:r>
        <w:rPr>
          <w:rFonts w:ascii="Arial" w:cs="Arial" w:eastAsia="Arial" w:hAnsi="Arial"/>
          <w:color w:val="1F2937"/>
          <w:sz w:val="22"/>
          <w:szCs w:val="22"/>
        </w:rPr>
        <w:t xml:space="preserve">Signed HS256 JWTs scoped to a single artifact_id and workspace_id. Default expiry 24 hours, configurable up to 1 year. allowed_origins restricts embed to specified domains. Tokens cannot be elevated — a read_only token cannot be used for filter writes.</w:t>
      </w:r>
    </w:p>
    <w:p>
      <w:pPr>
        <w:pStyle w:val="Heading3"/>
        <w:spacing w:after="80" w:before="240"/>
      </w:pPr>
      <w:r>
        <w:rPr>
          <w:rFonts w:ascii="Arial" w:cs="Arial" w:eastAsia="Arial" w:hAnsi="Arial"/>
          <w:b/>
          <w:bCs/>
          <w:color w:val="4F46E5"/>
          <w:sz w:val="24"/>
          <w:szCs w:val="24"/>
        </w:rPr>
        <w:t xml:space="preserve">4.8.3 Scheduled Refresh &amp; Drift Monitoring</w:t>
      </w:r>
    </w:p>
    <w:p>
      <w:pPr>
        <w:pStyle w:val="ListParagraph"/>
        <w:numPr>
          <w:ilvl w:val="0"/>
          <w:numId w:val="2"/>
        </w:numPr>
        <w:spacing w:after="40" w:before="40"/>
        <w:ind w:left="720" w:hanging="360"/>
      </w:pPr>
      <w:r>
        <w:rPr>
          <w:rFonts w:ascii="Arial" w:cs="Arial" w:eastAsia="Arial" w:hAnsi="Arial"/>
          <w:b/>
          <w:bCs/>
          <w:color w:val="2B2D6E"/>
          <w:sz w:val="22"/>
          <w:szCs w:val="22"/>
        </w:rPr>
        <w:t xml:space="preserve">Refresh schedule: </w:t>
      </w:r>
      <w:r>
        <w:rPr>
          <w:rFonts w:ascii="Arial" w:cs="Arial" w:eastAsia="Arial" w:hAnsi="Arial"/>
          <w:color w:val="1F2937"/>
          <w:sz w:val="22"/>
          <w:szCs w:val="22"/>
        </w:rPr>
        <w:t xml:space="preserve">Default daily at 06:00 workspace timezone. Configurable per artifact via cron expression. On each refresh: re-score with existing model (no retrain), re-write forecast table, update predictions for any new actuals.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Model drift detection: </w:t>
      </w:r>
      <w:r>
        <w:rPr>
          <w:rFonts w:ascii="Arial" w:cs="Arial" w:eastAsia="Arial" w:hAnsi="Arial"/>
          <w:color w:val="1F2937"/>
          <w:sz w:val="22"/>
          <w:szCs w:val="22"/>
        </w:rPr>
        <w:t xml:space="preserve">On each refresh, compute prediction distribution for the most recent 30-day window and compare to the training baseline. If mean MAPE over the rolling window exceeds the original validation MAPE by &gt; 50%, trigger a drift alert.</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Automatic retrain trigger: </w:t>
      </w:r>
      <w:r>
        <w:rPr>
          <w:rFonts w:ascii="Arial" w:cs="Arial" w:eastAsia="Arial" w:hAnsi="Arial"/>
          <w:color w:val="1F2937"/>
          <w:sz w:val="22"/>
          <w:szCs w:val="22"/>
        </w:rPr>
        <w:t xml:space="preserve">If drift alert is active for &gt; 7 consecutive days, the system surfaces a one-click retrain option to the artifact owner. Retrain uses the same session_spec with an updated date_range (rolling window advanced to current date). Previous model version is archived, not deleted.</w:t>
      </w:r>
    </w:p>
    <w:p>
      <w:pPr>
        <w:pStyle w:val="ListParagraph"/>
        <w:numPr>
          <w:ilvl w:val="0"/>
          <w:numId w:val="2"/>
        </w:numPr>
        <w:spacing w:after="40" w:before="40"/>
        <w:ind w:left="720" w:hanging="360"/>
      </w:pPr>
      <w:r>
        <w:rPr>
          <w:rFonts w:ascii="Arial" w:cs="Arial" w:eastAsia="Arial" w:hAnsi="Arial"/>
          <w:b/>
          <w:bCs/>
          <w:color w:val="2B2D6E"/>
          <w:sz w:val="22"/>
          <w:szCs w:val="22"/>
        </w:rPr>
        <w:t xml:space="preserve">Source table health monitoring: </w:t>
      </w:r>
      <w:r>
        <w:rPr>
          <w:rFonts w:ascii="Arial" w:cs="Arial" w:eastAsia="Arial" w:hAnsi="Arial"/>
          <w:color w:val="1F2937"/>
          <w:sz w:val="22"/>
          <w:szCs w:val="22"/>
        </w:rPr>
        <w:t xml:space="preserve">If any source table's health_score drops &gt; 10 points since artifact creation, or if a schema change is detected, the artifact banner displays a data quality warning and the refresh is paused pending owner review.</w:t>
      </w:r>
    </w:p>
    <w:p>
      <w:pPr>
        <w:spacing w:after="0" w:before="160"/>
      </w:pPr>
    </w:p>
    <w:p>
      <w:r>
        <w:br w:type="page"/>
      </w:r>
    </w:p>
    <w:p>
      <w:pPr>
        <w:pStyle w:val="Heading1"/>
        <w:pBdr>
          <w:bottom w:val="single" w:color="4F46E5" w:sz="8" w:space="4"/>
        </w:pBdr>
        <w:spacing w:after="160" w:before="480"/>
      </w:pPr>
      <w:r>
        <w:rPr>
          <w:rFonts w:ascii="Arial" w:cs="Arial" w:eastAsia="Arial" w:hAnsi="Arial"/>
          <w:b/>
          <w:bCs/>
          <w:color w:val="2B2D6E"/>
          <w:sz w:val="36"/>
          <w:szCs w:val="36"/>
        </w:rPr>
        <w:t xml:space="preserve">5. Comprehensive Feature List</w:t>
      </w:r>
    </w:p>
    <w:p>
      <w:pPr>
        <w:pStyle w:val="Heading2"/>
        <w:spacing w:after="120" w:before="360"/>
      </w:pPr>
      <w:r>
        <w:rPr>
          <w:rFonts w:ascii="Arial" w:cs="Arial" w:eastAsia="Arial" w:hAnsi="Arial"/>
          <w:b/>
          <w:bCs/>
          <w:color w:val="2B2D6E"/>
          <w:sz w:val="28"/>
          <w:szCs w:val="28"/>
        </w:rPr>
        <w:t xml:space="preserve">5.1 Integration &amp; Data Connectivity</w:t>
      </w:r>
    </w:p>
    <w:p>
      <w:pPr>
        <w:pStyle w:val="ListParagraph"/>
        <w:numPr>
          <w:ilvl w:val="0"/>
          <w:numId w:val="2"/>
        </w:numPr>
        <w:spacing w:after="40" w:before="40"/>
        <w:ind w:left="720" w:hanging="360"/>
      </w:pPr>
      <w:r>
        <w:rPr>
          <w:rFonts w:ascii="Arial" w:cs="Arial" w:eastAsia="Arial" w:hAnsi="Arial"/>
          <w:color w:val="1F2937"/>
          <w:sz w:val="22"/>
          <w:szCs w:val="22"/>
        </w:rPr>
        <w:t xml:space="preserve">Native connectors: Snowflake, BigQuery, Databricks, Amazon Redshift, Postgres, MySQL, DuckDB</w:t>
      </w:r>
    </w:p>
    <w:p>
      <w:pPr>
        <w:pStyle w:val="ListParagraph"/>
        <w:numPr>
          <w:ilvl w:val="0"/>
          <w:numId w:val="2"/>
        </w:numPr>
        <w:spacing w:after="40" w:before="40"/>
        <w:ind w:left="720" w:hanging="360"/>
      </w:pPr>
      <w:r>
        <w:rPr>
          <w:rFonts w:ascii="Arial" w:cs="Arial" w:eastAsia="Arial" w:hAnsi="Arial"/>
          <w:color w:val="1F2937"/>
          <w:sz w:val="22"/>
          <w:szCs w:val="22"/>
        </w:rPr>
        <w:t xml:space="preserve">File upload ingestion: CSV, Parquet, Excel (XLSX) — auto-profiled on upload, written to workspace schema</w:t>
      </w:r>
    </w:p>
    <w:p>
      <w:pPr>
        <w:pStyle w:val="ListParagraph"/>
        <w:numPr>
          <w:ilvl w:val="0"/>
          <w:numId w:val="2"/>
        </w:numPr>
        <w:spacing w:after="40" w:before="40"/>
        <w:ind w:left="720" w:hanging="360"/>
      </w:pPr>
      <w:r>
        <w:rPr>
          <w:rFonts w:ascii="Arial" w:cs="Arial" w:eastAsia="Arial" w:hAnsi="Arial"/>
          <w:color w:val="1F2937"/>
          <w:sz w:val="22"/>
          <w:szCs w:val="22"/>
        </w:rPr>
        <w:t xml:space="preserve">REST API source connector: configure an API endpoint + auth, AnalytIQ polls on schedule and ingests JSON/CSV responses</w:t>
      </w:r>
    </w:p>
    <w:p>
      <w:pPr>
        <w:pStyle w:val="ListParagraph"/>
        <w:numPr>
          <w:ilvl w:val="0"/>
          <w:numId w:val="2"/>
        </w:numPr>
        <w:spacing w:after="40" w:before="40"/>
        <w:ind w:left="720" w:hanging="360"/>
      </w:pPr>
      <w:r>
        <w:rPr>
          <w:rFonts w:ascii="Arial" w:cs="Arial" w:eastAsia="Arial" w:hAnsi="Arial"/>
          <w:color w:val="1F2937"/>
          <w:sz w:val="22"/>
          <w:szCs w:val="22"/>
        </w:rPr>
        <w:t xml:space="preserve">Webhook ingest: AnalytIQ-hosted endpoint that accepts POST payloads; used for streaming event sources</w:t>
      </w:r>
    </w:p>
    <w:p>
      <w:pPr>
        <w:pStyle w:val="ListParagraph"/>
        <w:numPr>
          <w:ilvl w:val="0"/>
          <w:numId w:val="2"/>
        </w:numPr>
        <w:spacing w:after="40" w:before="40"/>
        <w:ind w:left="720" w:hanging="360"/>
      </w:pPr>
      <w:r>
        <w:rPr>
          <w:rFonts w:ascii="Arial" w:cs="Arial" w:eastAsia="Arial" w:hAnsi="Arial"/>
          <w:color w:val="1F2937"/>
          <w:sz w:val="22"/>
          <w:szCs w:val="22"/>
        </w:rPr>
        <w:t xml:space="preserve">dbt project integration: import existing dbt models directly as semantic layer explores, inheriting dbt test results as quality signals</w:t>
      </w:r>
    </w:p>
    <w:p>
      <w:pPr>
        <w:pStyle w:val="ListParagraph"/>
        <w:numPr>
          <w:ilvl w:val="0"/>
          <w:numId w:val="2"/>
        </w:numPr>
        <w:spacing w:after="40" w:before="40"/>
        <w:ind w:left="720" w:hanging="360"/>
      </w:pPr>
      <w:r>
        <w:rPr>
          <w:rFonts w:ascii="Arial" w:cs="Arial" w:eastAsia="Arial" w:hAnsi="Arial"/>
          <w:color w:val="1F2937"/>
          <w:sz w:val="22"/>
          <w:szCs w:val="22"/>
        </w:rPr>
        <w:t xml:space="preserve">Google Sheets connector: live sync from a specified sheet; treated as a low-trust source with automatic null rate warnings</w:t>
      </w:r>
    </w:p>
    <w:p>
      <w:pPr>
        <w:pStyle w:val="Heading2"/>
        <w:spacing w:after="120" w:before="360"/>
      </w:pPr>
      <w:r>
        <w:rPr>
          <w:rFonts w:ascii="Arial" w:cs="Arial" w:eastAsia="Arial" w:hAnsi="Arial"/>
          <w:b/>
          <w:bCs/>
          <w:color w:val="2B2D6E"/>
          <w:sz w:val="28"/>
          <w:szCs w:val="28"/>
        </w:rPr>
        <w:t xml:space="preserve">5.2 Governance &amp; Data Quality</w:t>
      </w:r>
    </w:p>
    <w:p>
      <w:pPr>
        <w:pStyle w:val="ListParagraph"/>
        <w:numPr>
          <w:ilvl w:val="0"/>
          <w:numId w:val="2"/>
        </w:numPr>
        <w:spacing w:after="40" w:before="40"/>
        <w:ind w:left="720" w:hanging="360"/>
      </w:pPr>
      <w:r>
        <w:rPr>
          <w:rFonts w:ascii="Arial" w:cs="Arial" w:eastAsia="Arial" w:hAnsi="Arial"/>
          <w:color w:val="1F2937"/>
          <w:sz w:val="22"/>
          <w:szCs w:val="22"/>
        </w:rPr>
        <w:t xml:space="preserve">Automated schema fingerprinting on every integration run with drift detection and alerting</w:t>
      </w:r>
    </w:p>
    <w:p>
      <w:pPr>
        <w:pStyle w:val="ListParagraph"/>
        <w:numPr>
          <w:ilvl w:val="0"/>
          <w:numId w:val="2"/>
        </w:numPr>
        <w:spacing w:after="40" w:before="40"/>
        <w:ind w:left="720" w:hanging="360"/>
      </w:pPr>
      <w:r>
        <w:rPr>
          <w:rFonts w:ascii="Arial" w:cs="Arial" w:eastAsia="Arial" w:hAnsi="Arial"/>
          <w:color w:val="1F2937"/>
          <w:sz w:val="22"/>
          <w:szCs w:val="22"/>
        </w:rPr>
        <w:t xml:space="preserve">Column-level PII detection using regex patterns and a fine-tuned token classifier (email, SSN, phone, credit card, full name, IP address)</w:t>
      </w:r>
    </w:p>
    <w:p>
      <w:pPr>
        <w:pStyle w:val="ListParagraph"/>
        <w:numPr>
          <w:ilvl w:val="0"/>
          <w:numId w:val="2"/>
        </w:numPr>
        <w:spacing w:after="40" w:before="40"/>
        <w:ind w:left="720" w:hanging="360"/>
      </w:pPr>
      <w:r>
        <w:rPr>
          <w:rFonts w:ascii="Arial" w:cs="Arial" w:eastAsia="Arial" w:hAnsi="Arial"/>
          <w:color w:val="1F2937"/>
          <w:sz w:val="22"/>
          <w:szCs w:val="22"/>
        </w:rPr>
        <w:t xml:space="preserve">Health score dashboard per table with trend history and alerting thresholds</w:t>
      </w:r>
    </w:p>
    <w:p>
      <w:pPr>
        <w:pStyle w:val="ListParagraph"/>
        <w:numPr>
          <w:ilvl w:val="0"/>
          <w:numId w:val="2"/>
        </w:numPr>
        <w:spacing w:after="40" w:before="40"/>
        <w:ind w:left="720" w:hanging="360"/>
      </w:pPr>
      <w:r>
        <w:rPr>
          <w:rFonts w:ascii="Arial" w:cs="Arial" w:eastAsia="Arial" w:hAnsi="Arial"/>
          <w:color w:val="1F2937"/>
          <w:sz w:val="22"/>
          <w:szCs w:val="22"/>
        </w:rPr>
        <w:t xml:space="preserve">Human review queue for low-confidence governance definitions with diff view and accept/edit/reject workflow</w:t>
      </w:r>
    </w:p>
    <w:p>
      <w:pPr>
        <w:pStyle w:val="ListParagraph"/>
        <w:numPr>
          <w:ilvl w:val="0"/>
          <w:numId w:val="2"/>
        </w:numPr>
        <w:spacing w:after="40" w:before="40"/>
        <w:ind w:left="720" w:hanging="360"/>
      </w:pPr>
      <w:r>
        <w:rPr>
          <w:rFonts w:ascii="Arial" w:cs="Arial" w:eastAsia="Arial" w:hAnsi="Arial"/>
          <w:color w:val="1F2937"/>
          <w:sz w:val="22"/>
          <w:szCs w:val="22"/>
        </w:rPr>
        <w:t xml:space="preserve">Governance manifest versioning (semver) with full change history and rollback capability</w:t>
      </w:r>
    </w:p>
    <w:p>
      <w:pPr>
        <w:pStyle w:val="ListParagraph"/>
        <w:numPr>
          <w:ilvl w:val="0"/>
          <w:numId w:val="2"/>
        </w:numPr>
        <w:spacing w:after="40" w:before="40"/>
        <w:ind w:left="720" w:hanging="360"/>
      </w:pPr>
      <w:r>
        <w:rPr>
          <w:rFonts w:ascii="Arial" w:cs="Arial" w:eastAsia="Arial" w:hAnsi="Arial"/>
          <w:color w:val="1F2937"/>
          <w:sz w:val="22"/>
          <w:szCs w:val="22"/>
        </w:rPr>
        <w:t xml:space="preserve">Freshness SLA configuration per table with Slack/email alert integrations</w:t>
      </w:r>
    </w:p>
    <w:p>
      <w:pPr>
        <w:pStyle w:val="ListParagraph"/>
        <w:numPr>
          <w:ilvl w:val="0"/>
          <w:numId w:val="2"/>
        </w:numPr>
        <w:spacing w:after="40" w:before="40"/>
        <w:ind w:left="720" w:hanging="360"/>
      </w:pPr>
      <w:r>
        <w:rPr>
          <w:rFonts w:ascii="Arial" w:cs="Arial" w:eastAsia="Arial" w:hAnsi="Arial"/>
          <w:color w:val="1F2937"/>
          <w:sz w:val="22"/>
          <w:szCs w:val="22"/>
        </w:rPr>
        <w:t xml:space="preserve">Lineage DAG visualization: interactive directed graph showing every table's upstream dependencies, downstream consumers, test results, and freshness status in one view — click any node to inspect column-level lineage and all artifacts that depend on it</w:t>
      </w:r>
    </w:p>
    <w:p>
      <w:pPr>
        <w:pStyle w:val="ListParagraph"/>
        <w:numPr>
          <w:ilvl w:val="0"/>
          <w:numId w:val="2"/>
        </w:numPr>
        <w:spacing w:after="40" w:before="40"/>
        <w:ind w:left="720" w:hanging="360"/>
      </w:pPr>
      <w:r>
        <w:rPr>
          <w:rFonts w:ascii="Arial" w:cs="Arial" w:eastAsia="Arial" w:hAnsi="Arial"/>
          <w:color w:val="1F2937"/>
          <w:sz w:val="22"/>
          <w:szCs w:val="22"/>
        </w:rPr>
        <w:t xml:space="preserve">Data contract enforcement: workspace admins can define required fields and SLAs that block downstream use if violated</w:t>
      </w:r>
    </w:p>
    <w:p>
      <w:pPr>
        <w:pStyle w:val="ListParagraph"/>
        <w:numPr>
          <w:ilvl w:val="0"/>
          <w:numId w:val="2"/>
        </w:numPr>
        <w:spacing w:after="40" w:before="40"/>
        <w:ind w:left="720" w:hanging="360"/>
      </w:pPr>
      <w:r>
        <w:rPr>
          <w:rFonts w:ascii="Arial" w:cs="Arial" w:eastAsia="Arial" w:hAnsi="Arial"/>
          <w:color w:val="1F2937"/>
          <w:sz w:val="22"/>
          <w:szCs w:val="22"/>
        </w:rPr>
        <w:t xml:space="preserve">dbt-style custom test authoring: write quality assertions in a simple expression syntax (e.g. net_revenue &gt; 0, location_id IS NOT NULL) that compile to SQL checks executed as part of the Stage 0 DQ gate — no Python required</w:t>
      </w:r>
    </w:p>
    <w:p>
      <w:pPr>
        <w:pStyle w:val="ListParagraph"/>
        <w:numPr>
          <w:ilvl w:val="0"/>
          <w:numId w:val="2"/>
        </w:numPr>
        <w:spacing w:after="40" w:before="40"/>
        <w:ind w:left="720" w:hanging="360"/>
      </w:pPr>
      <w:r>
        <w:rPr>
          <w:rFonts w:ascii="Arial" w:cs="Arial" w:eastAsia="Arial" w:hAnsi="Arial"/>
          <w:color w:val="1F2937"/>
          <w:sz w:val="22"/>
          <w:szCs w:val="22"/>
        </w:rPr>
        <w:t xml:space="preserve">Pre-aggregation recommendations: the system monitors query patterns across all artifacts and recommends (or automatically creates) materialized summary tables for the most frequently used filter combinations, reducing artifact load times from seconds to milliseconds</w:t>
      </w:r>
    </w:p>
    <w:p>
      <w:pPr>
        <w:pStyle w:val="Heading2"/>
        <w:spacing w:after="120" w:before="360"/>
      </w:pPr>
      <w:r>
        <w:rPr>
          <w:rFonts w:ascii="Arial" w:cs="Arial" w:eastAsia="Arial" w:hAnsi="Arial"/>
          <w:b/>
          <w:bCs/>
          <w:color w:val="2B2D6E"/>
          <w:sz w:val="28"/>
          <w:szCs w:val="28"/>
        </w:rPr>
        <w:t xml:space="preserve">5.3 Semantic Layer</w:t>
      </w:r>
    </w:p>
    <w:p>
      <w:pPr>
        <w:pStyle w:val="ListParagraph"/>
        <w:numPr>
          <w:ilvl w:val="0"/>
          <w:numId w:val="2"/>
        </w:numPr>
        <w:spacing w:after="40" w:before="40"/>
        <w:ind w:left="720" w:hanging="360"/>
      </w:pPr>
      <w:r>
        <w:rPr>
          <w:rFonts w:ascii="Arial" w:cs="Arial" w:eastAsia="Arial" w:hAnsi="Arial"/>
          <w:color w:val="1F2937"/>
          <w:sz w:val="22"/>
          <w:szCs w:val="22"/>
        </w:rPr>
        <w:t xml:space="preserve">Automatic metric deduplication across tables — one metric, one definition, always</w:t>
      </w:r>
    </w:p>
    <w:p>
      <w:pPr>
        <w:pStyle w:val="ListParagraph"/>
        <w:numPr>
          <w:ilvl w:val="0"/>
          <w:numId w:val="2"/>
        </w:numPr>
        <w:spacing w:after="40" w:before="40"/>
        <w:ind w:left="720" w:hanging="360"/>
      </w:pPr>
      <w:r>
        <w:rPr>
          <w:rFonts w:ascii="Arial" w:cs="Arial" w:eastAsia="Arial" w:hAnsi="Arial"/>
          <w:color w:val="1F2937"/>
          <w:sz w:val="22"/>
          <w:szCs w:val="22"/>
        </w:rPr>
        <w:t xml:space="preserve">Natural language metric definitions with confidence scoring and human review workflow</w:t>
      </w:r>
    </w:p>
    <w:p>
      <w:pPr>
        <w:pStyle w:val="ListParagraph"/>
        <w:numPr>
          <w:ilvl w:val="0"/>
          <w:numId w:val="2"/>
        </w:numPr>
        <w:spacing w:after="40" w:before="40"/>
        <w:ind w:left="720" w:hanging="360"/>
      </w:pPr>
      <w:r>
        <w:rPr>
          <w:rFonts w:ascii="Arial" w:cs="Arial" w:eastAsia="Arial" w:hAnsi="Arial"/>
          <w:color w:val="1F2937"/>
          <w:sz w:val="22"/>
          <w:szCs w:val="22"/>
        </w:rPr>
        <w:t xml:space="preserve">Date hierarchy auto-detection and mapping (year to quarter to month to week to day)</w:t>
      </w:r>
    </w:p>
    <w:p>
      <w:pPr>
        <w:pStyle w:val="ListParagraph"/>
        <w:numPr>
          <w:ilvl w:val="0"/>
          <w:numId w:val="2"/>
        </w:numPr>
        <w:spacing w:after="40" w:before="40"/>
        <w:ind w:left="720" w:hanging="360"/>
      </w:pPr>
      <w:r>
        <w:rPr>
          <w:rFonts w:ascii="Arial" w:cs="Arial" w:eastAsia="Arial" w:hAnsi="Arial"/>
          <w:color w:val="1F2937"/>
          <w:sz w:val="22"/>
          <w:szCs w:val="22"/>
        </w:rPr>
        <w:t xml:space="preserve">Geographic hierarchy detection (state to city to zip; territory to region)</w:t>
      </w:r>
    </w:p>
    <w:p>
      <w:pPr>
        <w:pStyle w:val="ListParagraph"/>
        <w:numPr>
          <w:ilvl w:val="0"/>
          <w:numId w:val="2"/>
        </w:numPr>
        <w:spacing w:after="40" w:before="40"/>
        <w:ind w:left="720" w:hanging="360"/>
      </w:pPr>
      <w:r>
        <w:rPr>
          <w:rFonts w:ascii="Arial" w:cs="Arial" w:eastAsia="Arial" w:hAnsi="Arial"/>
          <w:color w:val="1F2937"/>
          <w:sz w:val="22"/>
          <w:szCs w:val="22"/>
        </w:rPr>
        <w:t xml:space="preserve">Many-to-many relationship detection with bridge table recommendation</w:t>
      </w:r>
    </w:p>
    <w:p>
      <w:pPr>
        <w:pStyle w:val="ListParagraph"/>
        <w:numPr>
          <w:ilvl w:val="0"/>
          <w:numId w:val="2"/>
        </w:numPr>
        <w:spacing w:after="40" w:before="40"/>
        <w:ind w:left="720" w:hanging="360"/>
      </w:pPr>
      <w:r>
        <w:rPr>
          <w:rFonts w:ascii="Arial" w:cs="Arial" w:eastAsia="Arial" w:hAnsi="Arial"/>
          <w:color w:val="1F2937"/>
          <w:sz w:val="22"/>
          <w:szCs w:val="22"/>
        </w:rPr>
        <w:t xml:space="preserve">Semantic layer versioning with artifact dependency tracking (know which dashboards break if a metric definition changes)</w:t>
      </w:r>
    </w:p>
    <w:p>
      <w:pPr>
        <w:pStyle w:val="ListParagraph"/>
        <w:numPr>
          <w:ilvl w:val="0"/>
          <w:numId w:val="2"/>
        </w:numPr>
        <w:spacing w:after="40" w:before="40"/>
        <w:ind w:left="720" w:hanging="360"/>
      </w:pPr>
      <w:r>
        <w:rPr>
          <w:rFonts w:ascii="Arial" w:cs="Arial" w:eastAsia="Arial" w:hAnsi="Arial"/>
          <w:color w:val="1F2937"/>
          <w:sz w:val="22"/>
          <w:szCs w:val="22"/>
        </w:rPr>
        <w:t xml:space="preserve">Explore-level access control: restrict which workspace members can use which explores in sessions</w:t>
      </w:r>
    </w:p>
    <w:p>
      <w:pPr>
        <w:pStyle w:val="ListParagraph"/>
        <w:numPr>
          <w:ilvl w:val="0"/>
          <w:numId w:val="2"/>
        </w:numPr>
        <w:spacing w:after="40" w:before="40"/>
        <w:ind w:left="720" w:hanging="360"/>
      </w:pPr>
      <w:r>
        <w:rPr>
          <w:rFonts w:ascii="Arial" w:cs="Arial" w:eastAsia="Arial" w:hAnsi="Arial"/>
          <w:color w:val="1F2937"/>
          <w:sz w:val="22"/>
          <w:szCs w:val="22"/>
        </w:rPr>
        <w:t xml:space="preserve">Metric format specification: currency (with locale), percentage, count, duration (auto-formatted in dashboards)</w:t>
      </w:r>
    </w:p>
    <w:p>
      <w:pPr>
        <w:pStyle w:val="ListParagraph"/>
        <w:numPr>
          <w:ilvl w:val="0"/>
          <w:numId w:val="2"/>
        </w:numPr>
        <w:spacing w:after="40" w:before="40"/>
        <w:ind w:left="720" w:hanging="360"/>
      </w:pPr>
      <w:r>
        <w:rPr>
          <w:rFonts w:ascii="Arial" w:cs="Arial" w:eastAsia="Arial" w:hAnsi="Arial"/>
          <w:color w:val="1F2937"/>
          <w:sz w:val="22"/>
          <w:szCs w:val="22"/>
        </w:rPr>
        <w:t xml:space="preserve">Calculated metrics: define new metrics as arithmetic expressions over existing metrics within the semantic layer</w:t>
      </w:r>
    </w:p>
    <w:p>
      <w:pPr>
        <w:pStyle w:val="ListParagraph"/>
        <w:numPr>
          <w:ilvl w:val="0"/>
          <w:numId w:val="2"/>
        </w:numPr>
        <w:spacing w:after="40" w:before="40"/>
        <w:ind w:left="720" w:hanging="360"/>
      </w:pPr>
      <w:r>
        <w:rPr>
          <w:rFonts w:ascii="Arial" w:cs="Arial" w:eastAsia="Arial" w:hAnsi="Arial"/>
          <w:color w:val="1F2937"/>
          <w:sz w:val="22"/>
          <w:szCs w:val="22"/>
        </w:rPr>
        <w:t xml:space="preserve">Visual field picker: a two-column UI (dimensions left, measures right) that power users can browse as an alternative to conversational selection — adding a field shows a live preview table that updates instantly, and fan-out warnings fire in real time if a selected combination would inflate metric values</w:t>
      </w:r>
    </w:p>
    <w:p>
      <w:pPr>
        <w:pStyle w:val="ListParagraph"/>
        <w:numPr>
          <w:ilvl w:val="0"/>
          <w:numId w:val="2"/>
        </w:numPr>
        <w:spacing w:after="40" w:before="40"/>
        <w:ind w:left="720" w:hanging="360"/>
      </w:pPr>
      <w:r>
        <w:rPr>
          <w:rFonts w:ascii="Arial" w:cs="Arial" w:eastAsia="Arial" w:hAnsi="Arial"/>
          <w:color w:val="1F2937"/>
          <w:sz w:val="22"/>
          <w:szCs w:val="22"/>
        </w:rPr>
        <w:t xml:space="preserve">Persistent derived tables (PDTs): workspace admins can define SQL-based derived tables within the semantic layer that are materialized and refreshed on a schedule, queryable by any session with the same lineage tracking as source tables</w:t>
      </w:r>
    </w:p>
    <w:p>
      <w:pPr>
        <w:pStyle w:val="Heading2"/>
        <w:spacing w:after="120" w:before="360"/>
      </w:pPr>
      <w:r>
        <w:rPr>
          <w:rFonts w:ascii="Arial" w:cs="Arial" w:eastAsia="Arial" w:hAnsi="Arial"/>
          <w:b/>
          <w:bCs/>
          <w:color w:val="2B2D6E"/>
          <w:sz w:val="28"/>
          <w:szCs w:val="28"/>
        </w:rPr>
        <w:t xml:space="preserve">5.4 Conversational Session Interface</w:t>
      </w:r>
    </w:p>
    <w:p>
      <w:pPr>
        <w:pStyle w:val="ListParagraph"/>
        <w:numPr>
          <w:ilvl w:val="0"/>
          <w:numId w:val="2"/>
        </w:numPr>
        <w:spacing w:after="40" w:before="40"/>
        <w:ind w:left="720" w:hanging="360"/>
      </w:pPr>
      <w:r>
        <w:rPr>
          <w:rFonts w:ascii="Arial" w:cs="Arial" w:eastAsia="Arial" w:hAnsi="Arial"/>
          <w:color w:val="1F2937"/>
          <w:sz w:val="22"/>
          <w:szCs w:val="22"/>
        </w:rPr>
        <w:t xml:space="preserve">Natural language intent classification with confidence scoring and fallback clarification protocol</w:t>
      </w:r>
    </w:p>
    <w:p>
      <w:pPr>
        <w:pStyle w:val="ListParagraph"/>
        <w:numPr>
          <w:ilvl w:val="0"/>
          <w:numId w:val="2"/>
        </w:numPr>
        <w:spacing w:after="40" w:before="40"/>
        <w:ind w:left="720" w:hanging="360"/>
      </w:pPr>
      <w:r>
        <w:rPr>
          <w:rFonts w:ascii="Arial" w:cs="Arial" w:eastAsia="Arial" w:hAnsi="Arial"/>
          <w:color w:val="1F2937"/>
          <w:sz w:val="22"/>
          <w:szCs w:val="22"/>
        </w:rPr>
        <w:t xml:space="preserve">Explore and metric suggestion with sparkline previews during data selection</w:t>
      </w:r>
    </w:p>
    <w:p>
      <w:pPr>
        <w:pStyle w:val="ListParagraph"/>
        <w:numPr>
          <w:ilvl w:val="0"/>
          <w:numId w:val="2"/>
        </w:numPr>
        <w:spacing w:after="40" w:before="40"/>
        <w:ind w:left="720" w:hanging="360"/>
      </w:pPr>
      <w:r>
        <w:rPr>
          <w:rFonts w:ascii="Arial" w:cs="Arial" w:eastAsia="Arial" w:hAnsi="Arial"/>
          <w:color w:val="1F2937"/>
          <w:sz w:val="22"/>
          <w:szCs w:val="22"/>
        </w:rPr>
        <w:t xml:space="preserve">Plain-English data selection — no table names, column names, or SQL ever exposed to users</w:t>
      </w:r>
    </w:p>
    <w:p>
      <w:pPr>
        <w:pStyle w:val="ListParagraph"/>
        <w:numPr>
          <w:ilvl w:val="0"/>
          <w:numId w:val="2"/>
        </w:numPr>
        <w:spacing w:after="40" w:before="40"/>
        <w:ind w:left="720" w:hanging="360"/>
      </w:pPr>
      <w:r>
        <w:rPr>
          <w:rFonts w:ascii="Arial" w:cs="Arial" w:eastAsia="Arial" w:hAnsi="Arial"/>
          <w:color w:val="1F2937"/>
          <w:sz w:val="22"/>
          <w:szCs w:val="22"/>
        </w:rPr>
        <w:t xml:space="preserve">Multiple-choice clarifying questions (never open-ended when a closed option set is available)</w:t>
      </w:r>
    </w:p>
    <w:p>
      <w:pPr>
        <w:pStyle w:val="ListParagraph"/>
        <w:numPr>
          <w:ilvl w:val="0"/>
          <w:numId w:val="2"/>
        </w:numPr>
        <w:spacing w:after="40" w:before="40"/>
        <w:ind w:left="720" w:hanging="360"/>
      </w:pPr>
      <w:r>
        <w:rPr>
          <w:rFonts w:ascii="Arial" w:cs="Arial" w:eastAsia="Arial" w:hAnsi="Arial"/>
          <w:color w:val="1F2937"/>
          <w:sz w:val="22"/>
          <w:szCs w:val="22"/>
        </w:rPr>
        <w:t xml:space="preserve">Session spec preview with plain-English confirmation before pipeline advances</w:t>
      </w:r>
    </w:p>
    <w:p>
      <w:pPr>
        <w:pStyle w:val="ListParagraph"/>
        <w:numPr>
          <w:ilvl w:val="0"/>
          <w:numId w:val="2"/>
        </w:numPr>
        <w:spacing w:after="40" w:before="40"/>
        <w:ind w:left="720" w:hanging="360"/>
      </w:pPr>
      <w:r>
        <w:rPr>
          <w:rFonts w:ascii="Arial" w:cs="Arial" w:eastAsia="Arial" w:hAnsi="Arial"/>
          <w:color w:val="1F2937"/>
          <w:sz w:val="22"/>
          <w:szCs w:val="22"/>
        </w:rPr>
        <w:t xml:space="preserve">Session history: every past session stored with its spec and linkable artifact</w:t>
      </w:r>
    </w:p>
    <w:p>
      <w:pPr>
        <w:pStyle w:val="ListParagraph"/>
        <w:numPr>
          <w:ilvl w:val="0"/>
          <w:numId w:val="2"/>
        </w:numPr>
        <w:spacing w:after="40" w:before="40"/>
        <w:ind w:left="720" w:hanging="360"/>
      </w:pPr>
      <w:r>
        <w:rPr>
          <w:rFonts w:ascii="Arial" w:cs="Arial" w:eastAsia="Arial" w:hAnsi="Arial"/>
          <w:color w:val="1F2937"/>
          <w:sz w:val="22"/>
          <w:szCs w:val="22"/>
        </w:rPr>
        <w:t xml:space="preserve">Session forking: start a new session from an existing session spec with modifications</w:t>
      </w:r>
    </w:p>
    <w:p>
      <w:pPr>
        <w:pStyle w:val="ListParagraph"/>
        <w:numPr>
          <w:ilvl w:val="0"/>
          <w:numId w:val="2"/>
        </w:numPr>
        <w:spacing w:after="40" w:before="40"/>
        <w:ind w:left="720" w:hanging="360"/>
      </w:pPr>
      <w:r>
        <w:rPr>
          <w:rFonts w:ascii="Arial" w:cs="Arial" w:eastAsia="Arial" w:hAnsi="Arial"/>
          <w:color w:val="1F2937"/>
          <w:sz w:val="22"/>
          <w:szCs w:val="22"/>
        </w:rPr>
        <w:t xml:space="preserve">Collaborative sessions: multiple workspace members can contribute to a session in real time</w:t>
      </w:r>
    </w:p>
    <w:p>
      <w:pPr>
        <w:pStyle w:val="ListParagraph"/>
        <w:numPr>
          <w:ilvl w:val="0"/>
          <w:numId w:val="2"/>
        </w:numPr>
        <w:spacing w:after="40" w:before="40"/>
        <w:ind w:left="720" w:hanging="360"/>
      </w:pPr>
      <w:r>
        <w:rPr>
          <w:rFonts w:ascii="Arial" w:cs="Arial" w:eastAsia="Arial" w:hAnsi="Arial"/>
          <w:color w:val="1F2937"/>
          <w:sz w:val="22"/>
          <w:szCs w:val="22"/>
        </w:rPr>
        <w:t xml:space="preserve">Session templates: workspace admins can create pre-configured session templates for common analysis patterns</w:t>
      </w:r>
    </w:p>
    <w:p>
      <w:pPr>
        <w:pStyle w:val="ListParagraph"/>
        <w:numPr>
          <w:ilvl w:val="0"/>
          <w:numId w:val="2"/>
        </w:numPr>
        <w:spacing w:after="40" w:before="40"/>
        <w:ind w:left="720" w:hanging="360"/>
      </w:pPr>
      <w:r>
        <w:rPr>
          <w:rFonts w:ascii="Arial" w:cs="Arial" w:eastAsia="Arial" w:hAnsi="Arial"/>
          <w:color w:val="1F2937"/>
          <w:sz w:val="22"/>
          <w:szCs w:val="22"/>
        </w:rPr>
        <w:t xml:space="preserve">Cell-based pipeline audit trail: every transformation step in a session is exposed as a discrete, labelled step card in a collapsible audit panel — users can inspect what happened between raw data and the final chart, see the plain-English description of each step, and flag any step for review without needing to understand the underlying SQL or Python</w:t>
      </w:r>
    </w:p>
    <w:p>
      <w:pPr>
        <w:pStyle w:val="ListParagraph"/>
        <w:numPr>
          <w:ilvl w:val="0"/>
          <w:numId w:val="2"/>
        </w:numPr>
        <w:spacing w:after="40" w:before="40"/>
        <w:ind w:left="720" w:hanging="360"/>
      </w:pPr>
      <w:r>
        <w:rPr>
          <w:rFonts w:ascii="Arial" w:cs="Arial" w:eastAsia="Arial" w:hAnsi="Arial"/>
          <w:color w:val="1F2937"/>
          <w:sz w:val="22"/>
          <w:szCs w:val="22"/>
        </w:rPr>
        <w:t xml:space="preserve">Pipeline step versioning: each step card records its input schema, output schema, and the agent prompt that produced it — session forking from any intermediate step is supported, enabling side-by-side comparison of two analytical branches from the same starting point</w:t>
      </w:r>
    </w:p>
    <w:p>
      <w:pPr>
        <w:pStyle w:val="ListParagraph"/>
        <w:numPr>
          <w:ilvl w:val="0"/>
          <w:numId w:val="2"/>
        </w:numPr>
        <w:spacing w:after="40" w:before="40"/>
        <w:ind w:left="720" w:hanging="360"/>
      </w:pPr>
      <w:r>
        <w:rPr>
          <w:rFonts w:ascii="Arial" w:cs="Arial" w:eastAsia="Arial" w:hAnsi="Arial"/>
          <w:color w:val="1F2937"/>
          <w:sz w:val="22"/>
          <w:szCs w:val="22"/>
        </w:rPr>
        <w:t xml:space="preserve">Proactive insight detection (SpotIQ-style): after any artifact is generated, a background insight agent scans the gold table for statistically significant anomalies, trends, and cross-dimensional correlations not present in the primary analysis — surfaces these as a dismissible Insights card below the dashboard with one-click drill-in to a new session for each finding</w:t>
      </w:r>
    </w:p>
    <w:p>
      <w:pPr>
        <w:pStyle w:val="ListParagraph"/>
        <w:numPr>
          <w:ilvl w:val="0"/>
          <w:numId w:val="2"/>
        </w:numPr>
        <w:spacing w:after="40" w:before="40"/>
        <w:ind w:left="720" w:hanging="360"/>
      </w:pPr>
      <w:r>
        <w:rPr>
          <w:rFonts w:ascii="Arial" w:cs="Arial" w:eastAsia="Arial" w:hAnsi="Arial"/>
          <w:color w:val="1F2937"/>
          <w:sz w:val="22"/>
          <w:szCs w:val="22"/>
        </w:rPr>
        <w:t xml:space="preserve">Related analysis suggestions: after a session completes, the system presents 3-5 follow-up question suggestions derived from semantic similarity to the current session spec and analysis patterns from similar sessions across the workspace — each suggestion is one click to start</w:t>
      </w:r>
    </w:p>
    <w:p>
      <w:pPr>
        <w:pStyle w:val="Heading2"/>
        <w:spacing w:after="120" w:before="360"/>
      </w:pPr>
      <w:r>
        <w:rPr>
          <w:rFonts w:ascii="Arial" w:cs="Arial" w:eastAsia="Arial" w:hAnsi="Arial"/>
          <w:b/>
          <w:bCs/>
          <w:color w:val="2B2D6E"/>
          <w:sz w:val="28"/>
          <w:szCs w:val="28"/>
        </w:rPr>
        <w:t xml:space="preserve">5.5 Data Modeling &amp; Feature Engineering</w:t>
      </w:r>
    </w:p>
    <w:p>
      <w:pPr>
        <w:pStyle w:val="ListParagraph"/>
        <w:numPr>
          <w:ilvl w:val="0"/>
          <w:numId w:val="2"/>
        </w:numPr>
        <w:spacing w:after="40" w:before="40"/>
        <w:ind w:left="720" w:hanging="360"/>
      </w:pPr>
      <w:r>
        <w:rPr>
          <w:rFonts w:ascii="Arial" w:cs="Arial" w:eastAsia="Arial" w:hAnsi="Arial"/>
          <w:color w:val="1F2937"/>
          <w:sz w:val="22"/>
          <w:szCs w:val="22"/>
        </w:rPr>
        <w:t xml:space="preserve">Automatic temporal feature generation: lags (1d, 3d, 7d, 14d, 28d), rolling means and std devs (7d, 14d, 28d), streak features</w:t>
      </w:r>
    </w:p>
    <w:p>
      <w:pPr>
        <w:pStyle w:val="ListParagraph"/>
        <w:numPr>
          <w:ilvl w:val="0"/>
          <w:numId w:val="2"/>
        </w:numPr>
        <w:spacing w:after="40" w:before="40"/>
        <w:ind w:left="720" w:hanging="360"/>
      </w:pPr>
      <w:r>
        <w:rPr>
          <w:rFonts w:ascii="Arial" w:cs="Arial" w:eastAsia="Arial" w:hAnsi="Arial"/>
          <w:color w:val="1F2937"/>
          <w:sz w:val="22"/>
          <w:szCs w:val="22"/>
        </w:rPr>
        <w:t xml:space="preserve">Holiday calendar integration: US federal holidays built-in; custom holiday calendars uploadable per workspace</w:t>
      </w:r>
    </w:p>
    <w:p>
      <w:pPr>
        <w:pStyle w:val="ListParagraph"/>
        <w:numPr>
          <w:ilvl w:val="0"/>
          <w:numId w:val="2"/>
        </w:numPr>
        <w:spacing w:after="40" w:before="40"/>
        <w:ind w:left="720" w:hanging="360"/>
      </w:pPr>
      <w:r>
        <w:rPr>
          <w:rFonts w:ascii="Arial" w:cs="Arial" w:eastAsia="Arial" w:hAnsi="Arial"/>
          <w:color w:val="1F2937"/>
          <w:sz w:val="22"/>
          <w:szCs w:val="22"/>
        </w:rPr>
        <w:t xml:space="preserve">Interaction feature generation for top categorical dimension pairs</w:t>
      </w:r>
    </w:p>
    <w:p>
      <w:pPr>
        <w:pStyle w:val="ListParagraph"/>
        <w:numPr>
          <w:ilvl w:val="0"/>
          <w:numId w:val="2"/>
        </w:numPr>
        <w:spacing w:after="40" w:before="40"/>
        <w:ind w:left="720" w:hanging="360"/>
      </w:pPr>
      <w:r>
        <w:rPr>
          <w:rFonts w:ascii="Arial" w:cs="Arial" w:eastAsia="Arial" w:hAnsi="Arial"/>
          <w:color w:val="1F2937"/>
          <w:sz w:val="22"/>
          <w:szCs w:val="22"/>
        </w:rPr>
        <w:t xml:space="preserve">Multiple encoding strategies: one-hot (low cardinality), target encoding with CV (medium), hash + frequency encoding (high cardinality)</w:t>
      </w:r>
    </w:p>
    <w:p>
      <w:pPr>
        <w:pStyle w:val="ListParagraph"/>
        <w:numPr>
          <w:ilvl w:val="0"/>
          <w:numId w:val="2"/>
        </w:numPr>
        <w:spacing w:after="40" w:before="40"/>
        <w:ind w:left="720" w:hanging="360"/>
      </w:pPr>
      <w:r>
        <w:rPr>
          <w:rFonts w:ascii="Arial" w:cs="Arial" w:eastAsia="Arial" w:hAnsi="Arial"/>
          <w:color w:val="1F2937"/>
          <w:sz w:val="22"/>
          <w:szCs w:val="22"/>
        </w:rPr>
        <w:t xml:space="preserve">Robust imputation: rolling median for measures, mode + indicator for dimensions, forward/back fill for dates</w:t>
      </w:r>
    </w:p>
    <w:p>
      <w:pPr>
        <w:pStyle w:val="ListParagraph"/>
        <w:numPr>
          <w:ilvl w:val="0"/>
          <w:numId w:val="2"/>
        </w:numPr>
        <w:spacing w:after="40" w:before="40"/>
        <w:ind w:left="720" w:hanging="360"/>
      </w:pPr>
      <w:r>
        <w:rPr>
          <w:rFonts w:ascii="Arial" w:cs="Arial" w:eastAsia="Arial" w:hAnsi="Arial"/>
          <w:color w:val="1F2937"/>
          <w:sz w:val="22"/>
          <w:szCs w:val="22"/>
        </w:rPr>
        <w:t xml:space="preserve">Collinearity detection and automatic feature dropping with MI-based selection criteria</w:t>
      </w:r>
    </w:p>
    <w:p>
      <w:pPr>
        <w:pStyle w:val="ListParagraph"/>
        <w:numPr>
          <w:ilvl w:val="0"/>
          <w:numId w:val="2"/>
        </w:numPr>
        <w:spacing w:after="40" w:before="40"/>
        <w:ind w:left="720" w:hanging="360"/>
      </w:pPr>
      <w:r>
        <w:rPr>
          <w:rFonts w:ascii="Arial" w:cs="Arial" w:eastAsia="Arial" w:hAnsi="Arial"/>
          <w:color w:val="1F2937"/>
          <w:sz w:val="22"/>
          <w:szCs w:val="22"/>
        </w:rPr>
        <w:t xml:space="preserve">Target leakage detection with human-in-the-loop confirmation for borderline cases</w:t>
      </w:r>
    </w:p>
    <w:p>
      <w:pPr>
        <w:pStyle w:val="ListParagraph"/>
        <w:numPr>
          <w:ilvl w:val="0"/>
          <w:numId w:val="2"/>
        </w:numPr>
        <w:spacing w:after="40" w:before="40"/>
        <w:ind w:left="720" w:hanging="360"/>
      </w:pPr>
      <w:r>
        <w:rPr>
          <w:rFonts w:ascii="Arial" w:cs="Arial" w:eastAsia="Arial" w:hAnsi="Arial"/>
          <w:color w:val="1F2937"/>
          <w:sz w:val="22"/>
          <w:szCs w:val="22"/>
        </w:rPr>
        <w:t xml:space="preserve">Feature manifest versioning — every gold table knows exactly which feature engineering version produced it</w:t>
      </w:r>
    </w:p>
    <w:p>
      <w:pPr>
        <w:pStyle w:val="ListParagraph"/>
        <w:numPr>
          <w:ilvl w:val="0"/>
          <w:numId w:val="2"/>
        </w:numPr>
        <w:spacing w:after="40" w:before="40"/>
        <w:ind w:left="720" w:hanging="360"/>
      </w:pPr>
      <w:r>
        <w:rPr>
          <w:rFonts w:ascii="Arial" w:cs="Arial" w:eastAsia="Arial" w:hAnsi="Arial"/>
          <w:color w:val="1F2937"/>
          <w:sz w:val="22"/>
          <w:szCs w:val="22"/>
        </w:rPr>
        <w:t xml:space="preserve">Custom feature injection: advanced users can write a Python function to add custom features, reviewed before inclusion</w:t>
      </w:r>
    </w:p>
    <w:p>
      <w:pPr>
        <w:pStyle w:val="Heading2"/>
        <w:spacing w:after="120" w:before="360"/>
      </w:pPr>
      <w:r>
        <w:rPr>
          <w:rFonts w:ascii="Arial" w:cs="Arial" w:eastAsia="Arial" w:hAnsi="Arial"/>
          <w:b/>
          <w:bCs/>
          <w:color w:val="2B2D6E"/>
          <w:sz w:val="28"/>
          <w:szCs w:val="28"/>
        </w:rPr>
        <w:t xml:space="preserve">5.6 Model Training &amp; Validation</w:t>
      </w:r>
    </w:p>
    <w:p>
      <w:pPr>
        <w:pStyle w:val="ListParagraph"/>
        <w:numPr>
          <w:ilvl w:val="0"/>
          <w:numId w:val="2"/>
        </w:numPr>
        <w:spacing w:after="40" w:before="40"/>
        <w:ind w:left="720" w:hanging="360"/>
      </w:pPr>
      <w:r>
        <w:rPr>
          <w:rFonts w:ascii="Arial" w:cs="Arial" w:eastAsia="Arial" w:hAnsi="Arial"/>
          <w:color w:val="1F2937"/>
          <w:sz w:val="22"/>
          <w:szCs w:val="22"/>
        </w:rPr>
        <w:t xml:space="preserve">Three-candidate parallel model training for all target types (regression, binary, multiclass)</w:t>
      </w:r>
    </w:p>
    <w:p>
      <w:pPr>
        <w:pStyle w:val="ListParagraph"/>
        <w:numPr>
          <w:ilvl w:val="0"/>
          <w:numId w:val="2"/>
        </w:numPr>
        <w:spacing w:after="40" w:before="40"/>
        <w:ind w:left="720" w:hanging="360"/>
      </w:pPr>
      <w:r>
        <w:rPr>
          <w:rFonts w:ascii="Arial" w:cs="Arial" w:eastAsia="Arial" w:hAnsi="Arial"/>
          <w:color w:val="1F2937"/>
          <w:sz w:val="22"/>
          <w:szCs w:val="22"/>
        </w:rPr>
        <w:t xml:space="preserve">Automatic ensemble generation when top-2 candidates are within 3% of each other</w:t>
      </w:r>
    </w:p>
    <w:p>
      <w:pPr>
        <w:pStyle w:val="ListParagraph"/>
        <w:numPr>
          <w:ilvl w:val="0"/>
          <w:numId w:val="2"/>
        </w:numPr>
        <w:spacing w:after="40" w:before="40"/>
        <w:ind w:left="720" w:hanging="360"/>
      </w:pPr>
      <w:r>
        <w:rPr>
          <w:rFonts w:ascii="Arial" w:cs="Arial" w:eastAsia="Arial" w:hAnsi="Arial"/>
          <w:color w:val="1F2937"/>
          <w:sz w:val="22"/>
          <w:szCs w:val="22"/>
        </w:rPr>
        <w:t xml:space="preserve">Walk-forward backtesting (5 expanding windows) — static train/test splits prohibited on temporal data</w:t>
      </w:r>
    </w:p>
    <w:p>
      <w:pPr>
        <w:pStyle w:val="ListParagraph"/>
        <w:numPr>
          <w:ilvl w:val="0"/>
          <w:numId w:val="2"/>
        </w:numPr>
        <w:spacing w:after="40" w:before="40"/>
        <w:ind w:left="720" w:hanging="360"/>
      </w:pPr>
      <w:r>
        <w:rPr>
          <w:rFonts w:ascii="Arial" w:cs="Arial" w:eastAsia="Arial" w:hAnsi="Arial"/>
          <w:color w:val="1F2937"/>
          <w:sz w:val="22"/>
          <w:szCs w:val="22"/>
        </w:rPr>
        <w:t xml:space="preserve">Prophet integration for pure time-series use cases with seasonality decomposition</w:t>
      </w:r>
    </w:p>
    <w:p>
      <w:pPr>
        <w:pStyle w:val="ListParagraph"/>
        <w:numPr>
          <w:ilvl w:val="0"/>
          <w:numId w:val="2"/>
        </w:numPr>
        <w:spacing w:after="40" w:before="40"/>
        <w:ind w:left="720" w:hanging="360"/>
      </w:pPr>
      <w:r>
        <w:rPr>
          <w:rFonts w:ascii="Arial" w:cs="Arial" w:eastAsia="Arial" w:hAnsi="Arial"/>
          <w:color w:val="1F2937"/>
          <w:sz w:val="22"/>
          <w:szCs w:val="22"/>
        </w:rPr>
        <w:t xml:space="preserve">Hyperparameter optimization via Optuna-style random search with pruning (default 30 trials per model)</w:t>
      </w:r>
    </w:p>
    <w:p>
      <w:pPr>
        <w:pStyle w:val="ListParagraph"/>
        <w:numPr>
          <w:ilvl w:val="0"/>
          <w:numId w:val="2"/>
        </w:numPr>
        <w:spacing w:after="40" w:before="40"/>
        <w:ind w:left="720" w:hanging="360"/>
      </w:pPr>
      <w:r>
        <w:rPr>
          <w:rFonts w:ascii="Arial" w:cs="Arial" w:eastAsia="Arial" w:hAnsi="Arial"/>
          <w:color w:val="1F2937"/>
          <w:sz w:val="22"/>
          <w:szCs w:val="22"/>
        </w:rPr>
        <w:t xml:space="preserve">Automated repair loop for failed promotion criteria — targeted fixes, not full regeneration</w:t>
      </w:r>
    </w:p>
    <w:p>
      <w:pPr>
        <w:pStyle w:val="ListParagraph"/>
        <w:numPr>
          <w:ilvl w:val="0"/>
          <w:numId w:val="2"/>
        </w:numPr>
        <w:spacing w:after="40" w:before="40"/>
        <w:ind w:left="720" w:hanging="360"/>
      </w:pPr>
      <w:r>
        <w:rPr>
          <w:rFonts w:ascii="Arial" w:cs="Arial" w:eastAsia="Arial" w:hAnsi="Arial"/>
          <w:color w:val="1F2937"/>
          <w:sz w:val="22"/>
          <w:szCs w:val="22"/>
        </w:rPr>
        <w:t xml:space="preserve">Model card generation with full training lineage, hyperparameters, feature importance, and backtesting results</w:t>
      </w:r>
    </w:p>
    <w:p>
      <w:pPr>
        <w:pStyle w:val="ListParagraph"/>
        <w:numPr>
          <w:ilvl w:val="0"/>
          <w:numId w:val="2"/>
        </w:numPr>
        <w:spacing w:after="40" w:before="40"/>
        <w:ind w:left="720" w:hanging="360"/>
      </w:pPr>
      <w:r>
        <w:rPr>
          <w:rFonts w:ascii="Arial" w:cs="Arial" w:eastAsia="Arial" w:hAnsi="Arial"/>
          <w:color w:val="1F2937"/>
          <w:sz w:val="22"/>
          <w:szCs w:val="22"/>
        </w:rPr>
        <w:t xml:space="preserve">SHAP explainability: per-row SHAP values computed and stored for all promoted models</w:t>
      </w:r>
    </w:p>
    <w:p>
      <w:pPr>
        <w:pStyle w:val="ListParagraph"/>
        <w:numPr>
          <w:ilvl w:val="0"/>
          <w:numId w:val="2"/>
        </w:numPr>
        <w:spacing w:after="40" w:before="40"/>
        <w:ind w:left="720" w:hanging="360"/>
      </w:pPr>
      <w:r>
        <w:rPr>
          <w:rFonts w:ascii="Arial" w:cs="Arial" w:eastAsia="Arial" w:hAnsi="Arial"/>
          <w:color w:val="1F2937"/>
          <w:sz w:val="22"/>
          <w:szCs w:val="22"/>
        </w:rPr>
        <w:t xml:space="preserve">Model registry with versioning, promotion/demotion workflow, and archived history</w:t>
      </w:r>
    </w:p>
    <w:p>
      <w:pPr>
        <w:pStyle w:val="ListParagraph"/>
        <w:numPr>
          <w:ilvl w:val="0"/>
          <w:numId w:val="2"/>
        </w:numPr>
        <w:spacing w:after="40" w:before="40"/>
        <w:ind w:left="720" w:hanging="360"/>
      </w:pPr>
      <w:r>
        <w:rPr>
          <w:rFonts w:ascii="Arial" w:cs="Arial" w:eastAsia="Arial" w:hAnsi="Arial"/>
          <w:color w:val="1F2937"/>
          <w:sz w:val="22"/>
          <w:szCs w:val="22"/>
        </w:rPr>
        <w:t xml:space="preserve">Champion/challenger framework: deploy a new model as challenger against existing champion; automatically promote if challenger outperforms by &gt; 5% over 14-day live period</w:t>
      </w:r>
    </w:p>
    <w:p>
      <w:pPr>
        <w:pStyle w:val="ListParagraph"/>
        <w:numPr>
          <w:ilvl w:val="0"/>
          <w:numId w:val="2"/>
        </w:numPr>
        <w:spacing w:after="40" w:before="40"/>
        <w:ind w:left="720" w:hanging="360"/>
      </w:pPr>
      <w:r>
        <w:rPr>
          <w:rFonts w:ascii="Arial" w:cs="Arial" w:eastAsia="Arial" w:hAnsi="Arial"/>
          <w:color w:val="1F2937"/>
          <w:sz w:val="22"/>
          <w:szCs w:val="22"/>
        </w:rPr>
        <w:t xml:space="preserve">Async training for large datasets (&gt; 1M training rows): job queued, user notified on completion</w:t>
      </w:r>
    </w:p>
    <w:p>
      <w:pPr>
        <w:pStyle w:val="ListParagraph"/>
        <w:numPr>
          <w:ilvl w:val="0"/>
          <w:numId w:val="2"/>
        </w:numPr>
        <w:spacing w:after="40" w:before="40"/>
        <w:ind w:left="720" w:hanging="360"/>
      </w:pPr>
      <w:r>
        <w:rPr>
          <w:rFonts w:ascii="Arial" w:cs="Arial" w:eastAsia="Arial" w:hAnsi="Arial"/>
          <w:color w:val="1F2937"/>
          <w:sz w:val="22"/>
          <w:szCs w:val="22"/>
        </w:rPr>
        <w:t xml:space="preserve">Model trial leaderboard: every algorithm and hyperparameter combination evaluated during training is recorded and surfaced in the artifact as a collapsible comparison panel — shows algorithm, validation MAPE, training time, and a plain-English trade-off summary so users can make an informed champion selection rather than accepting the automated winner blindly</w:t>
      </w:r>
    </w:p>
    <w:p>
      <w:pPr>
        <w:pStyle w:val="Heading2"/>
        <w:spacing w:after="120" w:before="360"/>
      </w:pPr>
      <w:r>
        <w:rPr>
          <w:rFonts w:ascii="Arial" w:cs="Arial" w:eastAsia="Arial" w:hAnsi="Arial"/>
          <w:b/>
          <w:bCs/>
          <w:color w:val="2B2D6E"/>
          <w:sz w:val="28"/>
          <w:szCs w:val="28"/>
        </w:rPr>
        <w:t xml:space="preserve">5.7 Dashboard Artifact Engine</w:t>
      </w:r>
    </w:p>
    <w:p>
      <w:pPr>
        <w:pStyle w:val="ListParagraph"/>
        <w:numPr>
          <w:ilvl w:val="0"/>
          <w:numId w:val="2"/>
        </w:numPr>
        <w:spacing w:after="40" w:before="40"/>
        <w:ind w:left="720" w:hanging="360"/>
      </w:pPr>
      <w:r>
        <w:rPr>
          <w:rFonts w:ascii="Arial" w:cs="Arial" w:eastAsia="Arial" w:hAnsi="Arial"/>
          <w:color w:val="1F2937"/>
          <w:sz w:val="22"/>
          <w:szCs w:val="22"/>
        </w:rPr>
        <w:t xml:space="preserve">Self-contained single-file HTML artifacts — no build step, no framework, no deployment infrastructure required</w:t>
      </w:r>
    </w:p>
    <w:p>
      <w:pPr>
        <w:pStyle w:val="ListParagraph"/>
        <w:numPr>
          <w:ilvl w:val="0"/>
          <w:numId w:val="2"/>
        </w:numPr>
        <w:spacing w:after="40" w:before="40"/>
        <w:ind w:left="720" w:hanging="360"/>
      </w:pPr>
      <w:r>
        <w:rPr>
          <w:rFonts w:ascii="Arial" w:cs="Arial" w:eastAsia="Arial" w:hAnsi="Arial"/>
          <w:color w:val="1F2937"/>
          <w:sz w:val="22"/>
          <w:szCs w:val="22"/>
        </w:rPr>
        <w:t xml:space="preserve">Eight standard dashboard panels: header, KPI row, time series with CI, feature importance, dimension breakdown, forecast, model trial leaderboard, DQ footer</w:t>
      </w:r>
    </w:p>
    <w:p>
      <w:pPr>
        <w:pStyle w:val="ListParagraph"/>
        <w:numPr>
          <w:ilvl w:val="0"/>
          <w:numId w:val="2"/>
        </w:numPr>
        <w:spacing w:after="40" w:before="40"/>
        <w:ind w:left="720" w:hanging="360"/>
      </w:pPr>
      <w:r>
        <w:rPr>
          <w:rFonts w:ascii="Arial" w:cs="Arial" w:eastAsia="Arial" w:hAnsi="Arial"/>
          <w:color w:val="1F2937"/>
          <w:sz w:val="22"/>
          <w:szCs w:val="22"/>
        </w:rPr>
        <w:t xml:space="preserve">Unified filter state — all panels update simultaneously from a single state object</w:t>
      </w:r>
    </w:p>
    <w:p>
      <w:pPr>
        <w:pStyle w:val="ListParagraph"/>
        <w:numPr>
          <w:ilvl w:val="0"/>
          <w:numId w:val="2"/>
        </w:numPr>
        <w:spacing w:after="40" w:before="40"/>
        <w:ind w:left="720" w:hanging="360"/>
      </w:pPr>
      <w:r>
        <w:rPr>
          <w:rFonts w:ascii="Arial" w:cs="Arial" w:eastAsia="Arial" w:hAnsi="Arial"/>
          <w:color w:val="1F2937"/>
          <w:sz w:val="22"/>
          <w:szCs w:val="22"/>
        </w:rPr>
        <w:t xml:space="preserve">Dark mode support via CSS custom properties, auto-detected from system preference</w:t>
      </w:r>
    </w:p>
    <w:p>
      <w:pPr>
        <w:pStyle w:val="ListParagraph"/>
        <w:numPr>
          <w:ilvl w:val="0"/>
          <w:numId w:val="2"/>
        </w:numPr>
        <w:spacing w:after="40" w:before="40"/>
        <w:ind w:left="720" w:hanging="360"/>
      </w:pPr>
      <w:r>
        <w:rPr>
          <w:rFonts w:ascii="Arial" w:cs="Arial" w:eastAsia="Arial" w:hAnsi="Arial"/>
          <w:color w:val="1F2937"/>
          <w:sz w:val="22"/>
          <w:szCs w:val="22"/>
        </w:rPr>
        <w:t xml:space="preserve">Per-panel export: PNG (via canvas API), CSV (via Blob API), JSON raw data</w:t>
      </w:r>
    </w:p>
    <w:p>
      <w:pPr>
        <w:pStyle w:val="ListParagraph"/>
        <w:numPr>
          <w:ilvl w:val="0"/>
          <w:numId w:val="2"/>
        </w:numPr>
        <w:spacing w:after="40" w:before="40"/>
        <w:ind w:left="720" w:hanging="360"/>
      </w:pPr>
      <w:r>
        <w:rPr>
          <w:rFonts w:ascii="Arial" w:cs="Arial" w:eastAsia="Arial" w:hAnsi="Arial"/>
          <w:color w:val="1F2937"/>
          <w:sz w:val="22"/>
          <w:szCs w:val="22"/>
        </w:rPr>
        <w:t xml:space="preserve">Full dashboard PDF export via browser print API with print-optimized CSS</w:t>
      </w:r>
    </w:p>
    <w:p>
      <w:pPr>
        <w:pStyle w:val="ListParagraph"/>
        <w:numPr>
          <w:ilvl w:val="0"/>
          <w:numId w:val="2"/>
        </w:numPr>
        <w:spacing w:after="40" w:before="40"/>
        <w:ind w:left="720" w:hanging="360"/>
      </w:pPr>
      <w:r>
        <w:rPr>
          <w:rFonts w:ascii="Arial" w:cs="Arial" w:eastAsia="Arial" w:hAnsi="Arial"/>
          <w:color w:val="1F2937"/>
          <w:sz w:val="22"/>
          <w:szCs w:val="22"/>
        </w:rPr>
        <w:t xml:space="preserve">Skeleton loading states for all panels during API data fetch</w:t>
      </w:r>
    </w:p>
    <w:p>
      <w:pPr>
        <w:pStyle w:val="ListParagraph"/>
        <w:numPr>
          <w:ilvl w:val="0"/>
          <w:numId w:val="2"/>
        </w:numPr>
        <w:spacing w:after="40" w:before="40"/>
        <w:ind w:left="720" w:hanging="360"/>
      </w:pPr>
      <w:r>
        <w:rPr>
          <w:rFonts w:ascii="Arial" w:cs="Arial" w:eastAsia="Arial" w:hAnsi="Arial"/>
          <w:color w:val="1F2937"/>
          <w:sz w:val="22"/>
          <w:szCs w:val="22"/>
        </w:rPr>
        <w:t xml:space="preserve">Error states with retry buttons for all API-dependent panels</w:t>
      </w:r>
    </w:p>
    <w:p>
      <w:pPr>
        <w:pStyle w:val="ListParagraph"/>
        <w:numPr>
          <w:ilvl w:val="0"/>
          <w:numId w:val="2"/>
        </w:numPr>
        <w:spacing w:after="40" w:before="40"/>
        <w:ind w:left="720" w:hanging="360"/>
      </w:pPr>
      <w:r>
        <w:rPr>
          <w:rFonts w:ascii="Arial" w:cs="Arial" w:eastAsia="Arial" w:hAnsi="Arial"/>
          <w:color w:val="1F2937"/>
          <w:sz w:val="22"/>
          <w:szCs w:val="22"/>
        </w:rPr>
        <w:t xml:space="preserve">Responsive layout: single-column stacking below 768px viewport width</w:t>
      </w:r>
    </w:p>
    <w:p>
      <w:pPr>
        <w:pStyle w:val="ListParagraph"/>
        <w:numPr>
          <w:ilvl w:val="0"/>
          <w:numId w:val="2"/>
        </w:numPr>
        <w:spacing w:after="40" w:before="40"/>
        <w:ind w:left="720" w:hanging="360"/>
      </w:pPr>
      <w:r>
        <w:rPr>
          <w:rFonts w:ascii="Arial" w:cs="Arial" w:eastAsia="Arial" w:hAnsi="Arial"/>
          <w:color w:val="1F2937"/>
          <w:sz w:val="22"/>
          <w:szCs w:val="22"/>
        </w:rPr>
        <w:t xml:space="preserve">Accessible: all charts have aria-label and role attributes; keyboard navigation on all filters</w:t>
      </w:r>
    </w:p>
    <w:p>
      <w:pPr>
        <w:pStyle w:val="ListParagraph"/>
        <w:numPr>
          <w:ilvl w:val="0"/>
          <w:numId w:val="2"/>
        </w:numPr>
        <w:spacing w:after="40" w:before="40"/>
        <w:ind w:left="720" w:hanging="360"/>
      </w:pPr>
      <w:r>
        <w:rPr>
          <w:rFonts w:ascii="Arial" w:cs="Arial" w:eastAsia="Arial" w:hAnsi="Arial"/>
          <w:color w:val="1F2937"/>
          <w:sz w:val="22"/>
          <w:szCs w:val="22"/>
        </w:rPr>
        <w:t xml:space="preserve">Artifact versioning: every regeneration creates a new version; previous versions accessible from version history panel</w:t>
      </w:r>
    </w:p>
    <w:p>
      <w:pPr>
        <w:pStyle w:val="ListParagraph"/>
        <w:numPr>
          <w:ilvl w:val="0"/>
          <w:numId w:val="2"/>
        </w:numPr>
        <w:spacing w:after="40" w:before="40"/>
        <w:ind w:left="720" w:hanging="360"/>
      </w:pPr>
      <w:r>
        <w:rPr>
          <w:rFonts w:ascii="Arial" w:cs="Arial" w:eastAsia="Arial" w:hAnsi="Arial"/>
          <w:color w:val="1F2937"/>
          <w:sz w:val="22"/>
          <w:szCs w:val="22"/>
        </w:rPr>
        <w:t xml:space="preserve">Deterministic post-generation validation with targeted repair loop (max 2 cycles)</w:t>
      </w:r>
    </w:p>
    <w:p>
      <w:pPr>
        <w:pStyle w:val="ListParagraph"/>
        <w:numPr>
          <w:ilvl w:val="0"/>
          <w:numId w:val="2"/>
        </w:numPr>
        <w:spacing w:after="40" w:before="40"/>
        <w:ind w:left="720" w:hanging="360"/>
      </w:pPr>
      <w:r>
        <w:rPr>
          <w:rFonts w:ascii="Arial" w:cs="Arial" w:eastAsia="Arial" w:hAnsi="Arial"/>
          <w:color w:val="1F2937"/>
          <w:sz w:val="22"/>
          <w:szCs w:val="22"/>
        </w:rPr>
        <w:t xml:space="preserve">Custom branding: workspace admins can configure logo, primary color, and font family applied to all workspace artifacts</w:t>
      </w:r>
    </w:p>
    <w:p>
      <w:pPr>
        <w:pStyle w:val="ListParagraph"/>
        <w:numPr>
          <w:ilvl w:val="0"/>
          <w:numId w:val="2"/>
        </w:numPr>
        <w:spacing w:after="40" w:before="40"/>
        <w:ind w:left="720" w:hanging="360"/>
      </w:pPr>
      <w:r>
        <w:rPr>
          <w:rFonts w:ascii="Arial" w:cs="Arial" w:eastAsia="Arial" w:hAnsi="Arial"/>
          <w:color w:val="1F2937"/>
          <w:sz w:val="22"/>
          <w:szCs w:val="22"/>
        </w:rPr>
        <w:t xml:space="preserve">Click-to-drill interaction: clicking any bar, point, or cell on any chart cross-filters all other panels by that dimension value — a second click opens a drill-through drawer showing underlying grain-level rows with sortable columns and CSV export, bringing raw data to the surface without requiring a new session</w:t>
      </w:r>
    </w:p>
    <w:p>
      <w:pPr>
        <w:pStyle w:val="ListParagraph"/>
        <w:numPr>
          <w:ilvl w:val="0"/>
          <w:numId w:val="2"/>
        </w:numPr>
        <w:spacing w:after="40" w:before="40"/>
        <w:ind w:left="720" w:hanging="360"/>
      </w:pPr>
      <w:r>
        <w:rPr>
          <w:rFonts w:ascii="Arial" w:cs="Arial" w:eastAsia="Arial" w:hAnsi="Arial"/>
          <w:color w:val="1F2937"/>
          <w:sz w:val="22"/>
          <w:szCs w:val="22"/>
        </w:rPr>
        <w:t xml:space="preserve">Metric alert subscriptions: any viewer can subscribe to a metric threshold alert directly from the artifact (e.g. alert when net_revenue for any location drops &gt; 15% week-over-week) — delivered via email or Slack with a deep link back to the artifact filtered to the triggering dimension value</w:t>
      </w:r>
    </w:p>
    <w:p>
      <w:pPr>
        <w:pStyle w:val="ListParagraph"/>
        <w:numPr>
          <w:ilvl w:val="0"/>
          <w:numId w:val="2"/>
        </w:numPr>
        <w:spacing w:after="40" w:before="40"/>
        <w:ind w:left="720" w:hanging="360"/>
      </w:pPr>
      <w:r>
        <w:rPr>
          <w:rFonts w:ascii="Arial" w:cs="Arial" w:eastAsia="Arial" w:hAnsi="Arial"/>
          <w:color w:val="1F2937"/>
          <w:sz w:val="22"/>
          <w:szCs w:val="22"/>
        </w:rPr>
        <w:t xml:space="preserve">Natural language annotations: any viewer can highlight a data point on any chart and attach a plain-English annotation (e.g. this spike is the Springfield location reopening after renovation) — annotations are stored as structured events keyed to grain value and timestamp, visible as tooltip overlays to all viewers, and optionally injected as a binary feature (is_annotated_event) in future model training runs, closing the loop between human domain knowledge and machine learning</w:t>
      </w:r>
    </w:p>
    <w:p>
      <w:pPr>
        <w:pStyle w:val="Heading2"/>
        <w:spacing w:after="120" w:before="360"/>
      </w:pPr>
      <w:r>
        <w:rPr>
          <w:rFonts w:ascii="Arial" w:cs="Arial" w:eastAsia="Arial" w:hAnsi="Arial"/>
          <w:b/>
          <w:bCs/>
          <w:color w:val="2B2D6E"/>
          <w:sz w:val="28"/>
          <w:szCs w:val="28"/>
        </w:rPr>
        <w:t xml:space="preserve">5.8 Workspace &amp; Sharing</w:t>
      </w:r>
    </w:p>
    <w:p>
      <w:pPr>
        <w:pStyle w:val="ListParagraph"/>
        <w:numPr>
          <w:ilvl w:val="0"/>
          <w:numId w:val="2"/>
        </w:numPr>
        <w:spacing w:after="40" w:before="40"/>
        <w:ind w:left="720" w:hanging="360"/>
      </w:pPr>
      <w:r>
        <w:rPr>
          <w:rFonts w:ascii="Arial" w:cs="Arial" w:eastAsia="Arial" w:hAnsi="Arial"/>
          <w:color w:val="1F2937"/>
          <w:sz w:val="22"/>
          <w:szCs w:val="22"/>
        </w:rPr>
        <w:t xml:space="preserve">Artifact list view with thumbnail previews, last updated, owner, share status, and DQ health badge</w:t>
      </w:r>
    </w:p>
    <w:p>
      <w:pPr>
        <w:pStyle w:val="ListParagraph"/>
        <w:numPr>
          <w:ilvl w:val="0"/>
          <w:numId w:val="2"/>
        </w:numPr>
        <w:spacing w:after="40" w:before="40"/>
        <w:ind w:left="720" w:hanging="360"/>
      </w:pPr>
      <w:r>
        <w:rPr>
          <w:rFonts w:ascii="Arial" w:cs="Arial" w:eastAsia="Arial" w:hAnsi="Arial"/>
          <w:color w:val="1F2937"/>
          <w:sz w:val="22"/>
          <w:szCs w:val="22"/>
        </w:rPr>
        <w:t xml:space="preserve">Within-workspace sharing with Viewer / Editor / Owner roles</w:t>
      </w:r>
    </w:p>
    <w:p>
      <w:pPr>
        <w:pStyle w:val="ListParagraph"/>
        <w:numPr>
          <w:ilvl w:val="0"/>
          <w:numId w:val="2"/>
        </w:numPr>
        <w:spacing w:after="40" w:before="40"/>
        <w:ind w:left="720" w:hanging="360"/>
      </w:pPr>
      <w:r>
        <w:rPr>
          <w:rFonts w:ascii="Arial" w:cs="Arial" w:eastAsia="Arial" w:hAnsi="Arial"/>
          <w:color w:val="1F2937"/>
          <w:sz w:val="22"/>
          <w:szCs w:val="22"/>
        </w:rPr>
        <w:t xml:space="preserve">Cross-workspace sharing via scoped embed tokens — recipients never access source tables</w:t>
      </w:r>
    </w:p>
    <w:p>
      <w:pPr>
        <w:pStyle w:val="ListParagraph"/>
        <w:numPr>
          <w:ilvl w:val="0"/>
          <w:numId w:val="2"/>
        </w:numPr>
        <w:spacing w:after="40" w:before="40"/>
        <w:ind w:left="720" w:hanging="360"/>
      </w:pPr>
      <w:r>
        <w:rPr>
          <w:rFonts w:ascii="Arial" w:cs="Arial" w:eastAsia="Arial" w:hAnsi="Arial"/>
          <w:color w:val="1F2937"/>
          <w:sz w:val="22"/>
          <w:szCs w:val="22"/>
        </w:rPr>
        <w:t xml:space="preserve">Public share links with optional password and configurable expiry</w:t>
      </w:r>
    </w:p>
    <w:p>
      <w:pPr>
        <w:pStyle w:val="ListParagraph"/>
        <w:numPr>
          <w:ilvl w:val="0"/>
          <w:numId w:val="2"/>
        </w:numPr>
        <w:spacing w:after="40" w:before="40"/>
        <w:ind w:left="720" w:hanging="360"/>
      </w:pPr>
      <w:r>
        <w:rPr>
          <w:rFonts w:ascii="Arial" w:cs="Arial" w:eastAsia="Arial" w:hAnsi="Arial"/>
          <w:color w:val="1F2937"/>
          <w:sz w:val="22"/>
          <w:szCs w:val="22"/>
        </w:rPr>
        <w:t xml:space="preserve">Signed JWT embed tokens with allowed_origins restriction and configurable expiry</w:t>
      </w:r>
    </w:p>
    <w:p>
      <w:pPr>
        <w:pStyle w:val="ListParagraph"/>
        <w:numPr>
          <w:ilvl w:val="0"/>
          <w:numId w:val="2"/>
        </w:numPr>
        <w:spacing w:after="40" w:before="40"/>
        <w:ind w:left="720" w:hanging="360"/>
      </w:pPr>
      <w:r>
        <w:rPr>
          <w:rFonts w:ascii="Arial" w:cs="Arial" w:eastAsia="Arial" w:hAnsi="Arial"/>
          <w:color w:val="1F2937"/>
          <w:sz w:val="22"/>
          <w:szCs w:val="22"/>
        </w:rPr>
        <w:t xml:space="preserve">Artifact favoriting and tagging for personal organization</w:t>
      </w:r>
    </w:p>
    <w:p>
      <w:pPr>
        <w:pStyle w:val="ListParagraph"/>
        <w:numPr>
          <w:ilvl w:val="0"/>
          <w:numId w:val="2"/>
        </w:numPr>
        <w:spacing w:after="40" w:before="40"/>
        <w:ind w:left="720" w:hanging="360"/>
      </w:pPr>
      <w:r>
        <w:rPr>
          <w:rFonts w:ascii="Arial" w:cs="Arial" w:eastAsia="Arial" w:hAnsi="Arial"/>
          <w:color w:val="1F2937"/>
          <w:sz w:val="22"/>
          <w:szCs w:val="22"/>
        </w:rPr>
        <w:t xml:space="preserve">Workspace-level artifact search (full-text across artifact names, descriptions, and metric names)</w:t>
      </w:r>
    </w:p>
    <w:p>
      <w:pPr>
        <w:pStyle w:val="ListParagraph"/>
        <w:numPr>
          <w:ilvl w:val="0"/>
          <w:numId w:val="2"/>
        </w:numPr>
        <w:spacing w:after="40" w:before="40"/>
        <w:ind w:left="720" w:hanging="360"/>
      </w:pPr>
      <w:r>
        <w:rPr>
          <w:rFonts w:ascii="Arial" w:cs="Arial" w:eastAsia="Arial" w:hAnsi="Arial"/>
          <w:color w:val="1F2937"/>
          <w:sz w:val="22"/>
          <w:szCs w:val="22"/>
        </w:rPr>
        <w:t xml:space="preserve">Scheduled refresh with cron configuration and timezone awareness</w:t>
      </w:r>
    </w:p>
    <w:p>
      <w:pPr>
        <w:pStyle w:val="ListParagraph"/>
        <w:numPr>
          <w:ilvl w:val="0"/>
          <w:numId w:val="2"/>
        </w:numPr>
        <w:spacing w:after="40" w:before="40"/>
        <w:ind w:left="720" w:hanging="360"/>
      </w:pPr>
      <w:r>
        <w:rPr>
          <w:rFonts w:ascii="Arial" w:cs="Arial" w:eastAsia="Arial" w:hAnsi="Arial"/>
          <w:color w:val="1F2937"/>
          <w:sz w:val="22"/>
          <w:szCs w:val="22"/>
        </w:rPr>
        <w:t xml:space="preserve">Drift monitoring with configurable alert thresholds and one-click retrain</w:t>
      </w:r>
    </w:p>
    <w:p>
      <w:pPr>
        <w:pStyle w:val="ListParagraph"/>
        <w:numPr>
          <w:ilvl w:val="0"/>
          <w:numId w:val="2"/>
        </w:numPr>
        <w:spacing w:after="40" w:before="40"/>
        <w:ind w:left="720" w:hanging="360"/>
      </w:pPr>
      <w:r>
        <w:rPr>
          <w:rFonts w:ascii="Arial" w:cs="Arial" w:eastAsia="Arial" w:hAnsi="Arial"/>
          <w:color w:val="1F2937"/>
          <w:sz w:val="22"/>
          <w:szCs w:val="22"/>
        </w:rPr>
        <w:t xml:space="preserve">Artifact activity feed: who viewed, filtered, shared, forked, annotated, or subscribed to an artifact</w:t>
      </w:r>
    </w:p>
    <w:p>
      <w:pPr>
        <w:pStyle w:val="ListParagraph"/>
        <w:numPr>
          <w:ilvl w:val="0"/>
          <w:numId w:val="2"/>
        </w:numPr>
        <w:spacing w:after="40" w:before="40"/>
        <w:ind w:left="720" w:hanging="360"/>
      </w:pPr>
      <w:r>
        <w:rPr>
          <w:rFonts w:ascii="Arial" w:cs="Arial" w:eastAsia="Arial" w:hAnsi="Arial"/>
          <w:color w:val="1F2937"/>
          <w:sz w:val="22"/>
          <w:szCs w:val="22"/>
        </w:rPr>
        <w:t xml:space="preserve">Workspace member roles: Admin (full access), Analyst (create + share), Viewer (view only)</w:t>
      </w:r>
    </w:p>
    <w:p>
      <w:pPr>
        <w:pStyle w:val="ListParagraph"/>
        <w:numPr>
          <w:ilvl w:val="0"/>
          <w:numId w:val="2"/>
        </w:numPr>
        <w:spacing w:after="40" w:before="40"/>
        <w:ind w:left="720" w:hanging="360"/>
      </w:pPr>
      <w:r>
        <w:rPr>
          <w:rFonts w:ascii="Arial" w:cs="Arial" w:eastAsia="Arial" w:hAnsi="Arial"/>
          <w:color w:val="1F2937"/>
          <w:sz w:val="22"/>
          <w:szCs w:val="22"/>
        </w:rPr>
        <w:t xml:space="preserve">Audit log: all governance decisions, model promotions, share link creations, annotations, alert subscription events, and DQ gate outcomes logged with actor + timestamp</w:t>
      </w:r>
    </w:p>
    <w:p>
      <w:pPr>
        <w:spacing w:after="0" w:before="160"/>
      </w:pPr>
    </w:p>
    <w:p>
      <w:r>
        <w:br w:type="page"/>
      </w:r>
    </w:p>
    <w:p>
      <w:pPr>
        <w:pStyle w:val="Heading1"/>
        <w:pBdr>
          <w:bottom w:val="single" w:color="4F46E5" w:sz="8" w:space="4"/>
        </w:pBdr>
        <w:spacing w:after="160" w:before="480"/>
      </w:pPr>
      <w:r>
        <w:rPr>
          <w:rFonts w:ascii="Arial" w:cs="Arial" w:eastAsia="Arial" w:hAnsi="Arial"/>
          <w:b/>
          <w:bCs/>
          <w:color w:val="2B2D6E"/>
          <w:sz w:val="36"/>
          <w:szCs w:val="36"/>
        </w:rPr>
        <w:t xml:space="preserve">7. Technical Specifications</w:t>
      </w:r>
    </w:p>
    <w:p>
      <w:pPr>
        <w:pStyle w:val="Heading2"/>
        <w:spacing w:after="120" w:before="360"/>
      </w:pPr>
      <w:r>
        <w:rPr>
          <w:rFonts w:ascii="Arial" w:cs="Arial" w:eastAsia="Arial" w:hAnsi="Arial"/>
          <w:b/>
          <w:bCs/>
          <w:color w:val="2B2D6E"/>
          <w:sz w:val="28"/>
          <w:szCs w:val="28"/>
        </w:rPr>
        <w:t xml:space="preserve">7.1 API Design</w:t>
      </w:r>
    </w:p>
    <w:p>
      <w:pPr>
        <w:pStyle w:val="Heading3"/>
        <w:spacing w:after="80" w:before="240"/>
      </w:pPr>
      <w:r>
        <w:rPr>
          <w:rFonts w:ascii="Arial" w:cs="Arial" w:eastAsia="Arial" w:hAnsi="Arial"/>
          <w:b/>
          <w:bCs/>
          <w:color w:val="4F46E5"/>
          <w:sz w:val="24"/>
          <w:szCs w:val="24"/>
        </w:rPr>
        <w:t xml:space="preserve">7.1.1 Core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3500"/>
        <w:gridCol w:w="2260"/>
      </w:tblGrid>
      <w:tr>
        <w:trPr>
          <w:tblHeader/>
        </w:trPr>
        <w:tc>
          <w:tcPr>
            <w:tcW w:type="dxa" w:w="28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9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2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/api/v1/integrations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Register new database integration</w:t>
            </w:r>
          </w:p>
        </w:tc>
        <w:tc>
          <w:tcPr>
            <w:tcW w:type="dxa" w:w="2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Workspace admin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/api/v1/integrations/{id}/manifest</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Retrieve governance manifest</w:t>
            </w:r>
          </w:p>
        </w:tc>
        <w:tc>
          <w:tcPr>
            <w:tcW w:type="dxa" w:w="2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Workspace member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/api/v1/semantic/{workspace_id}/schema</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Retrieve semantic layer schema</w:t>
            </w:r>
          </w:p>
        </w:tc>
        <w:tc>
          <w:tcPr>
            <w:tcW w:type="dxa" w:w="2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Workspace member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/api/v1/sessions</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Start a new analytics session</w:t>
            </w:r>
          </w:p>
        </w:tc>
        <w:tc>
          <w:tcPr>
            <w:tcW w:type="dxa" w:w="2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Workspace member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/api/v1/sessions/{id}/message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Send message in session (streaming)</w:t>
            </w:r>
          </w:p>
        </w:tc>
        <w:tc>
          <w:tcPr>
            <w:tcW w:type="dxa" w:w="2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owner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/api/v1/sessions/{id}/spec</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Retrieve confirmed session spec</w:t>
            </w:r>
          </w:p>
        </w:tc>
        <w:tc>
          <w:tcPr>
            <w:tcW w:type="dxa" w:w="2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Session owner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/api/v1/gold/{workspace_id}/{table}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Query gold layer table (paginated)</w:t>
            </w:r>
          </w:p>
        </w:tc>
        <w:tc>
          <w:tcPr>
            <w:tcW w:type="dxa" w:w="2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Token or member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/api/v1/models/{model_id}</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Retrieve model card</w:t>
            </w:r>
          </w:p>
        </w:tc>
        <w:tc>
          <w:tcPr>
            <w:tcW w:type="dxa" w:w="2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Workspace member</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/api/v1/artifacts</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List workspace artifacts</w:t>
            </w:r>
          </w:p>
        </w:tc>
        <w:tc>
          <w:tcPr>
            <w:tcW w:type="dxa" w:w="2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Workspace member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/api/v1/artifacts/{id}</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GET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Retrieve artifact metadata + HTML URL</w:t>
            </w:r>
          </w:p>
        </w:tc>
        <w:tc>
          <w:tcPr>
            <w:tcW w:type="dxa" w:w="2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Access-controlled</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/api/v1/artifacts/{id}/share</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5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Generate share link or embed token</w:t>
            </w:r>
          </w:p>
        </w:tc>
        <w:tc>
          <w:tcPr>
            <w:tcW w:type="dxa" w:w="22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 owner</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/api/v1/artifacts/{id}/refresh</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Trigger manual refresh</w:t>
            </w:r>
          </w:p>
        </w:tc>
        <w:tc>
          <w:tcPr>
            <w:tcW w:type="dxa" w:w="22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owner</w:t>
            </w:r>
          </w:p>
        </w:tc>
      </w:tr>
    </w:tbl>
    <w:p>
      <w:pPr>
        <w:spacing w:after="0" w:before="160"/>
      </w:pPr>
    </w:p>
    <w:p>
      <w:pPr>
        <w:pStyle w:val="Heading3"/>
        <w:spacing w:after="80" w:before="240"/>
      </w:pPr>
      <w:r>
        <w:rPr>
          <w:rFonts w:ascii="Arial" w:cs="Arial" w:eastAsia="Arial" w:hAnsi="Arial"/>
          <w:b/>
          <w:bCs/>
          <w:color w:val="4F46E5"/>
          <w:sz w:val="24"/>
          <w:szCs w:val="24"/>
        </w:rPr>
        <w:t xml:space="preserve">7.1.2 Streaming Session Protocol</w:t>
      </w:r>
    </w:p>
    <w:p>
      <w:pPr>
        <w:spacing w:after="60" w:before="60"/>
        <w:jc w:val="left"/>
      </w:pPr>
      <w:r>
        <w:rPr>
          <w:rFonts w:ascii="Arial" w:cs="Arial" w:eastAsia="Arial" w:hAnsi="Arial"/>
          <w:color w:val="1F2937"/>
          <w:sz w:val="22"/>
          <w:szCs w:val="22"/>
        </w:rPr>
        <w:t xml:space="preserve">All session message endpoints use Server-Sent Events (SSE) for streaming. Each event carries a type field:</w:t>
      </w:r>
    </w:p>
    <w:p>
      <w:pPr>
        <w:pStyle w:val="ListParagraph"/>
        <w:numPr>
          <w:ilvl w:val="0"/>
          <w:numId w:val="2"/>
        </w:numPr>
        <w:spacing w:after="40" w:before="40"/>
        <w:ind w:left="720" w:hanging="360"/>
      </w:pPr>
      <w:r>
        <w:rPr>
          <w:rFonts w:ascii="Arial" w:cs="Arial" w:eastAsia="Arial" w:hAnsi="Arial"/>
          <w:color w:val="1F2937"/>
          <w:sz w:val="22"/>
          <w:szCs w:val="22"/>
        </w:rPr>
        <w:t xml:space="preserve">type: planning — orchestrator is classifying intent and building dispatch plan</w:t>
      </w:r>
    </w:p>
    <w:p>
      <w:pPr>
        <w:pStyle w:val="ListParagraph"/>
        <w:numPr>
          <w:ilvl w:val="0"/>
          <w:numId w:val="2"/>
        </w:numPr>
        <w:spacing w:after="40" w:before="40"/>
        <w:ind w:left="720" w:hanging="360"/>
      </w:pPr>
      <w:r>
        <w:rPr>
          <w:rFonts w:ascii="Arial" w:cs="Arial" w:eastAsia="Arial" w:hAnsi="Arial"/>
          <w:color w:val="1F2937"/>
          <w:sz w:val="22"/>
          <w:szCs w:val="22"/>
        </w:rPr>
        <w:t xml:space="preserve">type: agent_start — named agent has begun execution</w:t>
      </w:r>
    </w:p>
    <w:p>
      <w:pPr>
        <w:pStyle w:val="ListParagraph"/>
        <w:numPr>
          <w:ilvl w:val="0"/>
          <w:numId w:val="2"/>
        </w:numPr>
        <w:spacing w:after="40" w:before="40"/>
        <w:ind w:left="720" w:hanging="360"/>
      </w:pPr>
      <w:r>
        <w:rPr>
          <w:rFonts w:ascii="Arial" w:cs="Arial" w:eastAsia="Arial" w:hAnsi="Arial"/>
          <w:color w:val="1F2937"/>
          <w:sz w:val="22"/>
          <w:szCs w:val="22"/>
        </w:rPr>
        <w:t xml:space="preserve">type: dq_gate — data quality gate result (pass/warn/fail + details)</w:t>
      </w:r>
    </w:p>
    <w:p>
      <w:pPr>
        <w:pStyle w:val="ListParagraph"/>
        <w:numPr>
          <w:ilvl w:val="0"/>
          <w:numId w:val="2"/>
        </w:numPr>
        <w:spacing w:after="40" w:before="40"/>
        <w:ind w:left="720" w:hanging="360"/>
      </w:pPr>
      <w:r>
        <w:rPr>
          <w:rFonts w:ascii="Arial" w:cs="Arial" w:eastAsia="Arial" w:hAnsi="Arial"/>
          <w:color w:val="1F2937"/>
          <w:sz w:val="22"/>
          <w:szCs w:val="22"/>
        </w:rPr>
        <w:t xml:space="preserve">type: agent_complete — agent output available</w:t>
      </w:r>
    </w:p>
    <w:p>
      <w:pPr>
        <w:pStyle w:val="ListParagraph"/>
        <w:numPr>
          <w:ilvl w:val="0"/>
          <w:numId w:val="2"/>
        </w:numPr>
        <w:spacing w:after="40" w:before="40"/>
        <w:ind w:left="720" w:hanging="360"/>
      </w:pPr>
      <w:r>
        <w:rPr>
          <w:rFonts w:ascii="Arial" w:cs="Arial" w:eastAsia="Arial" w:hAnsi="Arial"/>
          <w:color w:val="1F2937"/>
          <w:sz w:val="22"/>
          <w:szCs w:val="22"/>
        </w:rPr>
        <w:t xml:space="preserve">type: human_required — pipeline paused; user action required (with payload describing what is needed)</w:t>
      </w:r>
    </w:p>
    <w:p>
      <w:pPr>
        <w:pStyle w:val="ListParagraph"/>
        <w:numPr>
          <w:ilvl w:val="0"/>
          <w:numId w:val="2"/>
        </w:numPr>
        <w:spacing w:after="40" w:before="40"/>
        <w:ind w:left="720" w:hanging="360"/>
      </w:pPr>
      <w:r>
        <w:rPr>
          <w:rFonts w:ascii="Arial" w:cs="Arial" w:eastAsia="Arial" w:hAnsi="Arial"/>
          <w:color w:val="1F2937"/>
          <w:sz w:val="22"/>
          <w:szCs w:val="22"/>
        </w:rPr>
        <w:t xml:space="preserve">type: artifact_ready — final artifact URL and metadata</w:t>
      </w:r>
    </w:p>
    <w:p>
      <w:pPr>
        <w:pStyle w:val="ListParagraph"/>
        <w:numPr>
          <w:ilvl w:val="0"/>
          <w:numId w:val="2"/>
        </w:numPr>
        <w:spacing w:after="40" w:before="40"/>
        <w:ind w:left="720" w:hanging="360"/>
      </w:pPr>
      <w:r>
        <w:rPr>
          <w:rFonts w:ascii="Arial" w:cs="Arial" w:eastAsia="Arial" w:hAnsi="Arial"/>
          <w:color w:val="1F2937"/>
          <w:sz w:val="22"/>
          <w:szCs w:val="22"/>
        </w:rPr>
        <w:t xml:space="preserve">type: error — pipeline error with remediation suggestion</w:t>
      </w:r>
    </w:p>
    <w:p>
      <w:pPr>
        <w:pStyle w:val="Heading2"/>
        <w:spacing w:after="120" w:before="360"/>
      </w:pPr>
      <w:r>
        <w:rPr>
          <w:rFonts w:ascii="Arial" w:cs="Arial" w:eastAsia="Arial" w:hAnsi="Arial"/>
          <w:b/>
          <w:bCs/>
          <w:color w:val="2B2D6E"/>
          <w:sz w:val="28"/>
          <w:szCs w:val="28"/>
        </w:rPr>
        <w:t xml:space="preserve">7.2 Data Models</w:t>
      </w:r>
    </w:p>
    <w:p>
      <w:pPr>
        <w:pStyle w:val="Heading3"/>
        <w:spacing w:after="80" w:before="240"/>
      </w:pPr>
      <w:r>
        <w:rPr>
          <w:rFonts w:ascii="Arial" w:cs="Arial" w:eastAsia="Arial" w:hAnsi="Arial"/>
          <w:b/>
          <w:bCs/>
          <w:color w:val="4F46E5"/>
          <w:sz w:val="24"/>
          <w:szCs w:val="24"/>
        </w:rPr>
        <w:t xml:space="preserve">7.2.1 Session Spec Schema (TypeScript)</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9CA3A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SCHEMA</w:t>
            </w:r>
          </w:p>
        </w:tc>
        <w:tc>
          <w:tcPr>
            <w:tcW w:type="dxa" w:w="9160"/>
            <w:shd w:fill="F9FAFB" w:val="clear"/>
            <w:tcMar>
              <w:top w:type="dxa" w:w="80"/>
              <w:left w:type="dxa" w:w="160"/>
              <w:bottom w:type="dxa" w:w="80"/>
              <w:right w:type="dxa" w:w="120"/>
            </w:tcMar>
          </w:tcPr>
          <w:p>
            <w:r>
              <w:rPr>
                <w:rFonts w:ascii="Arial" w:cs="Arial" w:eastAsia="Arial" w:hAnsi="Arial"/>
                <w:color w:val="1F2937"/>
                <w:sz w:val="21"/>
                <w:szCs w:val="21"/>
              </w:rPr>
              <w:t xml:space="preserve">interface SessionSpec {
  session_id: string;
  workspace_id: string;
  created_at: string;          // ISO8601
  intent: 'descriptive' | 'diagnostic' | 'predictive' | 'prescriptive';
  intent_confidence: number;   // 0–1
  analytic_goal: string;       // plain English
  target_metric: string;       // semantic layer metric name
  comparison_metrics?: string[];
  feature_candidates: string[]; // semantic layer dimension/metric names
  date_range: {
    type: 'rolling' | 'fixed';
    value: string;             // e.g. 'rolling_90d' or '2024-01-01/2025-06-01'
  };
  grain: string;               // e.g. 'location_day', 'user_week'
  output_type: 'dashboard_only' | 'model+dashboard' | 'model_only';
  prediction_horizon?: string; // e.g. '14d', '4w'
  explores_used: string[];
  semantic_layer_version: string;
  governance_manifest_version: string;
}</w:t>
            </w:r>
          </w:p>
        </w:tc>
      </w:tr>
    </w:tbl>
    <w:p>
      <w:pPr>
        <w:spacing w:after="0" w:before="160"/>
      </w:pPr>
    </w:p>
    <w:p>
      <w:pPr>
        <w:pStyle w:val="Heading3"/>
        <w:spacing w:after="80" w:before="240"/>
      </w:pPr>
      <w:r>
        <w:rPr>
          <w:rFonts w:ascii="Arial" w:cs="Arial" w:eastAsia="Arial" w:hAnsi="Arial"/>
          <w:b/>
          <w:bCs/>
          <w:color w:val="4F46E5"/>
          <w:sz w:val="24"/>
          <w:szCs w:val="24"/>
        </w:rPr>
        <w:t xml:space="preserve">7.2.2 Model Card Schema</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9CA3AF"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SCHEMA</w:t>
            </w:r>
          </w:p>
        </w:tc>
        <w:tc>
          <w:tcPr>
            <w:tcW w:type="dxa" w:w="9160"/>
            <w:shd w:fill="F9FAFB" w:val="clear"/>
            <w:tcMar>
              <w:top w:type="dxa" w:w="80"/>
              <w:left w:type="dxa" w:w="160"/>
              <w:bottom w:type="dxa" w:w="80"/>
              <w:right w:type="dxa" w:w="120"/>
            </w:tcMar>
          </w:tcPr>
          <w:p>
            <w:r>
              <w:rPr>
                <w:rFonts w:ascii="Arial" w:cs="Arial" w:eastAsia="Arial" w:hAnsi="Arial"/>
                <w:color w:val="1F2937"/>
                <w:sz w:val="21"/>
                <w:szCs w:val="21"/>
              </w:rPr>
              <w:t xml:space="preserve">interface ModelCard {
  model_id: string;
  workspace_id: string;
  session_id: string;
  algorithm: 'xgboost' | 'lightgbm' | 'ridge' | 'prophet' | 'ensemble';
  target_type: 'regression' | 'binary' | 'multiclass';
  target_metric: string;
  hyperparameters: Record&lt;string, unknown&gt;;
  feature_manifest_version: string;
  feature_count: number;
  top_features: Array&lt;{ name: string; importance: number; shap_mean: number }&gt;;
  backtest_results: Array&lt;{ window: number; mape: number; rmse: number; directional_accuracy: number }&gt;;
  validation_mape: number;
  test_mape: number;
  promotion_status: 'PASS' | 'FAIL';
  repair_cycles: number;
  training_duration_seconds: number;
  trained_at: string;
  model_registry_uri: string;
  onnx_uri?: string;
  lineage: {
    gold_table: string;
    source_tables: string[];
    governance_manifest_version: string;
    semantic_layer_version: string;
  };
}</w:t>
            </w:r>
          </w:p>
        </w:tc>
      </w:tr>
    </w:tbl>
    <w:p>
      <w:pPr>
        <w:pStyle w:val="Heading2"/>
        <w:spacing w:after="120" w:before="360"/>
      </w:pPr>
      <w:r>
        <w:rPr>
          <w:rFonts w:ascii="Arial" w:cs="Arial" w:eastAsia="Arial" w:hAnsi="Arial"/>
          <w:b/>
          <w:bCs/>
          <w:color w:val="2B2D6E"/>
          <w:sz w:val="28"/>
          <w:szCs w:val="28"/>
        </w:rPr>
        <w:t xml:space="preserve">7.3 Security Architecture</w:t>
      </w:r>
    </w:p>
    <w:p>
      <w:pPr>
        <w:pStyle w:val="Heading3"/>
        <w:spacing w:after="80" w:before="240"/>
      </w:pPr>
      <w:r>
        <w:rPr>
          <w:rFonts w:ascii="Arial" w:cs="Arial" w:eastAsia="Arial" w:hAnsi="Arial"/>
          <w:b/>
          <w:bCs/>
          <w:color w:val="4F46E5"/>
          <w:sz w:val="24"/>
          <w:szCs w:val="24"/>
        </w:rPr>
        <w:t xml:space="preserve">7.3.1 Authentication &amp; Authorization</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Authentication: </w:t>
      </w:r>
      <w:r>
        <w:rPr>
          <w:rFonts w:ascii="Arial" w:cs="Arial" w:eastAsia="Arial" w:hAnsi="Arial"/>
          <w:color w:val="1F2937"/>
          <w:sz w:val="22"/>
          <w:szCs w:val="22"/>
        </w:rPr>
        <w:t xml:space="preserve">OAuth 2.0 with PKCE flow for browser clients. API keys for server-to-server integrations. All tokens are short-lived (1 hour access token, 30-day refresh token with rotation).</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Authorization model: </w:t>
      </w:r>
      <w:r>
        <w:rPr>
          <w:rFonts w:ascii="Arial" w:cs="Arial" w:eastAsia="Arial" w:hAnsi="Arial"/>
          <w:color w:val="1F2937"/>
          <w:sz w:val="22"/>
          <w:szCs w:val="22"/>
        </w:rPr>
        <w:t xml:space="preserve">Attribute-based access control (ABAC). Every resource (integration, explore, session, artifact) carries resource-level ACLs. Workspace-level roles set defaults; resource-level ACLs can restrict further but not expand.</w:t>
      </w:r>
    </w:p>
    <w:p>
      <w:pPr>
        <w:pStyle w:val="ListParagraph"/>
        <w:numPr>
          <w:ilvl w:val="0"/>
          <w:numId w:val="2"/>
        </w:numPr>
        <w:spacing w:after="40" w:before="40"/>
        <w:ind w:left="720" w:hanging="360"/>
      </w:pPr>
      <w:r>
        <w:rPr>
          <w:rFonts w:ascii="Arial" w:cs="Arial" w:eastAsia="Arial" w:hAnsi="Arial"/>
          <w:b/>
          <w:bCs/>
          <w:color w:val="2B2D6E"/>
          <w:sz w:val="22"/>
          <w:szCs w:val="22"/>
        </w:rPr>
        <w:t xml:space="preserve">Database credentials: </w:t>
      </w:r>
      <w:r>
        <w:rPr>
          <w:rFonts w:ascii="Arial" w:cs="Arial" w:eastAsia="Arial" w:hAnsi="Arial"/>
          <w:color w:val="1F2937"/>
          <w:sz w:val="22"/>
          <w:szCs w:val="22"/>
        </w:rPr>
        <w:t xml:space="preserve">Source database credentials are stored encrypted at rest (AES-256) in a secrets manager (Vault or AWS Secrets Manager). Credentials are never logged, never included in governance manifests, and never transmitted to LLM agents. Agents receive read-only query access via a proxy layer.</w:t>
      </w:r>
    </w:p>
    <w:p>
      <w:pPr>
        <w:pStyle w:val="ListParagraph"/>
        <w:numPr>
          <w:ilvl w:val="0"/>
          <w:numId w:val="2"/>
        </w:numPr>
        <w:spacing w:after="40" w:before="40"/>
        <w:ind w:left="720" w:hanging="360"/>
      </w:pPr>
      <w:r>
        <w:rPr>
          <w:rFonts w:ascii="Arial" w:cs="Arial" w:eastAsia="Arial" w:hAnsi="Arial"/>
          <w:b/>
          <w:bCs/>
          <w:color w:val="2B2D6E"/>
          <w:sz w:val="22"/>
          <w:szCs w:val="22"/>
        </w:rPr>
        <w:t xml:space="preserve">Embed token security: </w:t>
      </w:r>
      <w:r>
        <w:rPr>
          <w:rFonts w:ascii="Arial" w:cs="Arial" w:eastAsia="Arial" w:hAnsi="Arial"/>
          <w:color w:val="1F2937"/>
          <w:sz w:val="22"/>
          <w:szCs w:val="22"/>
        </w:rPr>
        <w:t xml:space="preserve">Embed tokens are HS256 JWTs signed with a workspace-specific secret. Tokens are single-purpose (one artifact_id, one workspace_id). allowed_origins enforced server-side on every gold layer API request made by an embedded artifact.</w:t>
      </w:r>
    </w:p>
    <w:p>
      <w:pPr>
        <w:pStyle w:val="Heading3"/>
        <w:spacing w:after="80" w:before="240"/>
      </w:pPr>
      <w:r>
        <w:rPr>
          <w:rFonts w:ascii="Arial" w:cs="Arial" w:eastAsia="Arial" w:hAnsi="Arial"/>
          <w:b/>
          <w:bCs/>
          <w:color w:val="4F46E5"/>
          <w:sz w:val="24"/>
          <w:szCs w:val="24"/>
        </w:rPr>
        <w:t xml:space="preserve">7.3.2 Data Privacy</w:t>
      </w:r>
    </w:p>
    <w:p>
      <w:pPr>
        <w:pStyle w:val="ListParagraph"/>
        <w:numPr>
          <w:ilvl w:val="0"/>
          <w:numId w:val="2"/>
        </w:numPr>
        <w:spacing w:after="40" w:before="40"/>
        <w:ind w:left="720" w:hanging="360"/>
      </w:pPr>
      <w:r>
        <w:rPr>
          <w:rFonts w:ascii="Arial" w:cs="Arial" w:eastAsia="Arial" w:hAnsi="Arial"/>
          <w:b/>
          <w:bCs/>
          <w:color w:val="2B2D6E"/>
          <w:sz w:val="22"/>
          <w:szCs w:val="22"/>
        </w:rPr>
        <w:t xml:space="preserve">PII isolation: </w:t>
      </w:r>
      <w:r>
        <w:rPr>
          <w:rFonts w:ascii="Arial" w:cs="Arial" w:eastAsia="Arial" w:hAnsi="Arial"/>
          <w:color w:val="1F2937"/>
          <w:sz w:val="22"/>
          <w:szCs w:val="22"/>
        </w:rPr>
        <w:t xml:space="preserve">Columns flagged as PII by the governance agent are blocked from feature engineering and model training until a workspace admin explicitly marks them as approved for ML use. PII columns are never included in SHAP explainability tables.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LLM data minimization: </w:t>
      </w:r>
      <w:r>
        <w:rPr>
          <w:rFonts w:ascii="Arial" w:cs="Arial" w:eastAsia="Arial" w:hAnsi="Arial"/>
          <w:color w:val="1F2937"/>
          <w:sz w:val="22"/>
          <w:szCs w:val="22"/>
        </w:rPr>
        <w:t xml:space="preserve">No raw data rows are sent to the LLM inference layer. Agents receive schemas, statistics, and sample metadata — never actual user or customer records. All statistical summaries are computed server-side.</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Artifact data access: </w:t>
      </w:r>
      <w:r>
        <w:rPr>
          <w:rFonts w:ascii="Arial" w:cs="Arial" w:eastAsia="Arial" w:hAnsi="Arial"/>
          <w:color w:val="1F2937"/>
          <w:sz w:val="22"/>
          <w:szCs w:val="22"/>
        </w:rPr>
        <w:t xml:space="preserve">Artifacts fetch data from gold layer API endpoints at render time using signed tokens. No raw data is embedded in HTML files. Gold layer API enforces row-level security if configured on the source warehouse.</w:t>
      </w:r>
    </w:p>
    <w:p>
      <w:pPr>
        <w:pStyle w:val="Heading2"/>
        <w:spacing w:after="120" w:before="360"/>
      </w:pPr>
      <w:r>
        <w:rPr>
          <w:rFonts w:ascii="Arial" w:cs="Arial" w:eastAsia="Arial" w:hAnsi="Arial"/>
          <w:b/>
          <w:bCs/>
          <w:color w:val="2B2D6E"/>
          <w:sz w:val="28"/>
          <w:szCs w:val="28"/>
        </w:rPr>
        <w:t xml:space="preserve">7.4 Performance &amp; Scalability</w:t>
      </w:r>
    </w:p>
    <w:p>
      <w:pPr>
        <w:pStyle w:val="Heading3"/>
        <w:spacing w:after="80" w:before="240"/>
      </w:pPr>
      <w:r>
        <w:rPr>
          <w:rFonts w:ascii="Arial" w:cs="Arial" w:eastAsia="Arial" w:hAnsi="Arial"/>
          <w:b/>
          <w:bCs/>
          <w:color w:val="4F46E5"/>
          <w:sz w:val="24"/>
          <w:szCs w:val="24"/>
        </w:rPr>
        <w:t xml:space="preserve">7.4.1 Latency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3160"/>
      </w:tblGrid>
      <w:tr>
        <w:trPr>
          <w:tblHeader/>
        </w:trPr>
        <w:tc>
          <w:tcPr>
            <w:tcW w:type="dxa" w:w="28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18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P50 Target</w:t>
            </w:r>
          </w:p>
        </w:tc>
        <w:tc>
          <w:tcPr>
            <w:tcW w:type="dxa" w:w="18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P95 Target</w:t>
            </w:r>
          </w:p>
        </w:tc>
        <w:tc>
          <w:tcPr>
            <w:tcW w:type="dxa" w:w="31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P99 Target</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Governance manifest generation (per table)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30s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90s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180s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Session message round-trip (first token)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2s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5s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10s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Feature engineering (gold table write)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60s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5 min</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15 min</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Model training (&lt; 100K training rows)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3 min</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8 min</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15 min</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training (&gt; 1M training rows)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Async — no UX target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Async</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Async</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generation (HTML output)</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10s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25s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45s</w:t>
            </w:r>
          </w:p>
        </w:tc>
      </w:tr>
      <w:tr>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 layer API query (artifact data fetch)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500ms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1.5s</w:t>
            </w:r>
          </w:p>
        </w:tc>
        <w:tc>
          <w:tcPr>
            <w:tcW w:type="dxa" w:w="3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&lt; 3s</w:t>
            </w:r>
          </w:p>
        </w:tc>
      </w:tr>
      <w:tr>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page load (all panels rendered)</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3s</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6s</w:t>
            </w:r>
          </w:p>
        </w:tc>
        <w:tc>
          <w:tcPr>
            <w:tcW w:type="dxa" w:w="31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&lt; 10s</w:t>
            </w:r>
          </w:p>
        </w:tc>
      </w:tr>
    </w:tbl>
    <w:p>
      <w:pPr>
        <w:spacing w:after="0" w:before="160"/>
      </w:pPr>
    </w:p>
    <w:p>
      <w:pPr>
        <w:pStyle w:val="Heading3"/>
        <w:spacing w:after="80" w:before="240"/>
      </w:pPr>
      <w:r>
        <w:rPr>
          <w:rFonts w:ascii="Arial" w:cs="Arial" w:eastAsia="Arial" w:hAnsi="Arial"/>
          <w:b/>
          <w:bCs/>
          <w:color w:val="4F46E5"/>
          <w:sz w:val="24"/>
          <w:szCs w:val="24"/>
        </w:rPr>
        <w:t xml:space="preserve">7.4.2 Scalability Design</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Agent parallelism: </w:t>
      </w:r>
      <w:r>
        <w:rPr>
          <w:rFonts w:ascii="Arial" w:cs="Arial" w:eastAsia="Arial" w:hAnsi="Arial"/>
          <w:color w:val="1F2937"/>
          <w:sz w:val="22"/>
          <w:szCs w:val="22"/>
        </w:rPr>
        <w:t xml:space="preserve">Subagents within a stage that have no data dependency (e.g. data modeler and feature engineer pass results sequentially, but multiple session pipelines run in parallel as separate jobs). Job queue backed by Redis + BullMQ.</w:t>
      </w:r>
    </w:p>
    <w:p>
      <w:pPr>
        <w:pStyle w:val="ListParagraph"/>
        <w:numPr>
          <w:ilvl w:val="0"/>
          <w:numId w:val="2"/>
        </w:numPr>
        <w:spacing w:after="40" w:before="40"/>
        <w:ind w:left="720" w:hanging="360"/>
      </w:pPr>
      <w:r>
        <w:rPr>
          <w:rFonts w:ascii="Arial" w:cs="Arial" w:eastAsia="Arial" w:hAnsi="Arial"/>
          <w:b/>
          <w:bCs/>
          <w:color w:val="2B2D6E"/>
          <w:sz w:val="22"/>
          <w:szCs w:val="22"/>
        </w:rPr>
        <w:t xml:space="preserve">Gold layer query layer: </w:t>
      </w:r>
      <w:r>
        <w:rPr>
          <w:rFonts w:ascii="Arial" w:cs="Arial" w:eastAsia="Arial" w:hAnsi="Arial"/>
          <w:color w:val="1F2937"/>
          <w:sz w:val="22"/>
          <w:szCs w:val="22"/>
        </w:rPr>
        <w:t xml:space="preserve">Stateless REST API instances behind a load balancer. Gold layer API applies connection pooling to the target warehouse. Query results cached in Redis for 5 minutes to reduce warehouse load from artifact refreshes.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Artifact storage: </w:t>
      </w:r>
      <w:r>
        <w:rPr>
          <w:rFonts w:ascii="Arial" w:cs="Arial" w:eastAsia="Arial" w:hAnsi="Arial"/>
          <w:color w:val="1F2937"/>
          <w:sz w:val="22"/>
          <w:szCs w:val="22"/>
        </w:rPr>
        <w:t xml:space="preserve">Artifact HTML files stored in object storage (S3-compatible). Metadata in Postgres. Artifact HTML served via CDN with 1-hour cache TTL, invalidated on refresh.</w:t>
      </w:r>
    </w:p>
    <w:p>
      <w:pPr>
        <w:pStyle w:val="ListParagraph"/>
        <w:numPr>
          <w:ilvl w:val="0"/>
          <w:numId w:val="2"/>
        </w:numPr>
        <w:spacing w:after="40" w:before="40"/>
        <w:ind w:left="720" w:hanging="360"/>
      </w:pPr>
      <w:r>
        <w:rPr>
          <w:rFonts w:ascii="Arial" w:cs="Arial" w:eastAsia="Arial" w:hAnsi="Arial"/>
          <w:b/>
          <w:bCs/>
          <w:color w:val="2B2D6E"/>
          <w:sz w:val="22"/>
          <w:szCs w:val="22"/>
        </w:rPr>
        <w:t xml:space="preserve">LLM inference: </w:t>
      </w:r>
      <w:r>
        <w:rPr>
          <w:rFonts w:ascii="Arial" w:cs="Arial" w:eastAsia="Arial" w:hAnsi="Arial"/>
          <w:color w:val="1F2937"/>
          <w:sz w:val="22"/>
          <w:szCs w:val="22"/>
        </w:rPr>
        <w:t xml:space="preserve">All agent inference calls routed through a rate-limited proxy with per-workspace token budgets. Burst capacity handled by queuing — degraded latency preferred over rate limit errors.</w:t>
      </w:r>
    </w:p>
    <w:p>
      <w:pPr>
        <w:pStyle w:val="Heading2"/>
        <w:spacing w:after="120" w:before="360"/>
      </w:pPr>
      <w:r>
        <w:rPr>
          <w:rFonts w:ascii="Arial" w:cs="Arial" w:eastAsia="Arial" w:hAnsi="Arial"/>
          <w:b/>
          <w:bCs/>
          <w:color w:val="2B2D6E"/>
          <w:sz w:val="28"/>
          <w:szCs w:val="28"/>
        </w:rPr>
        <w:t xml:space="preserve">7.5 Observability</w:t>
      </w:r>
    </w:p>
    <w:p>
      <w:pPr>
        <w:pStyle w:val="ListParagraph"/>
        <w:numPr>
          <w:ilvl w:val="0"/>
          <w:numId w:val="2"/>
        </w:numPr>
        <w:spacing w:after="40" w:before="40"/>
        <w:ind w:left="720" w:hanging="360"/>
      </w:pPr>
      <w:r>
        <w:rPr>
          <w:rFonts w:ascii="Arial" w:cs="Arial" w:eastAsia="Arial" w:hAnsi="Arial"/>
          <w:b/>
          <w:bCs/>
          <w:color w:val="2B2D6E"/>
          <w:sz w:val="22"/>
          <w:szCs w:val="22"/>
        </w:rPr>
        <w:t xml:space="preserve">Distributed tracing: </w:t>
      </w:r>
      <w:r>
        <w:rPr>
          <w:rFonts w:ascii="Arial" w:cs="Arial" w:eastAsia="Arial" w:hAnsi="Arial"/>
          <w:color w:val="1F2937"/>
          <w:sz w:val="22"/>
          <w:szCs w:val="22"/>
        </w:rPr>
        <w:t xml:space="preserve">Every pipeline run has a trace_id propagated through all agent calls, warehouse queries, and API requests. Traces stored in OpenTelemetry-compatible backend (Jaeger or Honeycomb).</w:t>
      </w:r>
    </w:p>
    <w:p>
      <w:pPr>
        <w:pStyle w:val="ListParagraph"/>
        <w:numPr>
          <w:ilvl w:val="0"/>
          <w:numId w:val="2"/>
        </w:numPr>
        <w:spacing w:after="40" w:before="40"/>
        <w:ind w:left="720" w:hanging="360"/>
      </w:pPr>
      <w:r>
        <w:rPr>
          <w:rFonts w:ascii="Arial" w:cs="Arial" w:eastAsia="Arial" w:hAnsi="Arial"/>
          <w:b/>
          <w:bCs/>
          <w:color w:val="2B2D6E"/>
          <w:sz w:val="22"/>
          <w:szCs w:val="22"/>
        </w:rPr>
        <w:t xml:space="preserve">Pipeline audit log: </w:t>
      </w:r>
      <w:r>
        <w:rPr>
          <w:rFonts w:ascii="Arial" w:cs="Arial" w:eastAsia="Arial" w:hAnsi="Arial"/>
          <w:color w:val="1F2937"/>
          <w:sz w:val="22"/>
          <w:szCs w:val="22"/>
        </w:rPr>
        <w:t xml:space="preserve">Every stage completion, DQ gate outcome, model promotion decision, and artifact write is logged as a structured event with actor, timestamp, input_hash, and output_hash. Audit log is append-only and customer-accessible.</w:t>
      </w:r>
    </w:p>
    <w:p>
      <w:pPr>
        <w:pStyle w:val="ListParagraph"/>
        <w:numPr>
          <w:ilvl w:val="0"/>
          <w:numId w:val="2"/>
        </w:numPr>
        <w:spacing w:after="40" w:before="40"/>
        <w:ind w:left="720" w:hanging="360"/>
      </w:pPr>
      <w:r>
        <w:rPr>
          <w:rFonts w:ascii="Arial" w:cs="Arial" w:eastAsia="Arial" w:hAnsi="Arial"/>
          <w:b/>
          <w:bCs/>
          <w:color w:val="2B2D6E"/>
          <w:sz w:val="22"/>
          <w:szCs w:val="22"/>
        </w:rPr>
        <w:t xml:space="preserve">LLM call logging: </w:t>
      </w:r>
      <w:r>
        <w:rPr>
          <w:rFonts w:ascii="Arial" w:cs="Arial" w:eastAsia="Arial" w:hAnsi="Arial"/>
          <w:color w:val="1F2937"/>
          <w:sz w:val="22"/>
          <w:szCs w:val="22"/>
        </w:rPr>
        <w:t xml:space="preserve">Every agent inference call is logged with: model, prompt_tokens, completion_tokens, latency, cache_hit. Prompt content is logged for workspace admin review (not shared externally). Retention: 90 days.</w:t>
      </w:r>
    </w:p>
    <w:p>
      <w:pPr>
        <w:pStyle w:val="ListParagraph"/>
        <w:numPr>
          <w:ilvl w:val="0"/>
          <w:numId w:val="2"/>
        </w:numPr>
        <w:spacing w:after="40" w:before="40"/>
        <w:ind w:left="720" w:hanging="360"/>
      </w:pPr>
      <w:r>
        <w:rPr>
          <w:rFonts w:ascii="Arial" w:cs="Arial" w:eastAsia="Arial" w:hAnsi="Arial"/>
          <w:b/>
          <w:bCs/>
          <w:color w:val="2B2D6E"/>
          <w:sz w:val="22"/>
          <w:szCs w:val="22"/>
        </w:rPr>
        <w:t xml:space="preserve">Data quality dashboards: </w:t>
      </w:r>
      <w:r>
        <w:rPr>
          <w:rFonts w:ascii="Arial" w:cs="Arial" w:eastAsia="Arial" w:hAnsi="Arial"/>
          <w:color w:val="1F2937"/>
          <w:sz w:val="22"/>
          <w:szCs w:val="22"/>
        </w:rPr>
        <w:t xml:space="preserve">Built-in workspace health dashboard showing: integration health scores over time, governance manifest version history, model drift metrics, artifact refresh success rates. This dashboard is itself an AnalytIQ artifact.</w:t>
      </w:r>
    </w:p>
    <w:p>
      <w:pPr>
        <w:spacing w:after="0" w:before="160"/>
      </w:pPr>
    </w:p>
    <w:p>
      <w:r>
        <w:br w:type="page"/>
      </w:r>
    </w:p>
    <w:p>
      <w:pPr>
        <w:pStyle w:val="Heading1"/>
        <w:pBdr>
          <w:bottom w:val="single" w:color="4F46E5" w:sz="8" w:space="4"/>
        </w:pBdr>
        <w:spacing w:after="160" w:before="480"/>
      </w:pPr>
      <w:r>
        <w:rPr>
          <w:rFonts w:ascii="Arial" w:cs="Arial" w:eastAsia="Arial" w:hAnsi="Arial"/>
          <w:b/>
          <w:bCs/>
          <w:color w:val="2B2D6E"/>
          <w:sz w:val="36"/>
          <w:szCs w:val="36"/>
        </w:rPr>
        <w:t xml:space="preserve">8. User Experience &amp; Key Flows</w:t>
      </w:r>
    </w:p>
    <w:p>
      <w:pPr>
        <w:pStyle w:val="Heading2"/>
        <w:spacing w:after="120" w:before="360"/>
      </w:pPr>
      <w:r>
        <w:rPr>
          <w:rFonts w:ascii="Arial" w:cs="Arial" w:eastAsia="Arial" w:hAnsi="Arial"/>
          <w:b/>
          <w:bCs/>
          <w:color w:val="2B2D6E"/>
          <w:sz w:val="28"/>
          <w:szCs w:val="28"/>
        </w:rPr>
        <w:t xml:space="preserve">7.1 Primary User Flow — First Session</w:t>
      </w:r>
    </w:p>
    <w:p>
      <w:pPr>
        <w:pStyle w:val="ListParagraph"/>
        <w:numPr>
          <w:ilvl w:val="0"/>
          <w:numId w:val="3"/>
        </w:numPr>
        <w:spacing w:after="40" w:before="40"/>
        <w:ind w:left="720" w:hanging="360"/>
      </w:pPr>
      <w:r>
        <w:rPr>
          <w:rFonts w:ascii="Arial" w:cs="Arial" w:eastAsia="Arial" w:hAnsi="Arial"/>
          <w:color w:val="1F2937"/>
          <w:sz w:val="22"/>
          <w:szCs w:val="22"/>
        </w:rPr>
        <w:t xml:space="preserve">User lands on workspace home. Artifact list is empty. Prominent CTA: 'Start your first analysis'.</w:t>
      </w:r>
    </w:p>
    <w:p>
      <w:pPr>
        <w:pStyle w:val="ListParagraph"/>
        <w:numPr>
          <w:ilvl w:val="0"/>
          <w:numId w:val="3"/>
        </w:numPr>
        <w:spacing w:after="40" w:before="40"/>
        <w:ind w:left="720" w:hanging="360"/>
      </w:pPr>
      <w:r>
        <w:rPr>
          <w:rFonts w:ascii="Arial" w:cs="Arial" w:eastAsia="Arial" w:hAnsi="Arial"/>
          <w:color w:val="1F2937"/>
          <w:sz w:val="22"/>
          <w:szCs w:val="22"/>
        </w:rPr>
        <w:t xml:space="preserve">User is prompted to connect a data source. Selects from connector list. Enters credentials via secure form (credentials go directly to secrets manager — never to LLM).</w:t>
      </w:r>
    </w:p>
    <w:p>
      <w:pPr>
        <w:pStyle w:val="ListParagraph"/>
        <w:numPr>
          <w:ilvl w:val="0"/>
          <w:numId w:val="3"/>
        </w:numPr>
        <w:spacing w:after="40" w:before="40"/>
        <w:ind w:left="720" w:hanging="360"/>
      </w:pPr>
      <w:r>
        <w:rPr>
          <w:rFonts w:ascii="Arial" w:cs="Arial" w:eastAsia="Arial" w:hAnsi="Arial"/>
          <w:color w:val="1F2937"/>
          <w:sz w:val="22"/>
          <w:szCs w:val="22"/>
        </w:rPr>
        <w:t xml:space="preserve">Governance agent runs. Progress shown as a step-by-step status card: Cataloging tables → Profiling columns → Generating definitions → Health check. Estimated time shown.</w:t>
      </w:r>
    </w:p>
    <w:p>
      <w:pPr>
        <w:pStyle w:val="ListParagraph"/>
        <w:numPr>
          <w:ilvl w:val="0"/>
          <w:numId w:val="3"/>
        </w:numPr>
        <w:spacing w:after="40" w:before="40"/>
        <w:ind w:left="720" w:hanging="360"/>
      </w:pPr>
      <w:r>
        <w:rPr>
          <w:rFonts w:ascii="Arial" w:cs="Arial" w:eastAsia="Arial" w:hAnsi="Arial"/>
          <w:color w:val="1F2937"/>
          <w:sz w:val="22"/>
          <w:szCs w:val="22"/>
        </w:rPr>
        <w:t xml:space="preserve">Governance complete. User sees a table health dashboard. Low-confidence definitions highlighted with a Review badge. User reviews and confirms or edits definitions (optional — can skip, with warning that ML stages require high-confidence definitions).</w:t>
      </w:r>
    </w:p>
    <w:p>
      <w:pPr>
        <w:pStyle w:val="ListParagraph"/>
        <w:numPr>
          <w:ilvl w:val="0"/>
          <w:numId w:val="3"/>
        </w:numPr>
        <w:spacing w:after="40" w:before="40"/>
        <w:ind w:left="720" w:hanging="360"/>
      </w:pPr>
      <w:r>
        <w:rPr>
          <w:rFonts w:ascii="Arial" w:cs="Arial" w:eastAsia="Arial" w:hAnsi="Arial"/>
          <w:color w:val="1F2937"/>
          <w:sz w:val="22"/>
          <w:szCs w:val="22"/>
        </w:rPr>
        <w:t xml:space="preserve">User clicks 'New Analysis'. Chat interface opens with semantic layer context loaded. System shows available explores as suggestion chips.</w:t>
      </w:r>
    </w:p>
    <w:p>
      <w:pPr>
        <w:pStyle w:val="ListParagraph"/>
        <w:numPr>
          <w:ilvl w:val="0"/>
          <w:numId w:val="3"/>
        </w:numPr>
        <w:spacing w:after="40" w:before="40"/>
        <w:ind w:left="720" w:hanging="360"/>
      </w:pPr>
      <w:r>
        <w:rPr>
          <w:rFonts w:ascii="Arial" w:cs="Arial" w:eastAsia="Arial" w:hAnsi="Arial"/>
          <w:color w:val="1F2937"/>
          <w:sz w:val="22"/>
          <w:szCs w:val="22"/>
        </w:rPr>
        <w:t xml:space="preserve">User types or speaks their question. Session planner classifies intent, presents metric options, asks one clarifying question if needed.</w:t>
      </w:r>
    </w:p>
    <w:p>
      <w:pPr>
        <w:pStyle w:val="ListParagraph"/>
        <w:numPr>
          <w:ilvl w:val="0"/>
          <w:numId w:val="3"/>
        </w:numPr>
        <w:spacing w:after="40" w:before="40"/>
        <w:ind w:left="720" w:hanging="360"/>
      </w:pPr>
      <w:r>
        <w:rPr>
          <w:rFonts w:ascii="Arial" w:cs="Arial" w:eastAsia="Arial" w:hAnsi="Arial"/>
          <w:color w:val="1F2937"/>
          <w:sz w:val="22"/>
          <w:szCs w:val="22"/>
        </w:rPr>
        <w:t xml:space="preserve">User confirms session spec in plain English. Pipeline executes with real-time status: Building feature table → Training models → Backtesting → Generating dashboard.</w:t>
      </w:r>
    </w:p>
    <w:p>
      <w:pPr>
        <w:pStyle w:val="ListParagraph"/>
        <w:numPr>
          <w:ilvl w:val="0"/>
          <w:numId w:val="3"/>
        </w:numPr>
        <w:spacing w:after="40" w:before="40"/>
        <w:ind w:left="720" w:hanging="360"/>
      </w:pPr>
      <w:r>
        <w:rPr>
          <w:rFonts w:ascii="Arial" w:cs="Arial" w:eastAsia="Arial" w:hAnsi="Arial"/>
          <w:color w:val="1F2937"/>
          <w:sz w:val="22"/>
          <w:szCs w:val="22"/>
        </w:rPr>
        <w:t xml:space="preserve">Artifact appears in chat as a live embedded preview. User can interact with filters inline.</w:t>
      </w:r>
    </w:p>
    <w:p>
      <w:pPr>
        <w:pStyle w:val="ListParagraph"/>
        <w:numPr>
          <w:ilvl w:val="0"/>
          <w:numId w:val="3"/>
        </w:numPr>
        <w:spacing w:after="40" w:before="40"/>
        <w:ind w:left="720" w:hanging="360"/>
      </w:pPr>
      <w:r>
        <w:rPr>
          <w:rFonts w:ascii="Arial" w:cs="Arial" w:eastAsia="Arial" w:hAnsi="Arial"/>
          <w:color w:val="1F2937"/>
          <w:sz w:val="22"/>
          <w:szCs w:val="22"/>
        </w:rPr>
        <w:t xml:space="preserve">User clicks 'Save to workspace'. Artifact appears in the workspace list with a thumbnail.</w:t>
      </w:r>
    </w:p>
    <w:p>
      <w:pPr>
        <w:pStyle w:val="ListParagraph"/>
        <w:numPr>
          <w:ilvl w:val="0"/>
          <w:numId w:val="3"/>
        </w:numPr>
        <w:spacing w:after="40" w:before="40"/>
        <w:ind w:left="720" w:hanging="360"/>
      </w:pPr>
      <w:r>
        <w:rPr>
          <w:rFonts w:ascii="Arial" w:cs="Arial" w:eastAsia="Arial" w:hAnsi="Arial"/>
          <w:color w:val="1F2937"/>
          <w:sz w:val="22"/>
          <w:szCs w:val="22"/>
        </w:rPr>
        <w:t xml:space="preserve">User clicks 'Share'. Share dialog offers: workspace members (with role picker), public link (with optional password and expiry), embed code (with origin restriction).</w:t>
      </w:r>
    </w:p>
    <w:p>
      <w:pPr>
        <w:pStyle w:val="Heading2"/>
        <w:spacing w:after="120" w:before="360"/>
      </w:pPr>
      <w:r>
        <w:rPr>
          <w:rFonts w:ascii="Arial" w:cs="Arial" w:eastAsia="Arial" w:hAnsi="Arial"/>
          <w:b/>
          <w:bCs/>
          <w:color w:val="2B2D6E"/>
          <w:sz w:val="28"/>
          <w:szCs w:val="28"/>
        </w:rPr>
        <w:t xml:space="preserve">7.2 Returning User Flow — Artifact Iteration</w:t>
      </w:r>
    </w:p>
    <w:p>
      <w:pPr>
        <w:pStyle w:val="ListParagraph"/>
        <w:numPr>
          <w:ilvl w:val="0"/>
          <w:numId w:val="3"/>
        </w:numPr>
        <w:spacing w:after="40" w:before="40"/>
        <w:ind w:left="720" w:hanging="360"/>
      </w:pPr>
      <w:r>
        <w:rPr>
          <w:rFonts w:ascii="Arial" w:cs="Arial" w:eastAsia="Arial" w:hAnsi="Arial"/>
          <w:color w:val="1F2937"/>
          <w:sz w:val="22"/>
          <w:szCs w:val="22"/>
        </w:rPr>
        <w:t xml:space="preserve">User opens an existing artifact. Sees a drift badge if model performance has degraded since creation.</w:t>
      </w:r>
    </w:p>
    <w:p>
      <w:pPr>
        <w:pStyle w:val="ListParagraph"/>
        <w:numPr>
          <w:ilvl w:val="0"/>
          <w:numId w:val="3"/>
        </w:numPr>
        <w:spacing w:after="40" w:before="40"/>
        <w:ind w:left="720" w:hanging="360"/>
      </w:pPr>
      <w:r>
        <w:rPr>
          <w:rFonts w:ascii="Arial" w:cs="Arial" w:eastAsia="Arial" w:hAnsi="Arial"/>
          <w:color w:val="1F2937"/>
          <w:sz w:val="22"/>
          <w:szCs w:val="22"/>
        </w:rPr>
        <w:t xml:space="preserve">User clicks 'Edit analysis'. Session opens with the original session_spec pre-loaded.</w:t>
      </w:r>
    </w:p>
    <w:p>
      <w:pPr>
        <w:pStyle w:val="ListParagraph"/>
        <w:numPr>
          <w:ilvl w:val="0"/>
          <w:numId w:val="3"/>
        </w:numPr>
        <w:spacing w:after="40" w:before="40"/>
        <w:ind w:left="720" w:hanging="360"/>
      </w:pPr>
      <w:r>
        <w:rPr>
          <w:rFonts w:ascii="Arial" w:cs="Arial" w:eastAsia="Arial" w:hAnsi="Arial"/>
          <w:color w:val="1F2937"/>
          <w:sz w:val="22"/>
          <w:szCs w:val="22"/>
        </w:rPr>
        <w:t xml:space="preserve">User modifies: changes date range, adds a feature candidate, or changes prediction horizon.</w:t>
      </w:r>
    </w:p>
    <w:p>
      <w:pPr>
        <w:pStyle w:val="ListParagraph"/>
        <w:numPr>
          <w:ilvl w:val="0"/>
          <w:numId w:val="3"/>
        </w:numPr>
        <w:spacing w:after="40" w:before="40"/>
        <w:ind w:left="720" w:hanging="360"/>
      </w:pPr>
      <w:r>
        <w:rPr>
          <w:rFonts w:ascii="Arial" w:cs="Arial" w:eastAsia="Arial" w:hAnsi="Arial"/>
          <w:color w:val="1F2937"/>
          <w:sz w:val="22"/>
          <w:szCs w:val="22"/>
        </w:rPr>
        <w:t xml:space="preserve">Pipeline re-runs from Stage 3 (data model + features) — governance and semantic layer stages are skipped unless the source schema has changed.</w:t>
      </w:r>
    </w:p>
    <w:p>
      <w:pPr>
        <w:pStyle w:val="ListParagraph"/>
        <w:numPr>
          <w:ilvl w:val="0"/>
          <w:numId w:val="3"/>
        </w:numPr>
        <w:spacing w:after="40" w:before="40"/>
        <w:ind w:left="720" w:hanging="360"/>
      </w:pPr>
      <w:r>
        <w:rPr>
          <w:rFonts w:ascii="Arial" w:cs="Arial" w:eastAsia="Arial" w:hAnsi="Arial"/>
          <w:color w:val="1F2937"/>
          <w:sz w:val="22"/>
          <w:szCs w:val="22"/>
        </w:rPr>
        <w:t xml:space="preserve">New artifact version created. Previous version preserved and accessible from version history.</w:t>
      </w:r>
    </w:p>
    <w:p>
      <w:pPr>
        <w:pStyle w:val="ListParagraph"/>
        <w:numPr>
          <w:ilvl w:val="0"/>
          <w:numId w:val="3"/>
        </w:numPr>
        <w:spacing w:after="40" w:before="40"/>
        <w:ind w:left="720" w:hanging="360"/>
      </w:pPr>
      <w:r>
        <w:rPr>
          <w:rFonts w:ascii="Arial" w:cs="Arial" w:eastAsia="Arial" w:hAnsi="Arial"/>
          <w:color w:val="1F2937"/>
          <w:sz w:val="22"/>
          <w:szCs w:val="22"/>
        </w:rPr>
        <w:t xml:space="preserve">Share links from the previous version automatically serve the new version (configurable: can pin a share link to a specific version).</w:t>
      </w:r>
    </w:p>
    <w:p>
      <w:pPr>
        <w:pStyle w:val="Heading2"/>
        <w:spacing w:after="120" w:before="360"/>
      </w:pPr>
      <w:r>
        <w:rPr>
          <w:rFonts w:ascii="Arial" w:cs="Arial" w:eastAsia="Arial" w:hAnsi="Arial"/>
          <w:b/>
          <w:bCs/>
          <w:color w:val="2B2D6E"/>
          <w:sz w:val="28"/>
          <w:szCs w:val="28"/>
        </w:rPr>
        <w:t xml:space="preserve">7.3 Admin Flow — Workspace Governance</w:t>
      </w:r>
    </w:p>
    <w:p>
      <w:pPr>
        <w:pStyle w:val="ListParagraph"/>
        <w:numPr>
          <w:ilvl w:val="0"/>
          <w:numId w:val="3"/>
        </w:numPr>
        <w:spacing w:after="40" w:before="40"/>
        <w:ind w:left="720" w:hanging="360"/>
      </w:pPr>
      <w:r>
        <w:rPr>
          <w:rFonts w:ascii="Arial" w:cs="Arial" w:eastAsia="Arial" w:hAnsi="Arial"/>
          <w:color w:val="1F2937"/>
          <w:sz w:val="22"/>
          <w:szCs w:val="22"/>
        </w:rPr>
        <w:t xml:space="preserve">Workspace admin opens the Governance console.</w:t>
      </w:r>
    </w:p>
    <w:p>
      <w:pPr>
        <w:pStyle w:val="ListParagraph"/>
        <w:numPr>
          <w:ilvl w:val="0"/>
          <w:numId w:val="3"/>
        </w:numPr>
        <w:spacing w:after="40" w:before="40"/>
        <w:ind w:left="720" w:hanging="360"/>
      </w:pPr>
      <w:r>
        <w:rPr>
          <w:rFonts w:ascii="Arial" w:cs="Arial" w:eastAsia="Arial" w:hAnsi="Arial"/>
          <w:color w:val="1F2937"/>
          <w:sz w:val="22"/>
          <w:szCs w:val="22"/>
        </w:rPr>
        <w:t xml:space="preserve">Sees integration health overview: all connected data sources, health scores, freshness status, PII flags.</w:t>
      </w:r>
    </w:p>
    <w:p>
      <w:pPr>
        <w:pStyle w:val="ListParagraph"/>
        <w:numPr>
          <w:ilvl w:val="0"/>
          <w:numId w:val="3"/>
        </w:numPr>
        <w:spacing w:after="40" w:before="40"/>
        <w:ind w:left="720" w:hanging="360"/>
      </w:pPr>
      <w:r>
        <w:rPr>
          <w:rFonts w:ascii="Arial" w:cs="Arial" w:eastAsia="Arial" w:hAnsi="Arial"/>
          <w:color w:val="1F2937"/>
          <w:sz w:val="22"/>
          <w:szCs w:val="22"/>
        </w:rPr>
        <w:t xml:space="preserve">Opens Review Queue: all low-confidence definitions surfaced for review. Admin can Accept, Edit, or Reject each.</w:t>
      </w:r>
    </w:p>
    <w:p>
      <w:pPr>
        <w:pStyle w:val="ListParagraph"/>
        <w:numPr>
          <w:ilvl w:val="0"/>
          <w:numId w:val="3"/>
        </w:numPr>
        <w:spacing w:after="40" w:before="40"/>
        <w:ind w:left="720" w:hanging="360"/>
      </w:pPr>
      <w:r>
        <w:rPr>
          <w:rFonts w:ascii="Arial" w:cs="Arial" w:eastAsia="Arial" w:hAnsi="Arial"/>
          <w:color w:val="1F2937"/>
          <w:sz w:val="22"/>
          <w:szCs w:val="22"/>
        </w:rPr>
        <w:t xml:space="preserve">Opens Semantic Layer editor: can modify metric definitions, add calculated metrics, configure explore access permissions.</w:t>
      </w:r>
    </w:p>
    <w:p>
      <w:pPr>
        <w:pStyle w:val="ListParagraph"/>
        <w:numPr>
          <w:ilvl w:val="0"/>
          <w:numId w:val="3"/>
        </w:numPr>
        <w:spacing w:after="40" w:before="40"/>
        <w:ind w:left="720" w:hanging="360"/>
      </w:pPr>
      <w:r>
        <w:rPr>
          <w:rFonts w:ascii="Arial" w:cs="Arial" w:eastAsia="Arial" w:hAnsi="Arial"/>
          <w:color w:val="1F2937"/>
          <w:sz w:val="22"/>
          <w:szCs w:val="22"/>
        </w:rPr>
        <w:t xml:space="preserve">Configures data contracts: required fields, SLA thresholds, blocking rules.</w:t>
      </w:r>
    </w:p>
    <w:p>
      <w:pPr>
        <w:pStyle w:val="ListParagraph"/>
        <w:numPr>
          <w:ilvl w:val="0"/>
          <w:numId w:val="3"/>
        </w:numPr>
        <w:spacing w:after="40" w:before="40"/>
        <w:ind w:left="720" w:hanging="360"/>
      </w:pPr>
      <w:r>
        <w:rPr>
          <w:rFonts w:ascii="Arial" w:cs="Arial" w:eastAsia="Arial" w:hAnsi="Arial"/>
          <w:color w:val="1F2937"/>
          <w:sz w:val="22"/>
          <w:szCs w:val="22"/>
        </w:rPr>
        <w:t xml:space="preserve">Reviews audit log: all pipeline runs, model promotions, share link creations with actor + timestamp.</w:t>
      </w:r>
    </w:p>
    <w:p>
      <w:pPr>
        <w:pStyle w:val="ListParagraph"/>
        <w:numPr>
          <w:ilvl w:val="0"/>
          <w:numId w:val="3"/>
        </w:numPr>
        <w:spacing w:after="40" w:before="40"/>
        <w:ind w:left="720" w:hanging="360"/>
      </w:pPr>
      <w:r>
        <w:rPr>
          <w:rFonts w:ascii="Arial" w:cs="Arial" w:eastAsia="Arial" w:hAnsi="Arial"/>
          <w:color w:val="1F2937"/>
          <w:sz w:val="22"/>
          <w:szCs w:val="22"/>
        </w:rPr>
        <w:t xml:space="preserve">Configures workspace branding: logo, primary color (applied to all workspace artifacts).</w:t>
      </w:r>
    </w:p>
    <w:p>
      <w:pPr>
        <w:spacing w:after="0" w:before="160"/>
      </w:pPr>
    </w:p>
    <w:p>
      <w:r>
        <w:br w:type="page"/>
      </w:r>
    </w:p>
    <w:p>
      <w:pPr>
        <w:pStyle w:val="Heading1"/>
        <w:pBdr>
          <w:bottom w:val="single" w:color="4F46E5" w:sz="8" w:space="4"/>
        </w:pBdr>
        <w:spacing w:after="160" w:before="480"/>
      </w:pPr>
      <w:r>
        <w:rPr>
          <w:rFonts w:ascii="Arial" w:cs="Arial" w:eastAsia="Arial" w:hAnsi="Arial"/>
          <w:b/>
          <w:bCs/>
          <w:color w:val="2B2D6E"/>
          <w:sz w:val="36"/>
          <w:szCs w:val="36"/>
        </w:rPr>
        <w:t xml:space="preserve">9. Implementation Roadmap</w:t>
      </w:r>
    </w:p>
    <w:p>
      <w:pPr>
        <w:pStyle w:val="Heading2"/>
        <w:spacing w:after="120" w:before="360"/>
      </w:pPr>
      <w:r>
        <w:rPr>
          <w:rFonts w:ascii="Arial" w:cs="Arial" w:eastAsia="Arial" w:hAnsi="Arial"/>
          <w:b/>
          <w:bCs/>
          <w:color w:val="2B2D6E"/>
          <w:sz w:val="28"/>
          <w:szCs w:val="28"/>
        </w:rPr>
        <w:t xml:space="preserve">8.1 Phase 1 — Foundation (Months 1–3)</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4F46E5"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GOAL</w:t>
            </w:r>
          </w:p>
        </w:tc>
        <w:tc>
          <w:tcPr>
            <w:tcW w:type="dxa" w:w="9160"/>
            <w:shd w:fill="EEF2FF" w:val="clear"/>
            <w:tcMar>
              <w:top w:type="dxa" w:w="80"/>
              <w:left w:type="dxa" w:w="160"/>
              <w:bottom w:type="dxa" w:w="80"/>
              <w:right w:type="dxa" w:w="120"/>
            </w:tcMar>
          </w:tcPr>
          <w:p>
            <w:r>
              <w:rPr>
                <w:rFonts w:ascii="Arial" w:cs="Arial" w:eastAsia="Arial" w:hAnsi="Arial"/>
                <w:color w:val="1F2937"/>
                <w:sz w:val="21"/>
                <w:szCs w:val="21"/>
              </w:rPr>
              <w:t xml:space="preserve">Core pipeline working end-to-end for a single warehouse connector (Snowflake). Manual governance review UI. Basic artifact generation with static data (no live refresh).</w:t>
            </w:r>
          </w:p>
        </w:tc>
      </w:tr>
    </w:tbl>
    <w:p>
      <w:pPr>
        <w:spacing w:after="0" w:before="160"/>
      </w:pPr>
    </w:p>
    <w:p>
      <w:pPr>
        <w:pStyle w:val="ListParagraph"/>
        <w:numPr>
          <w:ilvl w:val="0"/>
          <w:numId w:val="2"/>
        </w:numPr>
        <w:spacing w:after="40" w:before="40"/>
        <w:ind w:left="720" w:hanging="360"/>
      </w:pPr>
      <w:r>
        <w:rPr>
          <w:rFonts w:ascii="Arial" w:cs="Arial" w:eastAsia="Arial" w:hAnsi="Arial"/>
          <w:color w:val="1F2937"/>
          <w:sz w:val="22"/>
          <w:szCs w:val="22"/>
        </w:rPr>
        <w:t xml:space="preserve">Snowflake connector + governance agent (Stage 0)</w:t>
      </w:r>
    </w:p>
    <w:p>
      <w:pPr>
        <w:pStyle w:val="ListParagraph"/>
        <w:numPr>
          <w:ilvl w:val="0"/>
          <w:numId w:val="2"/>
        </w:numPr>
        <w:spacing w:after="40" w:before="40"/>
        <w:ind w:left="720" w:hanging="360"/>
      </w:pPr>
      <w:r>
        <w:rPr>
          <w:rFonts w:ascii="Arial" w:cs="Arial" w:eastAsia="Arial" w:hAnsi="Arial"/>
          <w:color w:val="1F2937"/>
          <w:sz w:val="22"/>
          <w:szCs w:val="22"/>
        </w:rPr>
        <w:t xml:space="preserve">Semantic layer builder for simple schemas (Stage 1)</w:t>
      </w:r>
    </w:p>
    <w:p>
      <w:pPr>
        <w:pStyle w:val="ListParagraph"/>
        <w:numPr>
          <w:ilvl w:val="0"/>
          <w:numId w:val="2"/>
        </w:numPr>
        <w:spacing w:after="40" w:before="40"/>
        <w:ind w:left="720" w:hanging="360"/>
      </w:pPr>
      <w:r>
        <w:rPr>
          <w:rFonts w:ascii="Arial" w:cs="Arial" w:eastAsia="Arial" w:hAnsi="Arial"/>
          <w:color w:val="1F2937"/>
          <w:sz w:val="22"/>
          <w:szCs w:val="22"/>
        </w:rPr>
        <w:t xml:space="preserve">Session planner with intent classification (Stage 2)</w:t>
      </w:r>
    </w:p>
    <w:p>
      <w:pPr>
        <w:pStyle w:val="ListParagraph"/>
        <w:numPr>
          <w:ilvl w:val="0"/>
          <w:numId w:val="2"/>
        </w:numPr>
        <w:spacing w:after="40" w:before="40"/>
        <w:ind w:left="720" w:hanging="360"/>
      </w:pPr>
      <w:r>
        <w:rPr>
          <w:rFonts w:ascii="Arial" w:cs="Arial" w:eastAsia="Arial" w:hAnsi="Arial"/>
          <w:color w:val="1F2937"/>
          <w:sz w:val="22"/>
          <w:szCs w:val="22"/>
        </w:rPr>
        <w:t xml:space="preserve">Gold table construction — data modeler only, no feature engineering (Stage 3 partial)</w:t>
      </w:r>
    </w:p>
    <w:p>
      <w:pPr>
        <w:pStyle w:val="ListParagraph"/>
        <w:numPr>
          <w:ilvl w:val="0"/>
          <w:numId w:val="2"/>
        </w:numPr>
        <w:spacing w:after="40" w:before="40"/>
        <w:ind w:left="720" w:hanging="360"/>
      </w:pPr>
      <w:r>
        <w:rPr>
          <w:rFonts w:ascii="Arial" w:cs="Arial" w:eastAsia="Arial" w:hAnsi="Arial"/>
          <w:color w:val="1F2937"/>
          <w:sz w:val="22"/>
          <w:szCs w:val="22"/>
        </w:rPr>
        <w:t xml:space="preserve">XGBoost training with walk-forward backtest, no repair loop (Stage 4 partial)</w:t>
      </w:r>
    </w:p>
    <w:p>
      <w:pPr>
        <w:pStyle w:val="ListParagraph"/>
        <w:numPr>
          <w:ilvl w:val="0"/>
          <w:numId w:val="2"/>
        </w:numPr>
        <w:spacing w:after="40" w:before="40"/>
        <w:ind w:left="720" w:hanging="360"/>
      </w:pPr>
      <w:r>
        <w:rPr>
          <w:rFonts w:ascii="Arial" w:cs="Arial" w:eastAsia="Arial" w:hAnsi="Arial"/>
          <w:color w:val="1F2937"/>
          <w:sz w:val="22"/>
          <w:szCs w:val="22"/>
        </w:rPr>
        <w:t xml:space="preserve">Basic artifact generation: KPI row + time series panel only (Stage 6 partial)</w:t>
      </w:r>
    </w:p>
    <w:p>
      <w:pPr>
        <w:pStyle w:val="ListParagraph"/>
        <w:numPr>
          <w:ilvl w:val="0"/>
          <w:numId w:val="2"/>
        </w:numPr>
        <w:spacing w:after="40" w:before="40"/>
        <w:ind w:left="720" w:hanging="360"/>
      </w:pPr>
      <w:r>
        <w:rPr>
          <w:rFonts w:ascii="Arial" w:cs="Arial" w:eastAsia="Arial" w:hAnsi="Arial"/>
          <w:color w:val="1F2937"/>
          <w:sz w:val="22"/>
          <w:szCs w:val="22"/>
        </w:rPr>
        <w:t xml:space="preserve">Workspace artifact list with manual share (Stage 7 partial)</w:t>
      </w:r>
    </w:p>
    <w:p>
      <w:pPr>
        <w:pStyle w:val="ListParagraph"/>
        <w:numPr>
          <w:ilvl w:val="0"/>
          <w:numId w:val="2"/>
        </w:numPr>
        <w:spacing w:after="40" w:before="40"/>
        <w:ind w:left="720" w:hanging="360"/>
      </w:pPr>
      <w:r>
        <w:rPr>
          <w:rFonts w:ascii="Arial" w:cs="Arial" w:eastAsia="Arial" w:hAnsi="Arial"/>
          <w:color w:val="1F2937"/>
          <w:sz w:val="22"/>
          <w:szCs w:val="22"/>
        </w:rPr>
        <w:t xml:space="preserve">Internal testing with 3 pilot workspaces</w:t>
      </w:r>
    </w:p>
    <w:p>
      <w:pPr>
        <w:pStyle w:val="Heading2"/>
        <w:spacing w:after="120" w:before="360"/>
      </w:pPr>
      <w:r>
        <w:rPr>
          <w:rFonts w:ascii="Arial" w:cs="Arial" w:eastAsia="Arial" w:hAnsi="Arial"/>
          <w:b/>
          <w:bCs/>
          <w:color w:val="2B2D6E"/>
          <w:sz w:val="28"/>
          <w:szCs w:val="28"/>
        </w:rPr>
        <w:t xml:space="preserve">8.2 Phase 2 — Completeness (Months 4–6)</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0D9488"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GOAL</w:t>
            </w:r>
          </w:p>
        </w:tc>
        <w:tc>
          <w:tcPr>
            <w:tcW w:type="dxa" w:w="9160"/>
            <w:shd w:fill="CCFBF1" w:val="clear"/>
            <w:tcMar>
              <w:top w:type="dxa" w:w="80"/>
              <w:left w:type="dxa" w:w="160"/>
              <w:bottom w:type="dxa" w:w="80"/>
              <w:right w:type="dxa" w:w="120"/>
            </w:tcMar>
          </w:tcPr>
          <w:p>
            <w:r>
              <w:rPr>
                <w:rFonts w:ascii="Arial" w:cs="Arial" w:eastAsia="Arial" w:hAnsi="Arial"/>
                <w:color w:val="1F2937"/>
                <w:sz w:val="21"/>
                <w:szCs w:val="21"/>
              </w:rPr>
              <w:t xml:space="preserve">All 8 stages fully implemented. Full feature engineering pipeline. All three model types. Complete 7-panel artifact. Scheduled refresh and drift monitoring.</w:t>
            </w:r>
          </w:p>
        </w:tc>
      </w:tr>
    </w:tbl>
    <w:p>
      <w:pPr>
        <w:spacing w:after="0" w:before="160"/>
      </w:pPr>
    </w:p>
    <w:p>
      <w:pPr>
        <w:pStyle w:val="ListParagraph"/>
        <w:numPr>
          <w:ilvl w:val="0"/>
          <w:numId w:val="2"/>
        </w:numPr>
        <w:spacing w:after="40" w:before="40"/>
        <w:ind w:left="720" w:hanging="360"/>
      </w:pPr>
      <w:r>
        <w:rPr>
          <w:rFonts w:ascii="Arial" w:cs="Arial" w:eastAsia="Arial" w:hAnsi="Arial"/>
          <w:color w:val="1F2937"/>
          <w:sz w:val="22"/>
          <w:szCs w:val="22"/>
        </w:rPr>
        <w:t xml:space="preserve">Full feature engineering subagent with all encoding and imputation strategies</w:t>
      </w:r>
    </w:p>
    <w:p>
      <w:pPr>
        <w:pStyle w:val="ListParagraph"/>
        <w:numPr>
          <w:ilvl w:val="0"/>
          <w:numId w:val="2"/>
        </w:numPr>
        <w:spacing w:after="40" w:before="40"/>
        <w:ind w:left="720" w:hanging="360"/>
      </w:pPr>
      <w:r>
        <w:rPr>
          <w:rFonts w:ascii="Arial" w:cs="Arial" w:eastAsia="Arial" w:hAnsi="Arial"/>
          <w:color w:val="1F2937"/>
          <w:sz w:val="22"/>
          <w:szCs w:val="22"/>
        </w:rPr>
        <w:t xml:space="preserve">LightGBM + Ridge + ensemble training; automated repair loop</w:t>
      </w:r>
    </w:p>
    <w:p>
      <w:pPr>
        <w:pStyle w:val="ListParagraph"/>
        <w:numPr>
          <w:ilvl w:val="0"/>
          <w:numId w:val="2"/>
        </w:numPr>
        <w:spacing w:after="40" w:before="40"/>
        <w:ind w:left="720" w:hanging="360"/>
      </w:pPr>
      <w:r>
        <w:rPr>
          <w:rFonts w:ascii="Arial" w:cs="Arial" w:eastAsia="Arial" w:hAnsi="Arial"/>
          <w:color w:val="1F2937"/>
          <w:sz w:val="22"/>
          <w:szCs w:val="22"/>
        </w:rPr>
        <w:t xml:space="preserve">SHAP explainability tables + feature importance panel in artifacts</w:t>
      </w:r>
    </w:p>
    <w:p>
      <w:pPr>
        <w:pStyle w:val="ListParagraph"/>
        <w:numPr>
          <w:ilvl w:val="0"/>
          <w:numId w:val="2"/>
        </w:numPr>
        <w:spacing w:after="40" w:before="40"/>
        <w:ind w:left="720" w:hanging="360"/>
      </w:pPr>
      <w:r>
        <w:rPr>
          <w:rFonts w:ascii="Arial" w:cs="Arial" w:eastAsia="Arial" w:hAnsi="Arial"/>
          <w:color w:val="1F2937"/>
          <w:sz w:val="22"/>
          <w:szCs w:val="22"/>
        </w:rPr>
        <w:t xml:space="preserve">Dimension breakdown and forecast panels in artifacts</w:t>
      </w:r>
    </w:p>
    <w:p>
      <w:pPr>
        <w:pStyle w:val="ListParagraph"/>
        <w:numPr>
          <w:ilvl w:val="0"/>
          <w:numId w:val="2"/>
        </w:numPr>
        <w:spacing w:after="40" w:before="40"/>
        <w:ind w:left="720" w:hanging="360"/>
      </w:pPr>
      <w:r>
        <w:rPr>
          <w:rFonts w:ascii="Arial" w:cs="Arial" w:eastAsia="Arial" w:hAnsi="Arial"/>
          <w:color w:val="1F2937"/>
          <w:sz w:val="22"/>
          <w:szCs w:val="22"/>
        </w:rPr>
        <w:t xml:space="preserve">Deterministic artifact validator with repair loop</w:t>
      </w:r>
    </w:p>
    <w:p>
      <w:pPr>
        <w:pStyle w:val="ListParagraph"/>
        <w:numPr>
          <w:ilvl w:val="0"/>
          <w:numId w:val="2"/>
        </w:numPr>
        <w:spacing w:after="40" w:before="40"/>
        <w:ind w:left="720" w:hanging="360"/>
      </w:pPr>
      <w:r>
        <w:rPr>
          <w:rFonts w:ascii="Arial" w:cs="Arial" w:eastAsia="Arial" w:hAnsi="Arial"/>
          <w:color w:val="1F2937"/>
          <w:sz w:val="22"/>
          <w:szCs w:val="22"/>
        </w:rPr>
        <w:t xml:space="preserve">Scheduled refresh + drift monitoring + one-click retrain</w:t>
      </w:r>
    </w:p>
    <w:p>
      <w:pPr>
        <w:pStyle w:val="ListParagraph"/>
        <w:numPr>
          <w:ilvl w:val="0"/>
          <w:numId w:val="2"/>
        </w:numPr>
        <w:spacing w:after="40" w:before="40"/>
        <w:ind w:left="720" w:hanging="360"/>
      </w:pPr>
      <w:r>
        <w:rPr>
          <w:rFonts w:ascii="Arial" w:cs="Arial" w:eastAsia="Arial" w:hAnsi="Arial"/>
          <w:color w:val="1F2937"/>
          <w:sz w:val="22"/>
          <w:szCs w:val="22"/>
        </w:rPr>
        <w:t xml:space="preserve">Embed token system with allowed_origins enforcement</w:t>
      </w:r>
    </w:p>
    <w:p>
      <w:pPr>
        <w:pStyle w:val="ListParagraph"/>
        <w:numPr>
          <w:ilvl w:val="0"/>
          <w:numId w:val="2"/>
        </w:numPr>
        <w:spacing w:after="40" w:before="40"/>
        <w:ind w:left="720" w:hanging="360"/>
      </w:pPr>
      <w:r>
        <w:rPr>
          <w:rFonts w:ascii="Arial" w:cs="Arial" w:eastAsia="Arial" w:hAnsi="Arial"/>
          <w:color w:val="1F2937"/>
          <w:sz w:val="22"/>
          <w:szCs w:val="22"/>
        </w:rPr>
        <w:t xml:space="preserve">Public share links with password and expiry options</w:t>
      </w:r>
    </w:p>
    <w:p>
      <w:pPr>
        <w:pStyle w:val="ListParagraph"/>
        <w:numPr>
          <w:ilvl w:val="0"/>
          <w:numId w:val="2"/>
        </w:numPr>
        <w:spacing w:after="40" w:before="40"/>
        <w:ind w:left="720" w:hanging="360"/>
      </w:pPr>
      <w:r>
        <w:rPr>
          <w:rFonts w:ascii="Arial" w:cs="Arial" w:eastAsia="Arial" w:hAnsi="Arial"/>
          <w:color w:val="1F2937"/>
          <w:sz w:val="22"/>
          <w:szCs w:val="22"/>
        </w:rPr>
        <w:t xml:space="preserve">BigQuery + Postgres connectors</w:t>
      </w:r>
    </w:p>
    <w:p>
      <w:pPr>
        <w:pStyle w:val="Heading2"/>
        <w:spacing w:after="120" w:before="360"/>
      </w:pPr>
      <w:r>
        <w:rPr>
          <w:rFonts w:ascii="Arial" w:cs="Arial" w:eastAsia="Arial" w:hAnsi="Arial"/>
          <w:b/>
          <w:bCs/>
          <w:color w:val="2B2D6E"/>
          <w:sz w:val="28"/>
          <w:szCs w:val="28"/>
        </w:rPr>
        <w:t xml:space="preserve">8.3 Phase 3 — Scale &amp; Enterprise (Months 7–12)</w:t>
      </w:r>
    </w:p>
    <w:tbl>
      <w:tblPr>
        <w:tblW w:type="dxa" w:w="9360"/>
        <w:tblBorders>
          <w:top w:val="none"/>
          <w:left w:val="none"/>
          <w:bottom w:val="none"/>
          <w:right w:val="none"/>
          <w:insideH w:val="single" w:color="auto" w:sz="4"/>
          <w:insideV w:val="single" w:color="auto" w:sz="4"/>
        </w:tblBorders>
      </w:tblPr>
      <w:tblGrid>
        <w:gridCol w:w="200"/>
        <w:gridCol w:w="9160"/>
      </w:tblGrid>
      <w:tr>
        <w:tc>
          <w:tcPr>
            <w:tcW w:type="dxa" w:w="200"/>
            <w:shd w:fill="E85D3A" w:val="clear"/>
            <w:tcMar>
              <w:top w:type="dxa" w:w="80"/>
              <w:left w:type="dxa" w:w="80"/>
              <w:bottom w:type="dxa" w:w="80"/>
              <w:right w:type="dxa" w:w="80"/>
            </w:tcMar>
            <w:vAlign w:val="center"/>
          </w:tcPr>
          <w:p>
            <w:pPr>
              <w:jc w:val="center"/>
            </w:pPr>
            <w:r>
              <w:rPr>
                <w:rFonts w:ascii="Arial" w:cs="Arial" w:eastAsia="Arial" w:hAnsi="Arial"/>
                <w:b/>
                <w:bCs/>
                <w:color w:val="FFFFFF"/>
                <w:sz w:val="18"/>
                <w:szCs w:val="18"/>
              </w:rPr>
              <w:t xml:space="preserve">GOAL</w:t>
            </w:r>
          </w:p>
        </w:tc>
        <w:tc>
          <w:tcPr>
            <w:tcW w:type="dxa" w:w="9160"/>
            <w:shd w:fill="FEE2D5" w:val="clear"/>
            <w:tcMar>
              <w:top w:type="dxa" w:w="80"/>
              <w:left w:type="dxa" w:w="160"/>
              <w:bottom w:type="dxa" w:w="80"/>
              <w:right w:type="dxa" w:w="120"/>
            </w:tcMar>
          </w:tcPr>
          <w:p>
            <w:r>
              <w:rPr>
                <w:rFonts w:ascii="Arial" w:cs="Arial" w:eastAsia="Arial" w:hAnsi="Arial"/>
                <w:color w:val="1F2937"/>
                <w:sz w:val="21"/>
                <w:szCs w:val="21"/>
              </w:rPr>
              <w:t xml:space="preserve">Enterprise-grade features: dbt integration, champion/challenger, custom feature injection, audit log, row-level security, async training for large datasets.</w:t>
            </w:r>
          </w:p>
        </w:tc>
      </w:tr>
    </w:tbl>
    <w:p>
      <w:pPr>
        <w:spacing w:after="0" w:before="160"/>
      </w:pPr>
    </w:p>
    <w:p>
      <w:pPr>
        <w:pStyle w:val="ListParagraph"/>
        <w:numPr>
          <w:ilvl w:val="0"/>
          <w:numId w:val="2"/>
        </w:numPr>
        <w:spacing w:after="40" w:before="40"/>
        <w:ind w:left="720" w:hanging="360"/>
      </w:pPr>
      <w:r>
        <w:rPr>
          <w:rFonts w:ascii="Arial" w:cs="Arial" w:eastAsia="Arial" w:hAnsi="Arial"/>
          <w:color w:val="1F2937"/>
          <w:sz w:val="22"/>
          <w:szCs w:val="22"/>
        </w:rPr>
        <w:t xml:space="preserve">dbt project import as semantic layer explores</w:t>
      </w:r>
    </w:p>
    <w:p>
      <w:pPr>
        <w:pStyle w:val="ListParagraph"/>
        <w:numPr>
          <w:ilvl w:val="0"/>
          <w:numId w:val="2"/>
        </w:numPr>
        <w:spacing w:after="40" w:before="40"/>
        <w:ind w:left="720" w:hanging="360"/>
      </w:pPr>
      <w:r>
        <w:rPr>
          <w:rFonts w:ascii="Arial" w:cs="Arial" w:eastAsia="Arial" w:hAnsi="Arial"/>
          <w:color w:val="1F2937"/>
          <w:sz w:val="22"/>
          <w:szCs w:val="22"/>
        </w:rPr>
        <w:t xml:space="preserve">Champion/challenger framework for model management</w:t>
      </w:r>
    </w:p>
    <w:p>
      <w:pPr>
        <w:pStyle w:val="ListParagraph"/>
        <w:numPr>
          <w:ilvl w:val="0"/>
          <w:numId w:val="2"/>
        </w:numPr>
        <w:spacing w:after="40" w:before="40"/>
        <w:ind w:left="720" w:hanging="360"/>
      </w:pPr>
      <w:r>
        <w:rPr>
          <w:rFonts w:ascii="Arial" w:cs="Arial" w:eastAsia="Arial" w:hAnsi="Arial"/>
          <w:color w:val="1F2937"/>
          <w:sz w:val="22"/>
          <w:szCs w:val="22"/>
        </w:rPr>
        <w:t xml:space="preserve">Custom feature injection (Python function upload, sandboxed execution)</w:t>
      </w:r>
    </w:p>
    <w:p>
      <w:pPr>
        <w:pStyle w:val="ListParagraph"/>
        <w:numPr>
          <w:ilvl w:val="0"/>
          <w:numId w:val="2"/>
        </w:numPr>
        <w:spacing w:after="40" w:before="40"/>
        <w:ind w:left="720" w:hanging="360"/>
      </w:pPr>
      <w:r>
        <w:rPr>
          <w:rFonts w:ascii="Arial" w:cs="Arial" w:eastAsia="Arial" w:hAnsi="Arial"/>
          <w:color w:val="1F2937"/>
          <w:sz w:val="22"/>
          <w:szCs w:val="22"/>
        </w:rPr>
        <w:t xml:space="preserve">Row-level security pass-through from source warehouse</w:t>
      </w:r>
    </w:p>
    <w:p>
      <w:pPr>
        <w:pStyle w:val="ListParagraph"/>
        <w:numPr>
          <w:ilvl w:val="0"/>
          <w:numId w:val="2"/>
        </w:numPr>
        <w:spacing w:after="40" w:before="40"/>
        <w:ind w:left="720" w:hanging="360"/>
      </w:pPr>
      <w:r>
        <w:rPr>
          <w:rFonts w:ascii="Arial" w:cs="Arial" w:eastAsia="Arial" w:hAnsi="Arial"/>
          <w:color w:val="1F2937"/>
          <w:sz w:val="22"/>
          <w:szCs w:val="22"/>
        </w:rPr>
        <w:t xml:space="preserve">Async training pipeline for datasets &gt; 1M rows</w:t>
      </w:r>
    </w:p>
    <w:p>
      <w:pPr>
        <w:pStyle w:val="ListParagraph"/>
        <w:numPr>
          <w:ilvl w:val="0"/>
          <w:numId w:val="2"/>
        </w:numPr>
        <w:spacing w:after="40" w:before="40"/>
        <w:ind w:left="720" w:hanging="360"/>
      </w:pPr>
      <w:r>
        <w:rPr>
          <w:rFonts w:ascii="Arial" w:cs="Arial" w:eastAsia="Arial" w:hAnsi="Arial"/>
          <w:color w:val="1F2937"/>
          <w:sz w:val="22"/>
          <w:szCs w:val="22"/>
        </w:rPr>
        <w:t xml:space="preserve">Databricks + Redshift connectors</w:t>
      </w:r>
    </w:p>
    <w:p>
      <w:pPr>
        <w:pStyle w:val="ListParagraph"/>
        <w:numPr>
          <w:ilvl w:val="0"/>
          <w:numId w:val="2"/>
        </w:numPr>
        <w:spacing w:after="40" w:before="40"/>
        <w:ind w:left="720" w:hanging="360"/>
      </w:pPr>
      <w:r>
        <w:rPr>
          <w:rFonts w:ascii="Arial" w:cs="Arial" w:eastAsia="Arial" w:hAnsi="Arial"/>
          <w:color w:val="1F2937"/>
          <w:sz w:val="22"/>
          <w:szCs w:val="22"/>
        </w:rPr>
        <w:t xml:space="preserve">Cross-workspace sharing with scoped embed tokens</w:t>
      </w:r>
    </w:p>
    <w:p>
      <w:pPr>
        <w:pStyle w:val="ListParagraph"/>
        <w:numPr>
          <w:ilvl w:val="0"/>
          <w:numId w:val="2"/>
        </w:numPr>
        <w:spacing w:after="40" w:before="40"/>
        <w:ind w:left="720" w:hanging="360"/>
      </w:pPr>
      <w:r>
        <w:rPr>
          <w:rFonts w:ascii="Arial" w:cs="Arial" w:eastAsia="Arial" w:hAnsi="Arial"/>
          <w:color w:val="1F2937"/>
          <w:sz w:val="22"/>
          <w:szCs w:val="22"/>
        </w:rPr>
        <w:t xml:space="preserve">Workspace branding customization</w:t>
      </w:r>
    </w:p>
    <w:p>
      <w:pPr>
        <w:pStyle w:val="ListParagraph"/>
        <w:numPr>
          <w:ilvl w:val="0"/>
          <w:numId w:val="2"/>
        </w:numPr>
        <w:spacing w:after="40" w:before="40"/>
        <w:ind w:left="720" w:hanging="360"/>
      </w:pPr>
      <w:r>
        <w:rPr>
          <w:rFonts w:ascii="Arial" w:cs="Arial" w:eastAsia="Arial" w:hAnsi="Arial"/>
          <w:color w:val="1F2937"/>
          <w:sz w:val="22"/>
          <w:szCs w:val="22"/>
        </w:rPr>
        <w:t xml:space="preserve">Comprehensive audit log with export</w:t>
      </w:r>
    </w:p>
    <w:p>
      <w:pPr>
        <w:pStyle w:val="ListParagraph"/>
        <w:numPr>
          <w:ilvl w:val="0"/>
          <w:numId w:val="2"/>
        </w:numPr>
        <w:spacing w:after="40" w:before="40"/>
        <w:ind w:left="720" w:hanging="360"/>
      </w:pPr>
      <w:r>
        <w:rPr>
          <w:rFonts w:ascii="Arial" w:cs="Arial" w:eastAsia="Arial" w:hAnsi="Arial"/>
          <w:color w:val="1F2937"/>
          <w:sz w:val="22"/>
          <w:szCs w:val="22"/>
        </w:rPr>
        <w:t xml:space="preserve">SSO integration (SAML 2.0 + OIDC)</w:t>
      </w:r>
    </w:p>
    <w:p>
      <w:pPr>
        <w:spacing w:after="0" w:before="160"/>
      </w:pPr>
    </w:p>
    <w:p>
      <w:r>
        <w:br w:type="page"/>
      </w:r>
    </w:p>
    <w:p>
      <w:pPr>
        <w:pStyle w:val="Heading1"/>
        <w:pBdr>
          <w:bottom w:val="single" w:color="4F46E5" w:sz="8" w:space="4"/>
        </w:pBdr>
        <w:spacing w:after="160" w:before="480"/>
      </w:pPr>
      <w:r>
        <w:rPr>
          <w:rFonts w:ascii="Arial" w:cs="Arial" w:eastAsia="Arial" w:hAnsi="Arial"/>
          <w:b/>
          <w:bCs/>
          <w:color w:val="2B2D6E"/>
          <w:sz w:val="36"/>
          <w:szCs w:val="36"/>
        </w:rPr>
        <w:t xml:space="preserve">10. Resolved Design Decisions</w:t>
      </w:r>
    </w:p>
    <w:p>
      <w:pPr>
        <w:spacing w:after="60" w:before="60"/>
        <w:jc w:val="left"/>
      </w:pPr>
      <w:r>
        <w:rPr>
          <w:rFonts w:ascii="Arial" w:cs="Arial" w:eastAsia="Arial" w:hAnsi="Arial"/>
          <w:i/>
          <w:iCs/>
          <w:color w:val="4B5563"/>
          <w:sz w:val="22"/>
          <w:szCs w:val="22"/>
        </w:rPr>
        <w:t xml:space="preserve">All potential open questions have been resolved with definitive architectural decisions. The decisions below represent the canonical positions for each previously ambiguous area.</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tblHeader/>
        </w:trPr>
        <w:tc>
          <w:tcPr>
            <w:tcW w:type="dxa" w:w="20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Decision Area</w:t>
            </w:r>
          </w:p>
        </w:tc>
        <w:tc>
          <w:tcPr>
            <w:tcW w:type="dxa" w:w="36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Resolution</w:t>
            </w:r>
          </w:p>
        </w:tc>
        <w:tc>
          <w:tcPr>
            <w:tcW w:type="dxa" w:w="37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LLM model selection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claude-sonnet-4-6 for all agents. Single model across all stages for consistency. Model pinned by version; upgrades require regression testing.</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Predictable behavior across agents; single vendor simplifies rate limit management.</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Train/test split method</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Walk-forward only. No random splits on any temporal data, regardless of whether the user selected time-series features.</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Static splits on temporal data produce systematically optimistic validation metrics that collapse in production.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 data embedding</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Zero data embedded in HTML. All data fetched from gold layer API at render time.</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Keeps artifacts small (&lt; 250KB), ensures live data, prevents stale snapshots.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Feature leakage threshold</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leakage_risk &gt; 0.3 triggers user confirmation, not automatic drop. leakage_risk &gt; 0.7 triggers automatic drop with notification.</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Borderline cases may be legitimate (e.g. a same-day aggregate); user judgment preserved for ambiguous cases.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Many-to-many joins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Blocked until a bridge table is defined. No silent fan-out allowed.</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Fan-out joins silently inflate metric values — the most dangerous data modeling failure.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Public artifact data access</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Gold layer API enforces row-level security and rate limits for public tokens. Public tokens limited to 100 API requests per hour per artifact.</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Prevents accidental data exfiltration via public share links.</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retrain vs new session</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Retrain preserves session_spec, advancing date_range only. New session starts fresh. Both create new artifact versions.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Retrain is operationally safe (same features, same model class). New session is appropriate when business question changes.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Async training notification</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Email + in-app notification on completion. Artifact list shows 'Training in progress' badge. No polling required by user.</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Training &gt; 15 min should not block the UI; async with notification is the correct UX pattern.</w:t>
            </w:r>
          </w:p>
        </w:tc>
      </w:tr>
      <w:tr>
        <w:tc>
          <w:tcPr>
            <w:tcW w:type="dxa" w:w="2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Governance manifest human review</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Required for all low-confidence definitions before ML use. Optional (with warning) for descriptive analytics.</w:t>
            </w:r>
          </w:p>
        </w:tc>
        <w:tc>
          <w:tcPr>
            <w:tcW w:type="dxa" w:w="3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Forcing review before ML prevents confident models built on misunderstood data.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Cross-workspace data access</w:t>
            </w:r>
          </w:p>
        </w:tc>
        <w:tc>
          <w:tcPr>
            <w:tcW w:type="dxa" w:w="3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Cross-workspace recipients access only gold layer API endpoints for shared artifacts. No source table access. No other workspace data accessible.</w:t>
            </w:r>
          </w:p>
        </w:tc>
        <w:tc>
          <w:tcPr>
            <w:tcW w:type="dxa" w:w="3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Minimizes blast radius of a compromised share token.</w:t>
            </w:r>
          </w:p>
        </w:tc>
      </w:tr>
    </w:tbl>
    <w:p>
      <w:pPr>
        <w:spacing w:after="0" w:before="160"/>
      </w:pPr>
    </w:p>
    <w:p>
      <w:r>
        <w:br w:type="page"/>
      </w:r>
    </w:p>
    <w:p>
      <w:pPr>
        <w:pStyle w:val="Heading1"/>
        <w:pBdr>
          <w:bottom w:val="single" w:color="4F46E5" w:sz="8" w:space="4"/>
        </w:pBdr>
        <w:spacing w:after="160" w:before="480"/>
      </w:pPr>
      <w:r>
        <w:rPr>
          <w:rFonts w:ascii="Arial" w:cs="Arial" w:eastAsia="Arial" w:hAnsi="Arial"/>
          <w:b/>
          <w:bCs/>
          <w:color w:val="2B2D6E"/>
          <w:sz w:val="36"/>
          <w:szCs w:val="36"/>
        </w:rPr>
        <w:t xml:space="preserve">11. Appendices</w:t>
      </w:r>
    </w:p>
    <w:p>
      <w:pPr>
        <w:pStyle w:val="Heading2"/>
        <w:spacing w:after="120" w:before="360"/>
      </w:pPr>
      <w:r>
        <w:rPr>
          <w:rFonts w:ascii="Arial" w:cs="Arial" w:eastAsia="Arial" w:hAnsi="Arial"/>
          <w:b/>
          <w:bCs/>
          <w:color w:val="2B2D6E"/>
          <w:sz w:val="28"/>
          <w:szCs w:val="28"/>
        </w:rPr>
        <w:t xml:space="preserve">10.1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060"/>
      </w:tblGrid>
      <w:tr>
        <w:trPr>
          <w:tblHeader/>
        </w:trPr>
        <w:tc>
          <w:tcPr>
            <w:tcW w:type="dxa" w:w="24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0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Governance manifest</w:t>
            </w:r>
          </w:p>
        </w:tc>
        <w:tc>
          <w:tcPr>
            <w:tcW w:type="dxa" w:w="7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Versioned JSON document produced by Stage 0 containing schema catalog, column profiles, health scores, PII flags, and lineage edges for all tables in a connected integration.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Semantic layer</w:t>
            </w:r>
          </w:p>
        </w:tc>
        <w:tc>
          <w:tcPr>
            <w:tcW w:type="dxa" w:w="7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 version-controlled schema defining every metric, dimension, and join path exactly once in business terms. Acts as the canonical vocabulary for all user-facing features.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Explore</w:t>
            </w:r>
          </w:p>
        </w:tc>
        <w:tc>
          <w:tcPr>
            <w:tcW w:type="dxa" w:w="7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 named grouping of metrics and dimensions within the semantic layer representing a coherent business topic (e.g. 'Revenue', 'Location Performance').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Session spec</w:t>
            </w:r>
          </w:p>
        </w:tc>
        <w:tc>
          <w:tcPr>
            <w:tcW w:type="dxa" w:w="7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The structured JSON output of the session planner agent that fully describes a user's analytic intent, selected metrics, feature candidates, date range, grain, and output type. Fully reproducible — re-running the same session spec produces the same pipeline.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 layer</w:t>
            </w:r>
          </w:p>
        </w:tc>
        <w:tc>
          <w:tcPr>
            <w:tcW w:type="dxa" w:w="7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 curated analytical data layer within the workspace's data warehouse schema. Gold layer tables are produced by AnalytIQ agents and carry full governance metadata.</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Feature manifest</w:t>
            </w:r>
          </w:p>
        </w:tc>
        <w:tc>
          <w:tcPr>
            <w:tcW w:type="dxa" w:w="7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 versioned document listing every column in the gold analytical table after feature engineering, including derivation method, leakage risk score, and imputation strategy.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Model card</w:t>
            </w:r>
          </w:p>
        </w:tc>
        <w:tc>
          <w:tcPr>
            <w:tcW w:type="dxa" w:w="7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 structured document recording every aspect of a trained model: algorithm, hyperparameters, training lineage, walk-forward backtest results, promotion status, and feature importance.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Walk-forward backtest</w:t>
            </w:r>
          </w:p>
        </w:tc>
        <w:tc>
          <w:tcPr>
            <w:tcW w:type="dxa" w:w="7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 time-series validation method where the model is trained on expanding historical windows and evaluated on the subsequent out-of-sample window, repeated N times. Prevents data leakage from future periods into validation metrics.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Artifact</w:t>
            </w:r>
          </w:p>
        </w:tc>
        <w:tc>
          <w:tcPr>
            <w:tcW w:type="dxa" w:w="7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The final output of an AnalytIQ session: a self-contained HTML file containing a live, interactive dashboard that reads from gold layer API endpoints. Artifacts are versioned, shareable, and embeddable.</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Embed token</w:t>
            </w:r>
          </w:p>
        </w:tc>
        <w:tc>
          <w:tcPr>
            <w:tcW w:type="dxa" w:w="7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 signed JWT that grants time-limited, scope-limited access to a single artifact's gold layer API endpoints. Used for iframe embedding in external applications.</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DQ gate</w:t>
            </w:r>
          </w:p>
        </w:tc>
        <w:tc>
          <w:tcPr>
            <w:tcW w:type="dxa" w:w="70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Data quality gate — a deterministic checkpoint in the pipeline that evaluates defined quality rules and either passes, warns, or blocks pipeline advancement.</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Drift</w:t>
            </w:r>
          </w:p>
        </w:tc>
        <w:tc>
          <w:tcPr>
            <w:tcW w:type="dxa" w:w="70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 statistically significant change in model prediction accuracy over time, typically caused by changes in the distribution of input features or the relationship between features and the target.</w:t>
            </w:r>
          </w:p>
        </w:tc>
      </w:tr>
    </w:tbl>
    <w:p>
      <w:pPr>
        <w:spacing w:after="0" w:before="240"/>
      </w:pPr>
    </w:p>
    <w:p>
      <w:pPr>
        <w:pStyle w:val="Heading2"/>
        <w:spacing w:after="120" w:before="360"/>
      </w:pPr>
      <w:r>
        <w:rPr>
          <w:rFonts w:ascii="Arial" w:cs="Arial" w:eastAsia="Arial" w:hAnsi="Arial"/>
          <w:b/>
          <w:bCs/>
          <w:color w:val="2B2D6E"/>
          <w:sz w:val="28"/>
          <w:szCs w:val="28"/>
        </w:rPr>
        <w:t xml:space="preserve">10.2 Agent Prompt Index</w:t>
      </w:r>
    </w:p>
    <w:p>
      <w:pPr>
        <w:spacing w:after="60" w:before="60"/>
        <w:jc w:val="left"/>
      </w:pPr>
      <w:r>
        <w:rPr>
          <w:rFonts w:ascii="Arial" w:cs="Arial" w:eastAsia="Arial" w:hAnsi="Arial"/>
          <w:color w:val="1F2937"/>
          <w:sz w:val="22"/>
          <w:szCs w:val="22"/>
        </w:rPr>
        <w:t xml:space="preserve">The following table provides a reference index of all AI agent system prompts defined in this PRD.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800"/>
        <w:gridCol w:w="4460"/>
      </w:tblGrid>
      <w:tr>
        <w:trPr>
          <w:tblHeader/>
        </w:trPr>
        <w:tc>
          <w:tcPr>
            <w:tcW w:type="dxa" w:w="24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9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Section Reference</w:t>
            </w:r>
          </w:p>
        </w:tc>
        <w:tc>
          <w:tcPr>
            <w:tcW w:type="dxa" w:w="44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Output Format</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Governance agent</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§4.1.1</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governance_manifest JSON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Semantic layer agent</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§4.2.1</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cube_schema JSON (Cube.dev compatible)</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 planner agent</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§4.3.1</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session_spec JSON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Data modeler subagent</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§4.4 (described)</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gold_table_ddl SQL + split_config JSON</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Feature engineering subagent</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§4.4.2</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enriched_feature_manifest JSON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Training orchestrator</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§4.5.2</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model_card JSON + model binary</w:t>
            </w:r>
          </w:p>
        </w:tc>
      </w:tr>
      <w:tr>
        <w:tc>
          <w:tcPr>
            <w:tcW w:type="dxa" w:w="2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Gold layer writer</w:t>
            </w:r>
          </w:p>
        </w:tc>
        <w:tc>
          <w:tcPr>
            <w:tcW w:type="dxa" w:w="9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§4.6.2 (described)</w:t>
            </w:r>
          </w:p>
        </w:tc>
        <w:tc>
          <w:tcPr>
            <w:tcW w:type="dxa" w:w="4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 gold tables + dq_gate_result JSON</w:t>
            </w:r>
          </w:p>
        </w:tc>
      </w:tr>
      <w:tr>
        <w:tc>
          <w:tcPr>
            <w:tcW w:type="dxa" w:w="24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Artifact generation agent</w:t>
            </w:r>
          </w:p>
        </w:tc>
        <w:tc>
          <w:tcPr>
            <w:tcW w:type="dxa" w:w="9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§4.7.2</w:t>
            </w:r>
          </w:p>
        </w:tc>
        <w:tc>
          <w:tcPr>
            <w:tcW w:type="dxa" w:w="44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self-contained HTML file</w:t>
            </w:r>
          </w:p>
        </w:tc>
      </w:tr>
    </w:tbl>
    <w:p>
      <w:pPr>
        <w:spacing w:after="0" w:before="240"/>
      </w:pPr>
    </w:p>
    <w:p>
      <w:pPr>
        <w:pStyle w:val="Heading2"/>
        <w:spacing w:after="120" w:before="360"/>
      </w:pPr>
      <w:r>
        <w:rPr>
          <w:rFonts w:ascii="Arial" w:cs="Arial" w:eastAsia="Arial" w:hAnsi="Arial"/>
          <w:b/>
          <w:bCs/>
          <w:color w:val="2B2D6E"/>
          <w:sz w:val="28"/>
          <w:szCs w:val="28"/>
        </w:rPr>
        <w:t xml:space="preserve">10.3 Data Quality Gate Summary</w:t>
      </w:r>
    </w:p>
    <w:p>
      <w:pPr>
        <w:spacing w:after="60" w:before="60"/>
        <w:jc w:val="left"/>
      </w:pPr>
      <w:r>
        <w:rPr>
          <w:rFonts w:ascii="Arial" w:cs="Arial" w:eastAsia="Arial" w:hAnsi="Arial"/>
          <w:color w:val="1F2937"/>
          <w:sz w:val="22"/>
          <w:szCs w:val="22"/>
        </w:rPr>
        <w:t xml:space="preserve">Consolidated reference of all data quality gates across all pipeline stages.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200"/>
        <w:gridCol w:w="4760"/>
      </w:tblGrid>
      <w:tr>
        <w:trPr>
          <w:tblHeader/>
        </w:trPr>
        <w:tc>
          <w:tcPr>
            <w:tcW w:type="dxa" w:w="6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8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Gate</w:t>
            </w:r>
          </w:p>
        </w:tc>
        <w:tc>
          <w:tcPr>
            <w:tcW w:type="dxa" w:w="120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760"/>
            <w:tcBorders>
              <w:top w:val="single" w:color="E5E7EB" w:sz="1"/>
              <w:left w:val="single" w:color="E5E7EB" w:sz="1"/>
              <w:bottom w:val="single" w:color="E5E7EB" w:sz="1"/>
              <w:right w:val="single" w:color="E5E7EB" w:sz="1"/>
            </w:tcBorders>
            <w:shd w:fill="2B2D6E" w:val="clear"/>
            <w:tcMar>
              <w:top w:type="dxa" w:w="80"/>
              <w:left w:type="dxa" w:w="120"/>
              <w:bottom w:type="dxa" w:w="80"/>
              <w:right w:type="dxa" w:w="120"/>
            </w:tcMar>
          </w:tcPr>
          <w:p>
            <w:r>
              <w:rPr>
                <w:rFonts w:ascii="Arial" w:cs="Arial" w:eastAsia="Arial" w:hAnsi="Arial"/>
                <w:b/>
                <w:bCs/>
                <w:color w:val="FFFFFF"/>
                <w:sz w:val="20"/>
                <w:szCs w:val="20"/>
              </w:rPr>
              <w:t xml:space="preserve">Pipeline Action on Fail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PK uniqueness violation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Block table from semantic layer</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PII detected</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Flag column; require admin review before ML</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Freshness SLA exceeded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Reduce health score; alert owner</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0</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Row count &lt; 100</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Exclude from ML; allow descriptive only</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Many-to-many join detected</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Block explore until bridge table defined</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1</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Metric definition conflict</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Block both definitions until resolved</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2</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Intent confidence &lt; 0.85</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Info</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Ask one more clarifying question</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Leakage risk &gt; 0.7</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Auto-drop feature with notification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Leakage risk 0.3–0.7</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Hold; require user confirmation</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Post-imputation null &gt; 1%</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Drop feature; log to manifest</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Training rows &lt; 500</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Halt pipeline; prompt to expand date range</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3</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Grain uniqueness violation</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Halt pipeline; surface offending join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Validation MAPE &gt; 15%</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Trigger repair loop (max 3 cycles)</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Overfit: test &gt; validation × 1.2</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Trigger repair loop</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4</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Training time &gt; 15 min</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Switch to async; notify user</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Row count tolerance &gt; 2%</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Block write; surface delta to user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Prediction distribution &gt; 3σ</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Block write; flag as calibration failure</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5</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CI integrity violation &gt; 1%</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Critical</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Block write; flag as model error</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Hardcoded color in artifact</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Trigger artifact repair loop</w:t>
            </w:r>
          </w:p>
        </w:tc>
      </w:tr>
      <w:tr>
        <w:tc>
          <w:tcPr>
            <w:tcW w:type="dxa" w:w="6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Missing aria attributes</w:t>
            </w:r>
          </w:p>
        </w:tc>
        <w:tc>
          <w:tcPr>
            <w:tcW w:type="dxa" w:w="1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476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color w:val="1F2937"/>
                <w:sz w:val="20"/>
                <w:szCs w:val="20"/>
              </w:rPr>
              <w:t xml:space="preserve">Trigger artifact repair loop</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6</w:t>
            </w:r>
          </w:p>
        </w:tc>
        <w:tc>
          <w:tcPr>
            <w:tcW w:type="dxa" w:w="2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File size &gt; 250KB</w:t>
            </w:r>
          </w:p>
        </w:tc>
        <w:tc>
          <w:tcPr>
            <w:tcW w:type="dxa" w:w="1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Warning</w:t>
            </w:r>
          </w:p>
        </w:tc>
        <w:tc>
          <w:tcPr>
            <w:tcW w:type="dxa" w:w="4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1F2937"/>
                <w:sz w:val="20"/>
                <w:szCs w:val="20"/>
              </w:rPr>
              <w:t xml:space="preserve">Apply minification; re-validate</w:t>
            </w:r>
          </w:p>
        </w:tc>
      </w:tr>
    </w:tbl>
    <w:p>
      <w:pPr>
        <w:spacing w:after="0" w:before="1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360"/>
      </w:tabs>
      <w:spacing w:before="120"/>
    </w:pPr>
    <w:r>
      <w:rPr>
        <w:rFonts w:ascii="Arial" w:cs="Arial" w:eastAsia="Arial" w:hAnsi="Arial"/>
        <w:color w:val="9CA3AF"/>
        <w:sz w:val="18"/>
        <w:szCs w:val="18"/>
      </w:rPr>
      <w:t xml:space="preserve">Internal — Confidential</w:t>
    </w:r>
    <w:r>
      <w:rPr>
        <w:rFonts w:ascii="Arial" w:cs="Arial" w:eastAsia="Arial" w:hAnsi="Arial"/>
        <w:sz w:val="18"/>
        <w:szCs w:val="18"/>
      </w:rPr>
      <w:t xml:space="preserv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360"/>
      </w:tabs>
      <w:spacing w:after="120"/>
    </w:pPr>
    <w:r>
      <w:rPr>
        <w:rFonts w:ascii="Arial" w:cs="Arial" w:eastAsia="Arial" w:hAnsi="Arial"/>
        <w:color w:val="9CA3AF"/>
        <w:sz w:val="18"/>
        <w:szCs w:val="18"/>
      </w:rPr>
      <w:t xml:space="preserve">AnalytIQ — Product Requirements Document</w:t>
    </w:r>
    <w:r>
      <w:rPr>
        <w:rFonts w:ascii="Arial" w:cs="Arial" w:eastAsia="Arial" w:hAnsi="Arial"/>
        <w:sz w:val="18"/>
        <w:szCs w:val="18"/>
      </w:rPr>
      <w:t xml:space="preserve">	</w:t>
    </w:r>
    <w:r>
      <w:rPr>
        <w:rFonts w:ascii="Arial" w:cs="Arial" w:eastAsia="Arial" w:hAnsi="Arial"/>
        <w:color w:val="9CA3AF"/>
        <w:sz w:val="18"/>
        <w:szCs w:val="18"/>
      </w:rPr>
      <w:t xml:space="preserve">v1.0.0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B2D6E"/>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2B2D6E"/>
      <w:sz w:val="28"/>
      <w:szCs w:val="28"/>
    </w:rPr>
  </w:style>
  <w:style w:type="paragraph" w:styleId="Heading3">
    <w:name w:val="Heading 3"/>
    <w:basedOn w:val="Normal"/>
    <w:next w:val="Normal"/>
    <w:qFormat/>
    <w:pPr>
      <w:spacing w:after="80" w:before="240"/>
      <w:outlineLvl w:val="2"/>
    </w:pPr>
    <w:rPr>
      <w:rFonts w:ascii="Arial" w:cs="Arial" w:eastAsia="Arial" w:hAnsi="Arial"/>
      <w:b/>
      <w:bCs/>
      <w:color w:val="4F46E5"/>
      <w:sz w:val="24"/>
      <w:szCs w:val="24"/>
    </w:rPr>
  </w:style>
  <w:style w:type="paragraph" w:styleId="Heading4">
    <w:name w:val="Heading 4"/>
    <w:basedOn w:val="Normal"/>
    <w:next w:val="Normal"/>
    <w:qFormat/>
    <w:pPr>
      <w:spacing w:after="60" w:before="200"/>
      <w:outlineLvl w:val="3"/>
    </w:pPr>
    <w:rPr>
      <w:rFonts w:ascii="Arial" w:cs="Arial" w:eastAsia="Arial" w:hAnsi="Arial"/>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2026-06-23T22:17:38.817Z</dcterms:created>
  <dcterms:modified xsi:type="dcterms:W3CDTF">2026-06-23T22:17:38.818Z</dcterms:modified>
</cp:coreProperties>
</file>

<file path=docProps/custom.xml><?xml version="1.0" encoding="utf-8"?>
<Properties xmlns="http://schemas.openxmlformats.org/officeDocument/2006/custom-properties" xmlns:vt="http://schemas.openxmlformats.org/officeDocument/2006/docPropsVTypes"/>
</file>