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756" w:rsidRPr="00703AC6" w:rsidRDefault="00820756" w:rsidP="008C27D4">
      <w:pPr>
        <w:pStyle w:val="CM19"/>
        <w:spacing w:after="280" w:line="276" w:lineRule="atLeast"/>
        <w:ind w:right="630"/>
        <w:jc w:val="both"/>
        <w:rPr>
          <w:rFonts w:ascii="Times" w:hAnsi="Times" w:cs="Times"/>
          <w:b/>
          <w:bCs/>
          <w:color w:val="000000"/>
          <w:sz w:val="16"/>
          <w:szCs w:val="16"/>
        </w:rPr>
      </w:pPr>
    </w:p>
    <w:p w:rsidR="008C27D4" w:rsidRDefault="005F0C94" w:rsidP="008C27D4">
      <w:pPr>
        <w:pStyle w:val="CM19"/>
        <w:spacing w:after="280" w:line="276" w:lineRule="atLeast"/>
        <w:ind w:right="630"/>
        <w:jc w:val="both"/>
        <w:rPr>
          <w:rFonts w:ascii="Times" w:hAnsi="Times" w:cs="Times"/>
          <w:color w:val="000000"/>
          <w:sz w:val="23"/>
          <w:szCs w:val="23"/>
        </w:rPr>
      </w:pPr>
      <w:r w:rsidRPr="005F0C94">
        <w:rPr>
          <w:noProof/>
        </w:rPr>
        <w:pict>
          <v:shapetype id="_x0000_t202" coordsize="21600,21600" o:spt="202" path="m,l,21600r21600,l21600,xe">
            <v:stroke joinstyle="miter"/>
            <v:path gradientshapeok="t" o:connecttype="rect"/>
          </v:shapetype>
          <v:shape id="_x0000_s1026" type="#_x0000_t202" style="position:absolute;left:0;text-align:left;margin-left:44.4pt;margin-top:26.25pt;width:537.9pt;height:4.75pt;z-index:251660288;mso-position-horizontal-relative:page;mso-position-vertical-relative:page" wrapcoords="0 0" o:allowincell="f" filled="f" stroked="f">
            <v:textbox>
              <w:txbxContent>
                <w:p w:rsidR="008C27D4" w:rsidRPr="00D15D9B" w:rsidRDefault="008C27D4" w:rsidP="008C27D4"/>
              </w:txbxContent>
            </v:textbox>
            <w10:wrap type="through" anchorx="page" anchory="page"/>
          </v:shape>
        </w:pict>
      </w:r>
      <w:r w:rsidR="008C27D4">
        <w:rPr>
          <w:rFonts w:ascii="Times" w:hAnsi="Times" w:cs="Times"/>
          <w:b/>
          <w:bCs/>
          <w:color w:val="000000"/>
          <w:sz w:val="23"/>
          <w:szCs w:val="23"/>
        </w:rPr>
        <w:t xml:space="preserve">Purpose: </w:t>
      </w:r>
      <w:r w:rsidR="008C27D4">
        <w:rPr>
          <w:rFonts w:ascii="Times" w:hAnsi="Times" w:cs="Times"/>
          <w:color w:val="000000"/>
          <w:sz w:val="23"/>
          <w:szCs w:val="23"/>
        </w:rPr>
        <w:t xml:space="preserve">The purpose of this procedure is to ensure Giles Chemical is handling and responding to customer complaints in a timely and efficient manner. </w:t>
      </w:r>
    </w:p>
    <w:p w:rsidR="008C27D4" w:rsidRDefault="008C27D4" w:rsidP="008C27D4">
      <w:pPr>
        <w:pStyle w:val="CM19"/>
        <w:spacing w:after="280" w:line="276" w:lineRule="atLeast"/>
        <w:jc w:val="both"/>
        <w:rPr>
          <w:rFonts w:ascii="Times" w:hAnsi="Times" w:cs="Times"/>
          <w:color w:val="000000"/>
          <w:sz w:val="23"/>
          <w:szCs w:val="23"/>
        </w:rPr>
      </w:pPr>
      <w:r>
        <w:rPr>
          <w:rFonts w:ascii="Times" w:hAnsi="Times" w:cs="Times"/>
          <w:b/>
          <w:bCs/>
          <w:color w:val="000000"/>
          <w:sz w:val="23"/>
          <w:szCs w:val="23"/>
        </w:rPr>
        <w:t xml:space="preserve">Procedure: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1) </w:t>
      </w:r>
      <w:r>
        <w:rPr>
          <w:rFonts w:ascii="Times" w:hAnsi="Times" w:cs="Times"/>
          <w:color w:val="000000"/>
          <w:sz w:val="23"/>
          <w:szCs w:val="23"/>
        </w:rPr>
        <w:tab/>
        <w:t xml:space="preserve">When a customer calls in with a complaint, he or she should be referred directly to the Customer Service Representative (CSR) that handles his or her account.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2) </w:t>
      </w:r>
      <w:r>
        <w:rPr>
          <w:rFonts w:ascii="Times" w:hAnsi="Times" w:cs="Times"/>
          <w:color w:val="000000"/>
          <w:sz w:val="23"/>
          <w:szCs w:val="23"/>
        </w:rPr>
        <w:tab/>
        <w:t xml:space="preserve">The CSR will fill out a </w:t>
      </w:r>
      <w:r>
        <w:rPr>
          <w:rFonts w:ascii="Times" w:hAnsi="Times" w:cs="Times"/>
          <w:i/>
          <w:iCs/>
          <w:color w:val="000000"/>
          <w:sz w:val="23"/>
          <w:szCs w:val="23"/>
        </w:rPr>
        <w:t xml:space="preserve">Customer Complaint Initiation Form </w:t>
      </w:r>
      <w:r>
        <w:rPr>
          <w:rFonts w:ascii="Times" w:hAnsi="Times" w:cs="Times"/>
          <w:color w:val="000000"/>
          <w:sz w:val="23"/>
          <w:szCs w:val="23"/>
        </w:rPr>
        <w:t xml:space="preserve">asking the customer’s name, title, and phone number.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3) </w:t>
      </w:r>
      <w:r>
        <w:rPr>
          <w:rFonts w:ascii="Times" w:hAnsi="Times" w:cs="Times"/>
          <w:color w:val="000000"/>
          <w:sz w:val="23"/>
          <w:szCs w:val="23"/>
        </w:rPr>
        <w:tab/>
        <w:t xml:space="preserve">The CSR will ask if the complaint coincides with a Bill of Lading (BOL) and record the date on the BOL if applicable.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4) </w:t>
      </w:r>
      <w:r>
        <w:rPr>
          <w:rFonts w:ascii="Times" w:hAnsi="Times" w:cs="Times"/>
          <w:color w:val="000000"/>
          <w:sz w:val="23"/>
          <w:szCs w:val="23"/>
        </w:rPr>
        <w:tab/>
        <w:t xml:space="preserve">The CSR will ask the customer what the problem is with the load and write down as much and as detailed information as possible.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5) </w:t>
      </w:r>
      <w:r>
        <w:rPr>
          <w:rFonts w:ascii="Times" w:hAnsi="Times" w:cs="Times"/>
          <w:color w:val="000000"/>
          <w:sz w:val="23"/>
          <w:szCs w:val="23"/>
        </w:rPr>
        <w:tab/>
        <w:t xml:space="preserve">The CSR will always obtain Marketing authorization for further customer contact; preferably the signature of the National Sales Manager. If unavailable, obtain signature from the President or Director of Manufacturing.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6) </w:t>
      </w:r>
      <w:r>
        <w:rPr>
          <w:rFonts w:ascii="Times" w:hAnsi="Times" w:cs="Times"/>
          <w:color w:val="000000"/>
          <w:sz w:val="23"/>
          <w:szCs w:val="23"/>
        </w:rPr>
        <w:tab/>
        <w:t xml:space="preserve">The CSR will send scanned copies of the </w:t>
      </w:r>
      <w:r>
        <w:rPr>
          <w:rFonts w:ascii="Times" w:hAnsi="Times" w:cs="Times"/>
          <w:i/>
          <w:iCs/>
          <w:color w:val="000000"/>
          <w:sz w:val="23"/>
          <w:szCs w:val="23"/>
        </w:rPr>
        <w:t xml:space="preserve">Customer Complaint Initiation Form </w:t>
      </w:r>
      <w:r>
        <w:rPr>
          <w:rFonts w:ascii="Times" w:hAnsi="Times" w:cs="Times"/>
          <w:color w:val="000000"/>
          <w:sz w:val="23"/>
          <w:szCs w:val="23"/>
        </w:rPr>
        <w:t xml:space="preserve">to the appropriate people including the Director of Quality. The original copy will be placed in the Director of Quality’s mailbox who will coordinate the investigation (See </w:t>
      </w:r>
      <w:r w:rsidRPr="005F0C1C">
        <w:rPr>
          <w:rFonts w:ascii="Times" w:hAnsi="Times" w:cs="Times"/>
          <w:i/>
          <w:color w:val="000000"/>
          <w:sz w:val="23"/>
          <w:szCs w:val="23"/>
        </w:rPr>
        <w:t>CAPA Procedure</w:t>
      </w:r>
      <w:r>
        <w:rPr>
          <w:rFonts w:ascii="Times" w:hAnsi="Times" w:cs="Times"/>
          <w:i/>
          <w:color w:val="000000"/>
          <w:sz w:val="23"/>
          <w:szCs w:val="23"/>
        </w:rPr>
        <w:t>, QA-10)</w:t>
      </w:r>
      <w:r>
        <w:rPr>
          <w:rFonts w:ascii="Times" w:hAnsi="Times" w:cs="Times"/>
          <w:color w:val="000000"/>
          <w:sz w:val="23"/>
          <w:szCs w:val="23"/>
        </w:rPr>
        <w:t xml:space="preserve">.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7) </w:t>
      </w:r>
      <w:r>
        <w:rPr>
          <w:rFonts w:ascii="Times" w:hAnsi="Times" w:cs="Times"/>
          <w:color w:val="000000"/>
          <w:sz w:val="23"/>
          <w:szCs w:val="23"/>
        </w:rPr>
        <w:tab/>
        <w:t xml:space="preserve">Upon receipt of the </w:t>
      </w:r>
      <w:r>
        <w:rPr>
          <w:rFonts w:ascii="Times" w:hAnsi="Times" w:cs="Times"/>
          <w:i/>
          <w:iCs/>
          <w:color w:val="000000"/>
          <w:sz w:val="23"/>
          <w:szCs w:val="23"/>
        </w:rPr>
        <w:t>Customer Complaint Initiation Form</w:t>
      </w:r>
      <w:r>
        <w:rPr>
          <w:rFonts w:ascii="Times" w:hAnsi="Times" w:cs="Times"/>
          <w:color w:val="000000"/>
          <w:sz w:val="23"/>
          <w:szCs w:val="23"/>
        </w:rPr>
        <w:t xml:space="preserve">, the Director of Quality will contact customer, if necessary, and may request samples or pictures from customer. The complaint may be voided if customer cannot provide samples or pictures substantiating the complaint.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8) </w:t>
      </w:r>
      <w:r>
        <w:rPr>
          <w:rFonts w:ascii="Times" w:hAnsi="Times" w:cs="Times"/>
          <w:color w:val="000000"/>
          <w:sz w:val="23"/>
          <w:szCs w:val="23"/>
        </w:rPr>
        <w:tab/>
        <w:t xml:space="preserve">After reviewing complaint, Director of Quality will assign investigation to appropriate department. Director of Quality will only aid in, not perform, investigation if incident if a production or mechanical issue. Production Manager, Process Engineer, and/or Maintenance Manager will perform these types of investigations.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9) </w:t>
      </w:r>
      <w:r>
        <w:rPr>
          <w:rFonts w:ascii="Times" w:hAnsi="Times" w:cs="Times"/>
          <w:color w:val="000000"/>
          <w:sz w:val="23"/>
          <w:szCs w:val="23"/>
        </w:rPr>
        <w:tab/>
        <w:t xml:space="preserve">The investigation team will meet to determine corrective actions. </w:t>
      </w:r>
    </w:p>
    <w:p w:rsidR="008C27D4" w:rsidRDefault="008C27D4" w:rsidP="008C27D4">
      <w:pPr>
        <w:pStyle w:val="CM19"/>
        <w:spacing w:after="280" w:line="276" w:lineRule="atLeast"/>
        <w:ind w:left="720" w:hanging="360"/>
        <w:jc w:val="both"/>
        <w:rPr>
          <w:rFonts w:ascii="Times" w:hAnsi="Times" w:cs="Times"/>
          <w:color w:val="000000"/>
          <w:sz w:val="23"/>
          <w:szCs w:val="23"/>
        </w:rPr>
      </w:pPr>
      <w:r>
        <w:rPr>
          <w:rFonts w:ascii="Times" w:hAnsi="Times" w:cs="Times"/>
          <w:color w:val="000000"/>
          <w:sz w:val="23"/>
          <w:szCs w:val="23"/>
        </w:rPr>
        <w:t xml:space="preserve">10) When investigation is complete, Director of Quality or Sales Rep will contact customer to make them aware of the corrective actions and send a copy of the investigation report, if appropriate. </w:t>
      </w:r>
    </w:p>
    <w:p w:rsidR="008C27D4" w:rsidRDefault="008C27D4" w:rsidP="008C27D4">
      <w:pPr>
        <w:pStyle w:val="CM2"/>
        <w:ind w:left="720" w:hanging="360"/>
        <w:jc w:val="both"/>
        <w:rPr>
          <w:rFonts w:ascii="Times" w:hAnsi="Times" w:cs="Times"/>
          <w:color w:val="000000"/>
          <w:sz w:val="23"/>
          <w:szCs w:val="23"/>
        </w:rPr>
      </w:pPr>
      <w:r>
        <w:rPr>
          <w:rFonts w:ascii="Times" w:hAnsi="Times" w:cs="Times"/>
          <w:color w:val="000000"/>
          <w:sz w:val="23"/>
          <w:szCs w:val="23"/>
        </w:rPr>
        <w:t xml:space="preserve">11) The Director of Quality will notify the originating CSR and National Sales Rep (who will notify sales rep) when the investigation has been closed. </w:t>
      </w:r>
    </w:p>
    <w:p w:rsidR="00820756" w:rsidRPr="00820756" w:rsidRDefault="00820756" w:rsidP="00820756">
      <w:pPr>
        <w:pStyle w:val="Default"/>
        <w:rPr>
          <w:rFonts w:ascii="Times New Roman" w:hAnsi="Times New Roman" w:cs="Times New Roman"/>
        </w:rPr>
      </w:pPr>
    </w:p>
    <w:p w:rsidR="008C27D4" w:rsidRPr="00820756" w:rsidRDefault="008C27D4" w:rsidP="00820756">
      <w:pPr>
        <w:pStyle w:val="CM19"/>
        <w:spacing w:after="280" w:line="276" w:lineRule="atLeast"/>
        <w:ind w:left="360"/>
        <w:jc w:val="both"/>
        <w:rPr>
          <w:rFonts w:ascii="Times New Roman" w:hAnsi="Times New Roman"/>
          <w:color w:val="000000"/>
          <w:sz w:val="23"/>
          <w:szCs w:val="23"/>
        </w:rPr>
      </w:pPr>
      <w:r w:rsidRPr="00820756">
        <w:rPr>
          <w:rFonts w:ascii="Times New Roman" w:hAnsi="Times New Roman"/>
          <w:color w:val="000000"/>
          <w:sz w:val="23"/>
          <w:szCs w:val="23"/>
        </w:rPr>
        <w:t xml:space="preserve">12) The </w:t>
      </w:r>
      <w:r w:rsidRPr="00820756">
        <w:rPr>
          <w:rFonts w:ascii="Times New Roman" w:hAnsi="Times New Roman"/>
          <w:i/>
          <w:iCs/>
          <w:color w:val="000000"/>
          <w:sz w:val="23"/>
          <w:szCs w:val="23"/>
        </w:rPr>
        <w:t xml:space="preserve">Customer Complaint Initiation Form </w:t>
      </w:r>
      <w:r w:rsidRPr="00820756">
        <w:rPr>
          <w:rFonts w:ascii="Times New Roman" w:hAnsi="Times New Roman"/>
          <w:color w:val="000000"/>
          <w:sz w:val="23"/>
          <w:szCs w:val="23"/>
        </w:rPr>
        <w:t xml:space="preserve">and all supporting documentation will be filed in the Quality Department. </w:t>
      </w:r>
    </w:p>
    <w:p w:rsidR="00820756" w:rsidRDefault="008C27D4" w:rsidP="008C27D4">
      <w:pPr>
        <w:tabs>
          <w:tab w:val="left" w:pos="5580"/>
        </w:tabs>
        <w:rPr>
          <w:rFonts w:ascii="Times" w:hAnsi="Times" w:cs="Times"/>
          <w:color w:val="000000"/>
          <w:sz w:val="23"/>
          <w:szCs w:val="23"/>
        </w:rPr>
      </w:pPr>
      <w:r>
        <w:rPr>
          <w:rFonts w:ascii="Times" w:hAnsi="Times" w:cs="Times"/>
          <w:color w:val="000000"/>
          <w:sz w:val="23"/>
          <w:szCs w:val="23"/>
        </w:rPr>
        <w:lastRenderedPageBreak/>
        <w:t>13) Any customers requesting credit or return of non-conformance product should be directed to the Sales Representative. Any credit or return of non-conformance product must have final approval from National Sales Rep or the President.</w:t>
      </w:r>
    </w:p>
    <w:p w:rsidR="00820756" w:rsidRDefault="00820756">
      <w:pPr>
        <w:rPr>
          <w:rFonts w:ascii="Times" w:hAnsi="Times" w:cs="Times"/>
          <w:color w:val="000000"/>
          <w:sz w:val="23"/>
          <w:szCs w:val="23"/>
        </w:rPr>
      </w:pPr>
      <w:r>
        <w:rPr>
          <w:rFonts w:ascii="Times" w:hAnsi="Times" w:cs="Times"/>
          <w:color w:val="000000"/>
          <w:sz w:val="23"/>
          <w:szCs w:val="23"/>
        </w:rPr>
        <w:br w:type="page"/>
      </w:r>
    </w:p>
    <w:p w:rsidR="00820756" w:rsidRDefault="00820756" w:rsidP="00820756">
      <w:pPr>
        <w:numPr>
          <w:ilvl w:val="0"/>
          <w:numId w:val="24"/>
        </w:numPr>
      </w:pPr>
    </w:p>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096"/>
        <w:gridCol w:w="1170"/>
        <w:gridCol w:w="1530"/>
        <w:gridCol w:w="1260"/>
        <w:gridCol w:w="1530"/>
        <w:gridCol w:w="2628"/>
      </w:tblGrid>
      <w:tr w:rsidR="00820756" w:rsidTr="006877A7">
        <w:trPr>
          <w:trHeight w:val="334"/>
          <w:jc w:val="center"/>
        </w:trPr>
        <w:tc>
          <w:tcPr>
            <w:tcW w:w="1082" w:type="dxa"/>
            <w:tcBorders>
              <w:top w:val="thickThinLargeGap" w:sz="24" w:space="0" w:color="auto"/>
              <w:bottom w:val="thinThickLargeGap" w:sz="24" w:space="0" w:color="auto"/>
            </w:tcBorders>
          </w:tcPr>
          <w:p w:rsidR="00820756" w:rsidRDefault="00820756" w:rsidP="006877A7">
            <w:pPr>
              <w:jc w:val="center"/>
            </w:pPr>
            <w:r>
              <w:t xml:space="preserve">Revision </w:t>
            </w:r>
          </w:p>
          <w:p w:rsidR="00820756" w:rsidRDefault="00820756" w:rsidP="006877A7">
            <w:pPr>
              <w:jc w:val="center"/>
            </w:pPr>
            <w:r>
              <w:t>Number</w:t>
            </w:r>
          </w:p>
        </w:tc>
        <w:tc>
          <w:tcPr>
            <w:tcW w:w="1096" w:type="dxa"/>
            <w:tcBorders>
              <w:top w:val="thickThinLargeGap" w:sz="24" w:space="0" w:color="auto"/>
              <w:bottom w:val="thinThickLargeGap" w:sz="24" w:space="0" w:color="auto"/>
            </w:tcBorders>
          </w:tcPr>
          <w:p w:rsidR="00820756" w:rsidRDefault="00820756" w:rsidP="006877A7">
            <w:pPr>
              <w:jc w:val="center"/>
            </w:pPr>
            <w:r>
              <w:t xml:space="preserve">Revision </w:t>
            </w:r>
          </w:p>
          <w:p w:rsidR="00820756" w:rsidRDefault="00820756" w:rsidP="006877A7">
            <w:pPr>
              <w:jc w:val="center"/>
            </w:pPr>
            <w:r>
              <w:t>Date</w:t>
            </w:r>
          </w:p>
        </w:tc>
        <w:tc>
          <w:tcPr>
            <w:tcW w:w="1170" w:type="dxa"/>
            <w:tcBorders>
              <w:top w:val="thickThinLargeGap" w:sz="24" w:space="0" w:color="auto"/>
              <w:bottom w:val="thinThickLargeGap" w:sz="24" w:space="0" w:color="auto"/>
            </w:tcBorders>
          </w:tcPr>
          <w:p w:rsidR="00820756" w:rsidRDefault="00820756" w:rsidP="006877A7">
            <w:pPr>
              <w:jc w:val="center"/>
            </w:pPr>
            <w:r>
              <w:t>Effective</w:t>
            </w:r>
          </w:p>
          <w:p w:rsidR="00820756" w:rsidRDefault="00820756" w:rsidP="006877A7">
            <w:pPr>
              <w:jc w:val="center"/>
            </w:pPr>
            <w:r>
              <w:t>Date</w:t>
            </w:r>
          </w:p>
        </w:tc>
        <w:tc>
          <w:tcPr>
            <w:tcW w:w="1530" w:type="dxa"/>
            <w:tcBorders>
              <w:top w:val="thickThinLargeGap" w:sz="24" w:space="0" w:color="auto"/>
              <w:bottom w:val="thinThickLargeGap" w:sz="24" w:space="0" w:color="auto"/>
            </w:tcBorders>
          </w:tcPr>
          <w:p w:rsidR="00820756" w:rsidRDefault="00820756" w:rsidP="006877A7">
            <w:pPr>
              <w:jc w:val="center"/>
            </w:pPr>
            <w:r>
              <w:t>Revision</w:t>
            </w:r>
          </w:p>
          <w:p w:rsidR="00820756" w:rsidRDefault="00820756" w:rsidP="006877A7">
            <w:pPr>
              <w:jc w:val="center"/>
            </w:pPr>
            <w:r>
              <w:t>Author</w:t>
            </w:r>
          </w:p>
        </w:tc>
        <w:tc>
          <w:tcPr>
            <w:tcW w:w="1260" w:type="dxa"/>
            <w:tcBorders>
              <w:top w:val="thickThinLargeGap" w:sz="24" w:space="0" w:color="auto"/>
              <w:bottom w:val="thinThickLargeGap" w:sz="24" w:space="0" w:color="auto"/>
            </w:tcBorders>
          </w:tcPr>
          <w:p w:rsidR="00820756" w:rsidRDefault="00820756" w:rsidP="006877A7">
            <w:pPr>
              <w:jc w:val="center"/>
            </w:pPr>
            <w:r>
              <w:t>Quality</w:t>
            </w:r>
          </w:p>
          <w:p w:rsidR="00820756" w:rsidRDefault="00820756" w:rsidP="006877A7">
            <w:pPr>
              <w:jc w:val="center"/>
            </w:pPr>
            <w:r>
              <w:t>Approval</w:t>
            </w:r>
          </w:p>
        </w:tc>
        <w:tc>
          <w:tcPr>
            <w:tcW w:w="1530" w:type="dxa"/>
            <w:tcBorders>
              <w:top w:val="thickThinLargeGap" w:sz="24" w:space="0" w:color="auto"/>
              <w:bottom w:val="thinThickLargeGap" w:sz="24" w:space="0" w:color="auto"/>
            </w:tcBorders>
          </w:tcPr>
          <w:p w:rsidR="00820756" w:rsidRDefault="00820756" w:rsidP="006877A7">
            <w:pPr>
              <w:jc w:val="center"/>
            </w:pPr>
            <w:r>
              <w:t>Production Approval</w:t>
            </w:r>
          </w:p>
        </w:tc>
        <w:tc>
          <w:tcPr>
            <w:tcW w:w="2628" w:type="dxa"/>
            <w:tcBorders>
              <w:top w:val="thickThinLargeGap" w:sz="24" w:space="0" w:color="auto"/>
              <w:bottom w:val="thinThickLargeGap" w:sz="24" w:space="0" w:color="auto"/>
            </w:tcBorders>
            <w:vAlign w:val="center"/>
          </w:tcPr>
          <w:p w:rsidR="00820756" w:rsidRDefault="00820756" w:rsidP="006877A7">
            <w:pPr>
              <w:jc w:val="center"/>
            </w:pPr>
            <w:r>
              <w:t>Revision Description</w:t>
            </w:r>
          </w:p>
        </w:tc>
      </w:tr>
      <w:tr w:rsidR="00820756" w:rsidTr="006877A7">
        <w:trPr>
          <w:trHeight w:val="857"/>
          <w:jc w:val="center"/>
        </w:trPr>
        <w:tc>
          <w:tcPr>
            <w:tcW w:w="1082" w:type="dxa"/>
            <w:tcBorders>
              <w:top w:val="thinThickLargeGap" w:sz="24" w:space="0" w:color="auto"/>
            </w:tcBorders>
            <w:vAlign w:val="center"/>
          </w:tcPr>
          <w:p w:rsidR="00820756" w:rsidRDefault="00820756" w:rsidP="006877A7">
            <w:pPr>
              <w:jc w:val="center"/>
            </w:pPr>
            <w:r>
              <w:t>00</w:t>
            </w:r>
          </w:p>
        </w:tc>
        <w:tc>
          <w:tcPr>
            <w:tcW w:w="1096" w:type="dxa"/>
            <w:tcBorders>
              <w:top w:val="thinThickLargeGap" w:sz="24" w:space="0" w:color="auto"/>
            </w:tcBorders>
            <w:vAlign w:val="center"/>
          </w:tcPr>
          <w:p w:rsidR="00820756" w:rsidRDefault="00820756" w:rsidP="00802A67">
            <w:pPr>
              <w:jc w:val="center"/>
            </w:pPr>
            <w:r>
              <w:t>9/8/11</w:t>
            </w:r>
          </w:p>
        </w:tc>
        <w:tc>
          <w:tcPr>
            <w:tcW w:w="1170" w:type="dxa"/>
            <w:tcBorders>
              <w:top w:val="thinThickLargeGap" w:sz="24" w:space="0" w:color="auto"/>
            </w:tcBorders>
            <w:vAlign w:val="center"/>
          </w:tcPr>
          <w:p w:rsidR="00820756" w:rsidRDefault="00820756" w:rsidP="00802A67">
            <w:pPr>
              <w:jc w:val="center"/>
            </w:pPr>
            <w:r>
              <w:t>9/8/11</w:t>
            </w:r>
          </w:p>
        </w:tc>
        <w:tc>
          <w:tcPr>
            <w:tcW w:w="1530" w:type="dxa"/>
            <w:tcBorders>
              <w:top w:val="thinThickLargeGap" w:sz="24" w:space="0" w:color="auto"/>
            </w:tcBorders>
            <w:vAlign w:val="center"/>
          </w:tcPr>
          <w:p w:rsidR="00820756" w:rsidRDefault="00820756" w:rsidP="006877A7">
            <w:pPr>
              <w:jc w:val="center"/>
            </w:pPr>
            <w:r>
              <w:t>Deborah Durbin</w:t>
            </w:r>
          </w:p>
        </w:tc>
        <w:tc>
          <w:tcPr>
            <w:tcW w:w="1260" w:type="dxa"/>
            <w:tcBorders>
              <w:top w:val="thinThickLargeGap" w:sz="24" w:space="0" w:color="auto"/>
            </w:tcBorders>
            <w:vAlign w:val="center"/>
          </w:tcPr>
          <w:p w:rsidR="00820756" w:rsidRDefault="00820756" w:rsidP="006877A7">
            <w:pPr>
              <w:jc w:val="center"/>
            </w:pPr>
            <w:r>
              <w:t>-</w:t>
            </w:r>
          </w:p>
        </w:tc>
        <w:tc>
          <w:tcPr>
            <w:tcW w:w="1530" w:type="dxa"/>
            <w:tcBorders>
              <w:top w:val="thinThickLargeGap" w:sz="24" w:space="0" w:color="auto"/>
            </w:tcBorders>
            <w:vAlign w:val="center"/>
          </w:tcPr>
          <w:p w:rsidR="00820756" w:rsidRDefault="00820756" w:rsidP="006877A7">
            <w:pPr>
              <w:jc w:val="center"/>
            </w:pPr>
            <w:r>
              <w:t>-</w:t>
            </w:r>
          </w:p>
        </w:tc>
        <w:tc>
          <w:tcPr>
            <w:tcW w:w="2628" w:type="dxa"/>
            <w:tcBorders>
              <w:top w:val="thinThickLargeGap" w:sz="24" w:space="0" w:color="auto"/>
            </w:tcBorders>
            <w:vAlign w:val="center"/>
          </w:tcPr>
          <w:p w:rsidR="00820756" w:rsidRDefault="00820756" w:rsidP="006877A7">
            <w:pPr>
              <w:jc w:val="center"/>
            </w:pPr>
            <w:r>
              <w:t>New Document</w:t>
            </w:r>
          </w:p>
        </w:tc>
      </w:tr>
      <w:tr w:rsidR="00820756" w:rsidTr="006877A7">
        <w:trPr>
          <w:trHeight w:val="857"/>
          <w:jc w:val="center"/>
        </w:trPr>
        <w:tc>
          <w:tcPr>
            <w:tcW w:w="1082" w:type="dxa"/>
            <w:vAlign w:val="center"/>
          </w:tcPr>
          <w:p w:rsidR="00820756" w:rsidRDefault="00820756" w:rsidP="006877A7">
            <w:pPr>
              <w:jc w:val="center"/>
            </w:pPr>
          </w:p>
        </w:tc>
        <w:tc>
          <w:tcPr>
            <w:tcW w:w="1096" w:type="dxa"/>
            <w:vAlign w:val="center"/>
          </w:tcPr>
          <w:p w:rsidR="00820756" w:rsidRDefault="00820756" w:rsidP="006877A7">
            <w:pPr>
              <w:jc w:val="center"/>
            </w:pPr>
          </w:p>
        </w:tc>
        <w:tc>
          <w:tcPr>
            <w:tcW w:w="117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126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2628" w:type="dxa"/>
            <w:vAlign w:val="center"/>
          </w:tcPr>
          <w:p w:rsidR="00820756" w:rsidRDefault="00820756" w:rsidP="006877A7">
            <w:pPr>
              <w:jc w:val="center"/>
            </w:pPr>
          </w:p>
        </w:tc>
      </w:tr>
      <w:tr w:rsidR="00820756" w:rsidTr="006877A7">
        <w:trPr>
          <w:trHeight w:val="857"/>
          <w:jc w:val="center"/>
        </w:trPr>
        <w:tc>
          <w:tcPr>
            <w:tcW w:w="1082" w:type="dxa"/>
            <w:vAlign w:val="center"/>
          </w:tcPr>
          <w:p w:rsidR="00820756" w:rsidRDefault="00820756" w:rsidP="006877A7">
            <w:pPr>
              <w:jc w:val="center"/>
            </w:pPr>
          </w:p>
        </w:tc>
        <w:tc>
          <w:tcPr>
            <w:tcW w:w="1096" w:type="dxa"/>
            <w:vAlign w:val="center"/>
          </w:tcPr>
          <w:p w:rsidR="00820756" w:rsidRDefault="00820756" w:rsidP="006877A7">
            <w:pPr>
              <w:jc w:val="center"/>
            </w:pPr>
          </w:p>
        </w:tc>
        <w:tc>
          <w:tcPr>
            <w:tcW w:w="117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126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2628" w:type="dxa"/>
            <w:vAlign w:val="center"/>
          </w:tcPr>
          <w:p w:rsidR="00820756" w:rsidRDefault="00820756" w:rsidP="006877A7">
            <w:pPr>
              <w:jc w:val="center"/>
            </w:pPr>
          </w:p>
        </w:tc>
      </w:tr>
      <w:tr w:rsidR="00820756" w:rsidTr="006877A7">
        <w:trPr>
          <w:trHeight w:val="857"/>
          <w:jc w:val="center"/>
        </w:trPr>
        <w:tc>
          <w:tcPr>
            <w:tcW w:w="1082" w:type="dxa"/>
            <w:vAlign w:val="center"/>
          </w:tcPr>
          <w:p w:rsidR="00820756" w:rsidRDefault="00820756" w:rsidP="006877A7">
            <w:pPr>
              <w:jc w:val="center"/>
            </w:pPr>
          </w:p>
        </w:tc>
        <w:tc>
          <w:tcPr>
            <w:tcW w:w="1096" w:type="dxa"/>
            <w:vAlign w:val="center"/>
          </w:tcPr>
          <w:p w:rsidR="00820756" w:rsidRDefault="00820756" w:rsidP="006877A7">
            <w:pPr>
              <w:jc w:val="center"/>
            </w:pPr>
          </w:p>
        </w:tc>
        <w:tc>
          <w:tcPr>
            <w:tcW w:w="117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126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2628" w:type="dxa"/>
            <w:vAlign w:val="center"/>
          </w:tcPr>
          <w:p w:rsidR="00820756" w:rsidRDefault="00820756" w:rsidP="006877A7">
            <w:pPr>
              <w:jc w:val="center"/>
            </w:pPr>
          </w:p>
        </w:tc>
      </w:tr>
      <w:tr w:rsidR="00820756" w:rsidTr="006877A7">
        <w:trPr>
          <w:trHeight w:val="857"/>
          <w:jc w:val="center"/>
        </w:trPr>
        <w:tc>
          <w:tcPr>
            <w:tcW w:w="1082" w:type="dxa"/>
            <w:vAlign w:val="center"/>
          </w:tcPr>
          <w:p w:rsidR="00820756" w:rsidRDefault="00820756" w:rsidP="006877A7">
            <w:pPr>
              <w:jc w:val="center"/>
            </w:pPr>
          </w:p>
        </w:tc>
        <w:tc>
          <w:tcPr>
            <w:tcW w:w="1096" w:type="dxa"/>
            <w:vAlign w:val="center"/>
          </w:tcPr>
          <w:p w:rsidR="00820756" w:rsidRDefault="00820756" w:rsidP="006877A7">
            <w:pPr>
              <w:jc w:val="center"/>
            </w:pPr>
          </w:p>
        </w:tc>
        <w:tc>
          <w:tcPr>
            <w:tcW w:w="117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126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2628" w:type="dxa"/>
            <w:vAlign w:val="center"/>
          </w:tcPr>
          <w:p w:rsidR="00820756" w:rsidRDefault="00820756" w:rsidP="006877A7">
            <w:pPr>
              <w:jc w:val="center"/>
            </w:pPr>
          </w:p>
        </w:tc>
      </w:tr>
      <w:tr w:rsidR="00820756" w:rsidTr="006877A7">
        <w:trPr>
          <w:trHeight w:val="857"/>
          <w:jc w:val="center"/>
        </w:trPr>
        <w:tc>
          <w:tcPr>
            <w:tcW w:w="1082" w:type="dxa"/>
            <w:vAlign w:val="center"/>
          </w:tcPr>
          <w:p w:rsidR="00820756" w:rsidRDefault="00820756" w:rsidP="006877A7">
            <w:pPr>
              <w:jc w:val="center"/>
            </w:pPr>
          </w:p>
        </w:tc>
        <w:tc>
          <w:tcPr>
            <w:tcW w:w="1096" w:type="dxa"/>
            <w:vAlign w:val="center"/>
          </w:tcPr>
          <w:p w:rsidR="00820756" w:rsidRDefault="00820756" w:rsidP="006877A7">
            <w:pPr>
              <w:jc w:val="center"/>
            </w:pPr>
          </w:p>
        </w:tc>
        <w:tc>
          <w:tcPr>
            <w:tcW w:w="117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126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2628" w:type="dxa"/>
            <w:vAlign w:val="center"/>
          </w:tcPr>
          <w:p w:rsidR="00820756" w:rsidRDefault="00820756" w:rsidP="006877A7">
            <w:pPr>
              <w:jc w:val="center"/>
            </w:pPr>
          </w:p>
        </w:tc>
      </w:tr>
      <w:tr w:rsidR="00820756" w:rsidTr="006877A7">
        <w:trPr>
          <w:trHeight w:val="857"/>
          <w:jc w:val="center"/>
        </w:trPr>
        <w:tc>
          <w:tcPr>
            <w:tcW w:w="1082" w:type="dxa"/>
            <w:vAlign w:val="center"/>
          </w:tcPr>
          <w:p w:rsidR="00820756" w:rsidRDefault="00820756" w:rsidP="006877A7">
            <w:pPr>
              <w:jc w:val="center"/>
            </w:pPr>
          </w:p>
        </w:tc>
        <w:tc>
          <w:tcPr>
            <w:tcW w:w="1096" w:type="dxa"/>
            <w:vAlign w:val="center"/>
          </w:tcPr>
          <w:p w:rsidR="00820756" w:rsidRDefault="00820756" w:rsidP="006877A7">
            <w:pPr>
              <w:jc w:val="center"/>
            </w:pPr>
          </w:p>
        </w:tc>
        <w:tc>
          <w:tcPr>
            <w:tcW w:w="117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1260" w:type="dxa"/>
            <w:vAlign w:val="center"/>
          </w:tcPr>
          <w:p w:rsidR="00820756" w:rsidRDefault="00820756" w:rsidP="006877A7">
            <w:pPr>
              <w:jc w:val="center"/>
            </w:pPr>
          </w:p>
        </w:tc>
        <w:tc>
          <w:tcPr>
            <w:tcW w:w="1530" w:type="dxa"/>
            <w:vAlign w:val="center"/>
          </w:tcPr>
          <w:p w:rsidR="00820756" w:rsidRDefault="00820756" w:rsidP="006877A7">
            <w:pPr>
              <w:jc w:val="center"/>
            </w:pPr>
          </w:p>
        </w:tc>
        <w:tc>
          <w:tcPr>
            <w:tcW w:w="2628" w:type="dxa"/>
            <w:vAlign w:val="center"/>
          </w:tcPr>
          <w:p w:rsidR="00820756" w:rsidRDefault="00820756" w:rsidP="006877A7">
            <w:pPr>
              <w:jc w:val="center"/>
            </w:pPr>
          </w:p>
        </w:tc>
      </w:tr>
    </w:tbl>
    <w:p w:rsidR="00820756" w:rsidRDefault="00820756" w:rsidP="00820756">
      <w:pPr>
        <w:jc w:val="both"/>
      </w:pPr>
    </w:p>
    <w:p w:rsidR="008C27D4" w:rsidRDefault="008C27D4" w:rsidP="008C27D4">
      <w:pPr>
        <w:tabs>
          <w:tab w:val="left" w:pos="5580"/>
        </w:tabs>
        <w:rPr>
          <w:b/>
        </w:rPr>
      </w:pPr>
    </w:p>
    <w:sectPr w:rsidR="008C27D4"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8A4" w:rsidRDefault="007E78A4">
      <w:r>
        <w:separator/>
      </w:r>
    </w:p>
  </w:endnote>
  <w:endnote w:type="continuationSeparator" w:id="1">
    <w:p w:rsidR="007E78A4" w:rsidRDefault="007E78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TBC041318t00">
    <w:altName w:val="TTB C 04131 8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8A4" w:rsidRDefault="007E78A4">
      <w:r>
        <w:separator/>
      </w:r>
    </w:p>
  </w:footnote>
  <w:footnote w:type="continuationSeparator" w:id="1">
    <w:p w:rsidR="007E78A4" w:rsidRDefault="007E7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50"/>
      <w:gridCol w:w="839"/>
      <w:gridCol w:w="1642"/>
      <w:gridCol w:w="731"/>
      <w:gridCol w:w="528"/>
      <w:gridCol w:w="261"/>
      <w:gridCol w:w="626"/>
      <w:gridCol w:w="2006"/>
      <w:gridCol w:w="1959"/>
    </w:tblGrid>
    <w:tr w:rsidR="007E78A4" w:rsidTr="00820756">
      <w:trPr>
        <w:trHeight w:val="185"/>
        <w:jc w:val="center"/>
      </w:trPr>
      <w:tc>
        <w:tcPr>
          <w:tcW w:w="165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E78A4" w:rsidRPr="00D04857" w:rsidRDefault="005F0C94" w:rsidP="00260541">
          <w:pPr>
            <w:jc w:val="center"/>
            <w:rPr>
              <w:b/>
              <w:color w:val="3366FF"/>
              <w:sz w:val="28"/>
              <w:szCs w:val="28"/>
              <w:highlight w:val="lightGray"/>
            </w:rPr>
          </w:pPr>
          <w:r w:rsidRPr="005F0C94">
            <w:rPr>
              <w:noProof/>
            </w:rPr>
            <w:pict>
              <v:group id="_x0000_s2049" style="position:absolute;left:0;text-align:left;margin-left:-9.7pt;margin-top:12.1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7E78A4" w:rsidRPr="00CE046E" w:rsidRDefault="007E78A4"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633"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7E78A4" w:rsidRPr="00D04857" w:rsidRDefault="007E78A4"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59" w:type="dxa"/>
          <w:vMerge w:val="restart"/>
          <w:tcBorders>
            <w:top w:val="thinThickLargeGap" w:sz="24" w:space="0" w:color="auto"/>
            <w:left w:val="thinThickLargeGap" w:sz="24" w:space="0" w:color="auto"/>
            <w:right w:val="thickThinLargeGap" w:sz="24" w:space="0" w:color="auto"/>
          </w:tcBorders>
          <w:shd w:val="clear" w:color="auto" w:fill="auto"/>
        </w:tcPr>
        <w:p w:rsidR="007E78A4" w:rsidRPr="00A43B90" w:rsidRDefault="007E78A4"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7E78A4" w:rsidTr="00820756">
      <w:trPr>
        <w:trHeight w:val="185"/>
        <w:jc w:val="center"/>
      </w:trPr>
      <w:tc>
        <w:tcPr>
          <w:tcW w:w="1650" w:type="dxa"/>
          <w:vMerge/>
          <w:tcBorders>
            <w:left w:val="thinThickLargeGap" w:sz="24" w:space="0" w:color="auto"/>
            <w:right w:val="thickThinLargeGap" w:sz="24" w:space="0" w:color="auto"/>
          </w:tcBorders>
          <w:shd w:val="clear" w:color="auto" w:fill="auto"/>
          <w:vAlign w:val="center"/>
        </w:tcPr>
        <w:p w:rsidR="007E78A4" w:rsidRPr="00B72116" w:rsidRDefault="007E78A4" w:rsidP="00260541">
          <w:pPr>
            <w:jc w:val="center"/>
          </w:pPr>
        </w:p>
      </w:tc>
      <w:tc>
        <w:tcPr>
          <w:tcW w:w="6633"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7E78A4" w:rsidRPr="00D04857" w:rsidRDefault="007E78A4" w:rsidP="005F49D5">
          <w:pPr>
            <w:jc w:val="center"/>
            <w:rPr>
              <w:b/>
              <w:color w:val="3366FF"/>
            </w:rPr>
          </w:pPr>
          <w:r>
            <w:rPr>
              <w:b/>
              <w:color w:val="0000FF"/>
            </w:rPr>
            <w:t>COMPANY PROCEDURE</w:t>
          </w:r>
        </w:p>
      </w:tc>
      <w:tc>
        <w:tcPr>
          <w:tcW w:w="1959" w:type="dxa"/>
          <w:vMerge/>
          <w:tcBorders>
            <w:left w:val="thinThickLargeGap" w:sz="24" w:space="0" w:color="auto"/>
            <w:right w:val="thickThinLargeGap" w:sz="24" w:space="0" w:color="auto"/>
          </w:tcBorders>
          <w:shd w:val="clear" w:color="auto" w:fill="auto"/>
        </w:tcPr>
        <w:p w:rsidR="007E78A4" w:rsidRPr="00D04857" w:rsidRDefault="007E78A4" w:rsidP="00260541">
          <w:pPr>
            <w:jc w:val="center"/>
            <w:rPr>
              <w:b/>
              <w:color w:val="0000FF"/>
            </w:rPr>
          </w:pPr>
        </w:p>
      </w:tc>
    </w:tr>
    <w:tr w:rsidR="00820756" w:rsidRPr="00D04857" w:rsidTr="00820756">
      <w:trPr>
        <w:trHeight w:val="219"/>
        <w:jc w:val="center"/>
      </w:trPr>
      <w:tc>
        <w:tcPr>
          <w:tcW w:w="1650" w:type="dxa"/>
          <w:vMerge/>
          <w:tcBorders>
            <w:left w:val="thinThickLargeGap" w:sz="24" w:space="0" w:color="auto"/>
            <w:right w:val="thickThinLargeGap" w:sz="24" w:space="0" w:color="auto"/>
          </w:tcBorders>
          <w:shd w:val="clear" w:color="auto" w:fill="auto"/>
          <w:vAlign w:val="center"/>
        </w:tcPr>
        <w:p w:rsidR="007E78A4" w:rsidRPr="00D04857" w:rsidRDefault="007E78A4" w:rsidP="00260541">
          <w:pPr>
            <w:spacing w:line="201" w:lineRule="exact"/>
            <w:rPr>
              <w:color w:val="FF0000"/>
              <w:sz w:val="20"/>
              <w:szCs w:val="20"/>
            </w:rPr>
          </w:pPr>
        </w:p>
      </w:tc>
      <w:tc>
        <w:tcPr>
          <w:tcW w:w="321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7E78A4" w:rsidRPr="0050435C" w:rsidRDefault="007E78A4" w:rsidP="003668A5">
          <w:pPr>
            <w:spacing w:line="201" w:lineRule="exact"/>
            <w:rPr>
              <w:color w:val="FF0000"/>
              <w:sz w:val="20"/>
              <w:szCs w:val="20"/>
            </w:rPr>
          </w:pPr>
          <w:r w:rsidRPr="0050435C">
            <w:rPr>
              <w:sz w:val="20"/>
              <w:szCs w:val="20"/>
            </w:rPr>
            <w:t xml:space="preserve">Title: </w:t>
          </w:r>
          <w:r w:rsidR="00703AC6">
            <w:rPr>
              <w:sz w:val="20"/>
              <w:szCs w:val="20"/>
            </w:rPr>
            <w:t>Reporting C</w:t>
          </w:r>
          <w:r w:rsidR="00820756">
            <w:rPr>
              <w:sz w:val="20"/>
              <w:szCs w:val="20"/>
            </w:rPr>
            <w:t>ustomer Complaint</w:t>
          </w:r>
        </w:p>
      </w:tc>
      <w:tc>
        <w:tcPr>
          <w:tcW w:w="528" w:type="dxa"/>
          <w:tcBorders>
            <w:top w:val="single" w:sz="4" w:space="0" w:color="auto"/>
            <w:left w:val="single" w:sz="4" w:space="0" w:color="auto"/>
            <w:bottom w:val="single" w:sz="4" w:space="0" w:color="auto"/>
            <w:right w:val="nil"/>
          </w:tcBorders>
          <w:shd w:val="clear" w:color="auto" w:fill="auto"/>
          <w:vAlign w:val="center"/>
        </w:tcPr>
        <w:p w:rsidR="007E78A4" w:rsidRPr="00D04857" w:rsidRDefault="007E78A4"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7E78A4" w:rsidRPr="00D04857" w:rsidRDefault="007E78A4" w:rsidP="00260541">
          <w:pPr>
            <w:jc w:val="center"/>
            <w:rPr>
              <w:sz w:val="16"/>
              <w:szCs w:val="16"/>
            </w:rPr>
          </w:pPr>
          <w:r w:rsidRPr="00D04857">
            <w:rPr>
              <w:sz w:val="16"/>
              <w:szCs w:val="16"/>
            </w:rPr>
            <w:t>:</w:t>
          </w:r>
        </w:p>
      </w:tc>
      <w:tc>
        <w:tcPr>
          <w:tcW w:w="626" w:type="dxa"/>
          <w:tcBorders>
            <w:top w:val="single" w:sz="4" w:space="0" w:color="auto"/>
            <w:left w:val="nil"/>
            <w:bottom w:val="single" w:sz="4" w:space="0" w:color="auto"/>
            <w:right w:val="single" w:sz="4" w:space="0" w:color="auto"/>
          </w:tcBorders>
          <w:shd w:val="clear" w:color="auto" w:fill="auto"/>
          <w:vAlign w:val="center"/>
        </w:tcPr>
        <w:p w:rsidR="007E78A4" w:rsidRPr="00D04857" w:rsidRDefault="005F0C94" w:rsidP="00260541">
          <w:pPr>
            <w:jc w:val="center"/>
            <w:rPr>
              <w:sz w:val="16"/>
              <w:szCs w:val="16"/>
            </w:rPr>
          </w:pPr>
          <w:r w:rsidRPr="00D04857">
            <w:rPr>
              <w:sz w:val="16"/>
              <w:szCs w:val="16"/>
            </w:rPr>
            <w:fldChar w:fldCharType="begin"/>
          </w:r>
          <w:r w:rsidR="007E78A4" w:rsidRPr="00D04857">
            <w:rPr>
              <w:sz w:val="16"/>
              <w:szCs w:val="16"/>
            </w:rPr>
            <w:instrText xml:space="preserve"> PAGE </w:instrText>
          </w:r>
          <w:r w:rsidRPr="00D04857">
            <w:rPr>
              <w:sz w:val="16"/>
              <w:szCs w:val="16"/>
            </w:rPr>
            <w:fldChar w:fldCharType="separate"/>
          </w:r>
          <w:r w:rsidR="009527E4">
            <w:rPr>
              <w:noProof/>
              <w:sz w:val="16"/>
              <w:szCs w:val="16"/>
            </w:rPr>
            <w:t>1</w:t>
          </w:r>
          <w:r w:rsidRPr="00D04857">
            <w:rPr>
              <w:sz w:val="16"/>
              <w:szCs w:val="16"/>
            </w:rPr>
            <w:fldChar w:fldCharType="end"/>
          </w:r>
          <w:r w:rsidR="007E78A4" w:rsidRPr="00D04857">
            <w:rPr>
              <w:sz w:val="16"/>
              <w:szCs w:val="16"/>
            </w:rPr>
            <w:t xml:space="preserve"> of </w:t>
          </w:r>
          <w:r w:rsidRPr="00D04857">
            <w:rPr>
              <w:rStyle w:val="PageNumber"/>
              <w:sz w:val="16"/>
              <w:szCs w:val="16"/>
            </w:rPr>
            <w:fldChar w:fldCharType="begin"/>
          </w:r>
          <w:r w:rsidR="007E78A4" w:rsidRPr="00D04857">
            <w:rPr>
              <w:rStyle w:val="PageNumber"/>
              <w:sz w:val="16"/>
              <w:szCs w:val="16"/>
            </w:rPr>
            <w:instrText xml:space="preserve"> NUMPAGES </w:instrText>
          </w:r>
          <w:r w:rsidRPr="00D04857">
            <w:rPr>
              <w:rStyle w:val="PageNumber"/>
              <w:sz w:val="16"/>
              <w:szCs w:val="16"/>
            </w:rPr>
            <w:fldChar w:fldCharType="separate"/>
          </w:r>
          <w:r w:rsidR="009527E4">
            <w:rPr>
              <w:rStyle w:val="PageNumber"/>
              <w:noProof/>
              <w:sz w:val="16"/>
              <w:szCs w:val="16"/>
            </w:rPr>
            <w:t>3</w:t>
          </w:r>
          <w:r w:rsidRPr="00D04857">
            <w:rPr>
              <w:rStyle w:val="PageNumber"/>
              <w:sz w:val="16"/>
              <w:szCs w:val="16"/>
            </w:rPr>
            <w:fldChar w:fldCharType="end"/>
          </w:r>
        </w:p>
      </w:tc>
      <w:tc>
        <w:tcPr>
          <w:tcW w:w="20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7E78A4" w:rsidRPr="009455CE" w:rsidRDefault="007E78A4" w:rsidP="00126C3F">
          <w:pPr>
            <w:rPr>
              <w:color w:val="FF0000"/>
              <w:sz w:val="16"/>
              <w:szCs w:val="16"/>
            </w:rPr>
          </w:pPr>
          <w:r>
            <w:rPr>
              <w:sz w:val="16"/>
              <w:szCs w:val="16"/>
            </w:rPr>
            <w:t xml:space="preserve">Revision : </w:t>
          </w:r>
          <w:r w:rsidR="00820756" w:rsidRPr="00820756">
            <w:rPr>
              <w:color w:val="FF0000"/>
              <w:sz w:val="16"/>
              <w:szCs w:val="16"/>
            </w:rPr>
            <w:t>00</w:t>
          </w:r>
        </w:p>
        <w:p w:rsidR="007E78A4" w:rsidRPr="00126C3F" w:rsidRDefault="007E78A4" w:rsidP="00820756">
          <w:pPr>
            <w:rPr>
              <w:sz w:val="16"/>
              <w:szCs w:val="16"/>
            </w:rPr>
          </w:pPr>
          <w:r>
            <w:rPr>
              <w:sz w:val="16"/>
              <w:szCs w:val="16"/>
            </w:rPr>
            <w:t>Effective Date :</w:t>
          </w:r>
          <w:r w:rsidR="00820756" w:rsidRPr="00820756">
            <w:rPr>
              <w:color w:val="FF0000"/>
              <w:sz w:val="16"/>
              <w:szCs w:val="16"/>
            </w:rPr>
            <w:t>9/8/2011</w:t>
          </w:r>
          <w:r>
            <w:rPr>
              <w:sz w:val="16"/>
              <w:szCs w:val="16"/>
            </w:rPr>
            <w:t xml:space="preserve"> </w:t>
          </w:r>
        </w:p>
      </w:tc>
      <w:tc>
        <w:tcPr>
          <w:tcW w:w="1959" w:type="dxa"/>
          <w:vMerge/>
          <w:tcBorders>
            <w:left w:val="thinThickLargeGap" w:sz="24" w:space="0" w:color="auto"/>
            <w:right w:val="thickThinLargeGap" w:sz="24" w:space="0" w:color="auto"/>
          </w:tcBorders>
          <w:shd w:val="clear" w:color="auto" w:fill="auto"/>
        </w:tcPr>
        <w:p w:rsidR="007E78A4" w:rsidRPr="00D04857" w:rsidRDefault="007E78A4" w:rsidP="00260541">
          <w:pPr>
            <w:jc w:val="center"/>
            <w:rPr>
              <w:color w:val="FF0000"/>
              <w:sz w:val="16"/>
              <w:szCs w:val="16"/>
            </w:rPr>
          </w:pPr>
        </w:p>
      </w:tc>
    </w:tr>
    <w:tr w:rsidR="007E78A4" w:rsidRPr="00D04857" w:rsidTr="00820756">
      <w:trPr>
        <w:trHeight w:val="209"/>
        <w:jc w:val="center"/>
      </w:trPr>
      <w:tc>
        <w:tcPr>
          <w:tcW w:w="1650" w:type="dxa"/>
          <w:vMerge/>
          <w:tcBorders>
            <w:left w:val="thinThickLargeGap" w:sz="24" w:space="0" w:color="auto"/>
            <w:bottom w:val="thickThinLargeGap" w:sz="24" w:space="0" w:color="auto"/>
            <w:right w:val="thickThinLargeGap" w:sz="24" w:space="0" w:color="auto"/>
          </w:tcBorders>
          <w:shd w:val="clear" w:color="auto" w:fill="auto"/>
        </w:tcPr>
        <w:p w:rsidR="007E78A4" w:rsidRPr="00D04857" w:rsidRDefault="007E78A4"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7E78A4" w:rsidRPr="00D04857" w:rsidRDefault="007E78A4" w:rsidP="00260541">
          <w:pPr>
            <w:jc w:val="center"/>
            <w:rPr>
              <w:sz w:val="20"/>
              <w:szCs w:val="20"/>
            </w:rPr>
          </w:pPr>
          <w:r>
            <w:rPr>
              <w:sz w:val="20"/>
              <w:szCs w:val="20"/>
            </w:rPr>
            <w:t>Author:</w:t>
          </w:r>
        </w:p>
      </w:tc>
      <w:tc>
        <w:tcPr>
          <w:tcW w:w="1642" w:type="dxa"/>
          <w:tcBorders>
            <w:top w:val="single" w:sz="4" w:space="0" w:color="auto"/>
            <w:left w:val="nil"/>
            <w:bottom w:val="thickThinLargeGap" w:sz="24" w:space="0" w:color="auto"/>
            <w:right w:val="nil"/>
          </w:tcBorders>
          <w:shd w:val="clear" w:color="auto" w:fill="auto"/>
          <w:vAlign w:val="center"/>
        </w:tcPr>
        <w:p w:rsidR="007E78A4" w:rsidRPr="00D04857" w:rsidRDefault="00820756" w:rsidP="008269D1">
          <w:pPr>
            <w:rPr>
              <w:color w:val="FF0000"/>
              <w:sz w:val="20"/>
              <w:szCs w:val="20"/>
            </w:rPr>
          </w:pPr>
          <w:r>
            <w:rPr>
              <w:color w:val="FF0000"/>
              <w:sz w:val="20"/>
              <w:szCs w:val="20"/>
            </w:rPr>
            <w:t>Deborah Durbin</w:t>
          </w:r>
        </w:p>
      </w:tc>
      <w:tc>
        <w:tcPr>
          <w:tcW w:w="415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7E78A4" w:rsidRPr="00555C6B" w:rsidRDefault="007E78A4" w:rsidP="003668A5">
          <w:pPr>
            <w:jc w:val="center"/>
            <w:rPr>
              <w:sz w:val="20"/>
              <w:szCs w:val="20"/>
            </w:rPr>
          </w:pPr>
          <w:r>
            <w:rPr>
              <w:sz w:val="20"/>
              <w:szCs w:val="20"/>
            </w:rPr>
            <w:t>Procedure Number</w:t>
          </w:r>
          <w:r w:rsidRPr="00D04857">
            <w:rPr>
              <w:sz w:val="20"/>
              <w:szCs w:val="20"/>
            </w:rPr>
            <w:t>:</w:t>
          </w:r>
          <w:r>
            <w:rPr>
              <w:sz w:val="20"/>
              <w:szCs w:val="20"/>
            </w:rPr>
            <w:t xml:space="preserve"> </w:t>
          </w:r>
          <w:r w:rsidR="00820756" w:rsidRPr="00820756">
            <w:rPr>
              <w:color w:val="FF0000"/>
              <w:sz w:val="20"/>
              <w:szCs w:val="20"/>
            </w:rPr>
            <w:t>QA-20</w:t>
          </w:r>
        </w:p>
      </w:tc>
      <w:tc>
        <w:tcPr>
          <w:tcW w:w="1959" w:type="dxa"/>
          <w:vMerge/>
          <w:tcBorders>
            <w:left w:val="thinThickLargeGap" w:sz="24" w:space="0" w:color="auto"/>
            <w:bottom w:val="thickThinLargeGap" w:sz="24" w:space="0" w:color="auto"/>
            <w:right w:val="thickThinLargeGap" w:sz="24" w:space="0" w:color="auto"/>
          </w:tcBorders>
          <w:shd w:val="clear" w:color="auto" w:fill="auto"/>
        </w:tcPr>
        <w:p w:rsidR="007E78A4" w:rsidRDefault="007E78A4" w:rsidP="00260541">
          <w:pPr>
            <w:jc w:val="center"/>
            <w:rPr>
              <w:sz w:val="20"/>
              <w:szCs w:val="20"/>
            </w:rPr>
          </w:pPr>
        </w:p>
      </w:tc>
    </w:tr>
  </w:tbl>
  <w:p w:rsidR="007E78A4" w:rsidRPr="00350DD9" w:rsidRDefault="007E78A4">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A42F4"/>
    <w:multiLevelType w:val="hybridMultilevel"/>
    <w:tmpl w:val="24345AF2"/>
    <w:lvl w:ilvl="0" w:tplc="9BB2A3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3">
    <w:nsid w:val="469E4DB1"/>
    <w:multiLevelType w:val="hybridMultilevel"/>
    <w:tmpl w:val="A0241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9"/>
  </w:num>
  <w:num w:numId="3">
    <w:abstractNumId w:val="0"/>
  </w:num>
  <w:num w:numId="4">
    <w:abstractNumId w:val="14"/>
  </w:num>
  <w:num w:numId="5">
    <w:abstractNumId w:val="21"/>
  </w:num>
  <w:num w:numId="6">
    <w:abstractNumId w:val="7"/>
  </w:num>
  <w:num w:numId="7">
    <w:abstractNumId w:val="16"/>
  </w:num>
  <w:num w:numId="8">
    <w:abstractNumId w:val="1"/>
  </w:num>
  <w:num w:numId="9">
    <w:abstractNumId w:val="10"/>
  </w:num>
  <w:num w:numId="10">
    <w:abstractNumId w:val="20"/>
  </w:num>
  <w:num w:numId="11">
    <w:abstractNumId w:val="3"/>
  </w:num>
  <w:num w:numId="12">
    <w:abstractNumId w:val="2"/>
  </w:num>
  <w:num w:numId="13">
    <w:abstractNumId w:val="12"/>
  </w:num>
  <w:num w:numId="14">
    <w:abstractNumId w:val="17"/>
  </w:num>
  <w:num w:numId="15">
    <w:abstractNumId w:val="8"/>
  </w:num>
  <w:num w:numId="16">
    <w:abstractNumId w:val="15"/>
  </w:num>
  <w:num w:numId="17">
    <w:abstractNumId w:val="4"/>
  </w:num>
  <w:num w:numId="18">
    <w:abstractNumId w:val="23"/>
  </w:num>
  <w:num w:numId="19">
    <w:abstractNumId w:val="22"/>
  </w:num>
  <w:num w:numId="20">
    <w:abstractNumId w:val="18"/>
  </w:num>
  <w:num w:numId="21">
    <w:abstractNumId w:val="9"/>
  </w:num>
  <w:num w:numId="22">
    <w:abstractNumId w:val="5"/>
  </w:num>
  <w:num w:numId="23">
    <w:abstractNumId w:val="6"/>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A68DF"/>
    <w:rsid w:val="000B522A"/>
    <w:rsid w:val="000B6106"/>
    <w:rsid w:val="000D00FB"/>
    <w:rsid w:val="000D401A"/>
    <w:rsid w:val="000D78E6"/>
    <w:rsid w:val="000E2F1D"/>
    <w:rsid w:val="000E6461"/>
    <w:rsid w:val="001071EE"/>
    <w:rsid w:val="0011620B"/>
    <w:rsid w:val="00124304"/>
    <w:rsid w:val="00126C3F"/>
    <w:rsid w:val="001307DC"/>
    <w:rsid w:val="001372C4"/>
    <w:rsid w:val="001458FC"/>
    <w:rsid w:val="00145E1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23D4"/>
    <w:rsid w:val="002F3147"/>
    <w:rsid w:val="002F36E2"/>
    <w:rsid w:val="002F4B90"/>
    <w:rsid w:val="002F5FE6"/>
    <w:rsid w:val="00303CA7"/>
    <w:rsid w:val="00307D4B"/>
    <w:rsid w:val="003136D8"/>
    <w:rsid w:val="00316DCE"/>
    <w:rsid w:val="00322C4B"/>
    <w:rsid w:val="003443C2"/>
    <w:rsid w:val="00350DD9"/>
    <w:rsid w:val="00351567"/>
    <w:rsid w:val="00352CB7"/>
    <w:rsid w:val="00353EA5"/>
    <w:rsid w:val="00357383"/>
    <w:rsid w:val="003576EE"/>
    <w:rsid w:val="003668A5"/>
    <w:rsid w:val="00370F91"/>
    <w:rsid w:val="00380670"/>
    <w:rsid w:val="00385789"/>
    <w:rsid w:val="00393AA1"/>
    <w:rsid w:val="003953FE"/>
    <w:rsid w:val="00397843"/>
    <w:rsid w:val="003A1CC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84377"/>
    <w:rsid w:val="00491A6D"/>
    <w:rsid w:val="004A2118"/>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0C94"/>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E1CF8"/>
    <w:rsid w:val="006F0039"/>
    <w:rsid w:val="00703AC6"/>
    <w:rsid w:val="00707D5C"/>
    <w:rsid w:val="00716CDF"/>
    <w:rsid w:val="00731572"/>
    <w:rsid w:val="007518FB"/>
    <w:rsid w:val="00780BE7"/>
    <w:rsid w:val="007842F1"/>
    <w:rsid w:val="007911E1"/>
    <w:rsid w:val="00792786"/>
    <w:rsid w:val="007C0F68"/>
    <w:rsid w:val="007D7C78"/>
    <w:rsid w:val="007E78A4"/>
    <w:rsid w:val="00802A67"/>
    <w:rsid w:val="00817630"/>
    <w:rsid w:val="00820756"/>
    <w:rsid w:val="008269D1"/>
    <w:rsid w:val="0083351F"/>
    <w:rsid w:val="00836614"/>
    <w:rsid w:val="008628EE"/>
    <w:rsid w:val="00892E98"/>
    <w:rsid w:val="00893F54"/>
    <w:rsid w:val="008A2545"/>
    <w:rsid w:val="008B5DC7"/>
    <w:rsid w:val="008C27D4"/>
    <w:rsid w:val="008C4410"/>
    <w:rsid w:val="008D2F2D"/>
    <w:rsid w:val="008E09EF"/>
    <w:rsid w:val="008F2692"/>
    <w:rsid w:val="00900252"/>
    <w:rsid w:val="0090400A"/>
    <w:rsid w:val="009049FA"/>
    <w:rsid w:val="009276D7"/>
    <w:rsid w:val="00941054"/>
    <w:rsid w:val="009455CE"/>
    <w:rsid w:val="00947513"/>
    <w:rsid w:val="009527E4"/>
    <w:rsid w:val="00962CAF"/>
    <w:rsid w:val="00971110"/>
    <w:rsid w:val="009829FD"/>
    <w:rsid w:val="00986A99"/>
    <w:rsid w:val="00987F44"/>
    <w:rsid w:val="00990145"/>
    <w:rsid w:val="00996C34"/>
    <w:rsid w:val="00997FE7"/>
    <w:rsid w:val="009A0DEA"/>
    <w:rsid w:val="009A2261"/>
    <w:rsid w:val="009A70EC"/>
    <w:rsid w:val="009B46FB"/>
    <w:rsid w:val="009C6E5A"/>
    <w:rsid w:val="009D069A"/>
    <w:rsid w:val="009D366D"/>
    <w:rsid w:val="009F2A55"/>
    <w:rsid w:val="009F2E08"/>
    <w:rsid w:val="009F34C7"/>
    <w:rsid w:val="009F59A9"/>
    <w:rsid w:val="00A02CDB"/>
    <w:rsid w:val="00A10EDA"/>
    <w:rsid w:val="00A4356A"/>
    <w:rsid w:val="00A53A7A"/>
    <w:rsid w:val="00A568C9"/>
    <w:rsid w:val="00A74DA9"/>
    <w:rsid w:val="00A76DA5"/>
    <w:rsid w:val="00A96952"/>
    <w:rsid w:val="00AA3C15"/>
    <w:rsid w:val="00AC5E79"/>
    <w:rsid w:val="00AD0FBE"/>
    <w:rsid w:val="00AF4840"/>
    <w:rsid w:val="00B12061"/>
    <w:rsid w:val="00B14257"/>
    <w:rsid w:val="00B302F5"/>
    <w:rsid w:val="00B36643"/>
    <w:rsid w:val="00B448CB"/>
    <w:rsid w:val="00B73659"/>
    <w:rsid w:val="00B845F7"/>
    <w:rsid w:val="00B94B15"/>
    <w:rsid w:val="00BC4F75"/>
    <w:rsid w:val="00BC66E1"/>
    <w:rsid w:val="00BE1D31"/>
    <w:rsid w:val="00C02644"/>
    <w:rsid w:val="00C0437A"/>
    <w:rsid w:val="00C31C50"/>
    <w:rsid w:val="00C36437"/>
    <w:rsid w:val="00C428C0"/>
    <w:rsid w:val="00C70FBD"/>
    <w:rsid w:val="00C74AF0"/>
    <w:rsid w:val="00C75ED6"/>
    <w:rsid w:val="00C7731F"/>
    <w:rsid w:val="00CC3B96"/>
    <w:rsid w:val="00CD4CFB"/>
    <w:rsid w:val="00CD627A"/>
    <w:rsid w:val="00CE1378"/>
    <w:rsid w:val="00CF2734"/>
    <w:rsid w:val="00CF4E4E"/>
    <w:rsid w:val="00CF559C"/>
    <w:rsid w:val="00CF7536"/>
    <w:rsid w:val="00D14C32"/>
    <w:rsid w:val="00D30A99"/>
    <w:rsid w:val="00D32C88"/>
    <w:rsid w:val="00D333AC"/>
    <w:rsid w:val="00D33DA3"/>
    <w:rsid w:val="00D40D0D"/>
    <w:rsid w:val="00D42198"/>
    <w:rsid w:val="00D5068E"/>
    <w:rsid w:val="00D556A5"/>
    <w:rsid w:val="00D56356"/>
    <w:rsid w:val="00D57113"/>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D762A"/>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 w:type="paragraph" w:customStyle="1" w:styleId="Default">
    <w:name w:val="Default"/>
    <w:rsid w:val="008C27D4"/>
    <w:pPr>
      <w:widowControl w:val="0"/>
      <w:autoSpaceDE w:val="0"/>
      <w:autoSpaceDN w:val="0"/>
      <w:adjustRightInd w:val="0"/>
    </w:pPr>
    <w:rPr>
      <w:rFonts w:ascii="TTBC041318t00" w:hAnsi="TTBC041318t00" w:cs="TTBC041318t00"/>
      <w:color w:val="000000"/>
      <w:sz w:val="24"/>
      <w:szCs w:val="24"/>
    </w:rPr>
  </w:style>
  <w:style w:type="paragraph" w:customStyle="1" w:styleId="CM19">
    <w:name w:val="CM19"/>
    <w:basedOn w:val="Default"/>
    <w:next w:val="Default"/>
    <w:uiPriority w:val="99"/>
    <w:rsid w:val="008C27D4"/>
    <w:rPr>
      <w:rFonts w:cs="Times New Roman"/>
      <w:color w:val="auto"/>
    </w:rPr>
  </w:style>
  <w:style w:type="paragraph" w:customStyle="1" w:styleId="CM2">
    <w:name w:val="CM2"/>
    <w:basedOn w:val="Default"/>
    <w:next w:val="Default"/>
    <w:uiPriority w:val="99"/>
    <w:rsid w:val="008C27D4"/>
    <w:pPr>
      <w:spacing w:line="276"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A95C9-E97D-43DA-BBF2-AB088592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424</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7</cp:revision>
  <cp:lastPrinted>2012-08-24T21:35:00Z</cp:lastPrinted>
  <dcterms:created xsi:type="dcterms:W3CDTF">2012-08-24T18:50:00Z</dcterms:created>
  <dcterms:modified xsi:type="dcterms:W3CDTF">2012-08-24T21:35:00Z</dcterms:modified>
</cp:coreProperties>
</file>