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951F5B" w:rsidP="00951F5B">
      <w:pPr>
        <w:numPr>
          <w:ilvl w:val="0"/>
          <w:numId w:val="2"/>
        </w:numPr>
        <w:rPr>
          <w:b/>
        </w:rPr>
      </w:pPr>
      <w:r>
        <w:rPr>
          <w:b/>
        </w:rPr>
        <w:t>Purpose</w:t>
      </w:r>
    </w:p>
    <w:p w:rsidR="00951F5B" w:rsidRDefault="00951F5B" w:rsidP="00951F5B">
      <w:pPr>
        <w:ind w:left="360"/>
        <w:rPr>
          <w:b/>
        </w:rPr>
      </w:pPr>
    </w:p>
    <w:p w:rsidR="00951F5B" w:rsidRDefault="00264233" w:rsidP="007C6B1F">
      <w:pPr>
        <w:ind w:left="720"/>
      </w:pPr>
      <w:r>
        <w:t>To</w:t>
      </w:r>
      <w:r w:rsidR="00D71875">
        <w:t xml:space="preserve"> describe how to</w:t>
      </w:r>
      <w:r>
        <w:t xml:space="preserve"> verify that magnesium sulfate </w:t>
      </w:r>
      <w:proofErr w:type="spellStart"/>
      <w:r>
        <w:t>heptahydrate</w:t>
      </w:r>
      <w:proofErr w:type="spellEnd"/>
      <w:r>
        <w:t xml:space="preserve"> samples are below t</w:t>
      </w:r>
      <w:r w:rsidR="007C6B1F">
        <w:t xml:space="preserve">he USP limit of 0.014% chloride following </w:t>
      </w:r>
      <w:r w:rsidR="007C6B1F" w:rsidRPr="00264233">
        <w:t>USP Monograph: Magnesium Sulfate, and General Chapter &lt;221&gt;</w:t>
      </w:r>
    </w:p>
    <w:p w:rsidR="00951F5B" w:rsidRDefault="00951F5B" w:rsidP="00951F5B"/>
    <w:p w:rsidR="00951F5B" w:rsidRPr="00951F5B" w:rsidRDefault="00951F5B" w:rsidP="00951F5B">
      <w:pPr>
        <w:numPr>
          <w:ilvl w:val="0"/>
          <w:numId w:val="2"/>
        </w:numPr>
        <w:rPr>
          <w:b/>
        </w:rPr>
      </w:pPr>
      <w:r w:rsidRPr="00951F5B">
        <w:rPr>
          <w:b/>
        </w:rPr>
        <w:t>Scope</w:t>
      </w:r>
    </w:p>
    <w:p w:rsidR="00951F5B" w:rsidRDefault="00951F5B" w:rsidP="00951F5B">
      <w:pPr>
        <w:ind w:left="360"/>
      </w:pPr>
    </w:p>
    <w:p w:rsidR="00951F5B" w:rsidRDefault="00D71875" w:rsidP="00D71875">
      <w:pPr>
        <w:ind w:left="720"/>
      </w:pPr>
      <w:r>
        <w:t>This procedure applies to USP lot change, stability testing, and any time USP quality needs to be verified. All USP testing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951F5B" w:rsidRPr="00951F5B" w:rsidRDefault="00951F5B" w:rsidP="00951F5B">
      <w:pPr>
        <w:ind w:left="360"/>
        <w:rPr>
          <w:b/>
        </w:rPr>
      </w:pPr>
    </w:p>
    <w:p w:rsidR="00951F5B" w:rsidRDefault="00D71875" w:rsidP="007C6B1F">
      <w:pPr>
        <w:ind w:left="720"/>
      </w:pPr>
      <w:r>
        <w:t>QA Lab p</w:t>
      </w:r>
      <w:r w:rsidR="00264233">
        <w:t>ersonnel</w:t>
      </w:r>
      <w:r w:rsidR="00FB4C48" w:rsidRPr="00FB4C48">
        <w:t xml:space="preserve"> </w:t>
      </w:r>
      <w:r w:rsidR="00FB4C48">
        <w:t>are responsible for USP testing.</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264233" w:rsidRDefault="00264233" w:rsidP="007C6B1F">
      <w:pPr>
        <w:numPr>
          <w:ilvl w:val="0"/>
          <w:numId w:val="7"/>
        </w:numPr>
      </w:pPr>
      <w:r>
        <w:t>Balance-</w:t>
      </w:r>
      <w:proofErr w:type="spellStart"/>
      <w:r>
        <w:t>Mettler</w:t>
      </w:r>
      <w:proofErr w:type="spellEnd"/>
      <w:r>
        <w:t xml:space="preserve"> Toledo X5105Du, B13929Z316</w:t>
      </w:r>
    </w:p>
    <w:p w:rsidR="00264233" w:rsidRDefault="00264233" w:rsidP="007C6B1F">
      <w:pPr>
        <w:numPr>
          <w:ilvl w:val="0"/>
          <w:numId w:val="7"/>
        </w:numPr>
      </w:pPr>
      <w:r>
        <w:t>Weigh Paper</w:t>
      </w:r>
    </w:p>
    <w:p w:rsidR="00264233" w:rsidRDefault="00D71875" w:rsidP="007C6B1F">
      <w:pPr>
        <w:numPr>
          <w:ilvl w:val="0"/>
          <w:numId w:val="7"/>
        </w:numPr>
      </w:pPr>
      <w:r>
        <w:t>2 - 50 ml</w:t>
      </w:r>
      <w:r w:rsidR="00264233">
        <w:t xml:space="preserve"> </w:t>
      </w:r>
      <w:proofErr w:type="spellStart"/>
      <w:r w:rsidR="00264233">
        <w:t>Nessler</w:t>
      </w:r>
      <w:proofErr w:type="spellEnd"/>
      <w:r w:rsidR="00264233">
        <w:t xml:space="preserve"> Low Form Color Comparison Tubes (labeled ‘test’ and ‘control’ respectively) </w:t>
      </w:r>
    </w:p>
    <w:p w:rsidR="00264233" w:rsidRDefault="00264233" w:rsidP="007C6B1F">
      <w:pPr>
        <w:numPr>
          <w:ilvl w:val="0"/>
          <w:numId w:val="7"/>
        </w:numPr>
      </w:pPr>
      <w:r>
        <w:t>Stir Rod or Spatula (long enough for color comparison tubes)</w:t>
      </w:r>
    </w:p>
    <w:p w:rsidR="00264233" w:rsidRDefault="00264233" w:rsidP="007C6B1F">
      <w:pPr>
        <w:numPr>
          <w:ilvl w:val="0"/>
          <w:numId w:val="7"/>
        </w:numPr>
      </w:pPr>
      <w:r>
        <w:t xml:space="preserve">Portable Lamp – </w:t>
      </w:r>
      <w:proofErr w:type="spellStart"/>
      <w:r>
        <w:t>Lampi</w:t>
      </w:r>
      <w:proofErr w:type="spellEnd"/>
      <w:r>
        <w:t xml:space="preserve"> Fluorescent</w:t>
      </w:r>
    </w:p>
    <w:p w:rsidR="00264233" w:rsidRDefault="00264233" w:rsidP="007C6B1F">
      <w:pPr>
        <w:numPr>
          <w:ilvl w:val="0"/>
          <w:numId w:val="7"/>
        </w:numPr>
      </w:pPr>
      <w:proofErr w:type="spellStart"/>
      <w:r>
        <w:t>Eppendorf</w:t>
      </w:r>
      <w:proofErr w:type="spellEnd"/>
      <w:r>
        <w:t xml:space="preserve"> 1000 µL Adjustable Pipette</w:t>
      </w:r>
    </w:p>
    <w:p w:rsidR="00264233" w:rsidRDefault="00264233" w:rsidP="007C6B1F">
      <w:pPr>
        <w:numPr>
          <w:ilvl w:val="0"/>
          <w:numId w:val="7"/>
        </w:numPr>
      </w:pPr>
      <w:r>
        <w:t>Timer</w:t>
      </w:r>
    </w:p>
    <w:p w:rsidR="00264233" w:rsidRDefault="00264233" w:rsidP="007C6B1F">
      <w:pPr>
        <w:numPr>
          <w:ilvl w:val="0"/>
          <w:numId w:val="7"/>
        </w:numPr>
      </w:pPr>
      <w:r>
        <w:t>Black Sheet of Paper</w:t>
      </w:r>
    </w:p>
    <w:p w:rsidR="00805880" w:rsidRDefault="00805880" w:rsidP="00805880">
      <w:pPr>
        <w:ind w:left="1080"/>
      </w:pPr>
    </w:p>
    <w:p w:rsidR="00264233" w:rsidRPr="00742623" w:rsidRDefault="00264233" w:rsidP="00264233">
      <w:pPr>
        <w:rPr>
          <w:b/>
        </w:rPr>
      </w:pPr>
      <w:r w:rsidRPr="00742623">
        <w:rPr>
          <w:b/>
        </w:rPr>
        <w:t>Reagents:</w:t>
      </w:r>
    </w:p>
    <w:p w:rsidR="00264233" w:rsidRDefault="00264233" w:rsidP="007C6B1F">
      <w:pPr>
        <w:numPr>
          <w:ilvl w:val="0"/>
          <w:numId w:val="8"/>
        </w:numPr>
      </w:pPr>
      <w:r w:rsidRPr="00AE181B">
        <w:t>Silver Nitrate Tes</w:t>
      </w:r>
      <w:r w:rsidR="00D71875">
        <w:t>t Solution (0.1</w:t>
      </w:r>
      <w:r w:rsidRPr="00AE181B">
        <w:t>N)</w:t>
      </w:r>
    </w:p>
    <w:p w:rsidR="00264233" w:rsidRPr="00AE181B" w:rsidRDefault="00264233" w:rsidP="007C6B1F">
      <w:pPr>
        <w:numPr>
          <w:ilvl w:val="0"/>
          <w:numId w:val="8"/>
        </w:numPr>
      </w:pPr>
      <w:r>
        <w:t>70% Nitric Acid</w:t>
      </w:r>
    </w:p>
    <w:p w:rsidR="00264233" w:rsidRPr="00AE181B" w:rsidRDefault="00264233" w:rsidP="007C6B1F">
      <w:pPr>
        <w:numPr>
          <w:ilvl w:val="0"/>
          <w:numId w:val="8"/>
        </w:numPr>
      </w:pPr>
      <w:r w:rsidRPr="00AE181B">
        <w:t>DI H</w:t>
      </w:r>
      <w:r w:rsidRPr="00AE181B">
        <w:rPr>
          <w:vertAlign w:val="subscript"/>
        </w:rPr>
        <w:t>2</w:t>
      </w:r>
      <w:r w:rsidRPr="00AE181B">
        <w:t>O</w:t>
      </w:r>
    </w:p>
    <w:p w:rsidR="00264233" w:rsidRDefault="00D71875" w:rsidP="007C6B1F">
      <w:pPr>
        <w:numPr>
          <w:ilvl w:val="0"/>
          <w:numId w:val="8"/>
        </w:numPr>
      </w:pPr>
      <w:r>
        <w:t>0.020</w:t>
      </w:r>
      <w:r w:rsidR="00264233">
        <w:t xml:space="preserve">N </w:t>
      </w:r>
      <w:r w:rsidR="00264233" w:rsidRPr="00AE181B">
        <w:t>Hydrochloric Acid</w:t>
      </w:r>
      <w:r w:rsidR="00264233">
        <w:t xml:space="preserve"> Volumetric Solution</w:t>
      </w:r>
    </w:p>
    <w:p w:rsidR="007C6B1F" w:rsidRDefault="007C6B1F" w:rsidP="00EC222A"/>
    <w:p w:rsidR="00EC222A" w:rsidRDefault="00EC222A" w:rsidP="00EC222A"/>
    <w:p w:rsidR="00EC222A" w:rsidRDefault="00EC222A" w:rsidP="00EC222A"/>
    <w:p w:rsidR="008460A5" w:rsidRDefault="008460A5" w:rsidP="008460A5">
      <w:pPr>
        <w:numPr>
          <w:ilvl w:val="0"/>
          <w:numId w:val="2"/>
        </w:numPr>
        <w:rPr>
          <w:b/>
        </w:rPr>
      </w:pPr>
      <w:r>
        <w:rPr>
          <w:b/>
        </w:rPr>
        <w:lastRenderedPageBreak/>
        <w:t>Procedure</w:t>
      </w:r>
    </w:p>
    <w:p w:rsidR="0025260E" w:rsidRPr="007C6B1F" w:rsidRDefault="0025260E" w:rsidP="007C6B1F">
      <w:pPr>
        <w:tabs>
          <w:tab w:val="left" w:pos="1204"/>
        </w:tabs>
      </w:pPr>
    </w:p>
    <w:p w:rsidR="00264233" w:rsidRDefault="00264233" w:rsidP="007C6B1F">
      <w:pPr>
        <w:pStyle w:val="ListParagraph"/>
        <w:numPr>
          <w:ilvl w:val="1"/>
          <w:numId w:val="2"/>
        </w:numPr>
        <w:spacing w:line="360" w:lineRule="auto"/>
      </w:pPr>
      <w:r>
        <w:t>Weigh out 1.0 g of the magnesium sulfate sample (for magnesium sulfate solution use 273 µL or 1182 µL for Greendale liquid) on a weigh paper and add it to the ‘test’ color comparison tube and d</w:t>
      </w:r>
      <w:r w:rsidR="00D71875">
        <w:t>issolve with approximately 40 ml</w:t>
      </w:r>
      <w:r>
        <w:t xml:space="preserve"> of DI H2O.</w:t>
      </w:r>
    </w:p>
    <w:p w:rsidR="00264233" w:rsidRDefault="00264233" w:rsidP="00264233">
      <w:pPr>
        <w:pStyle w:val="ListParagraph"/>
        <w:numPr>
          <w:ilvl w:val="1"/>
          <w:numId w:val="2"/>
        </w:numPr>
        <w:spacing w:line="360" w:lineRule="auto"/>
      </w:pPr>
      <w:r>
        <w:t>In the ‘control’ color comparison tube add 200 µL of 0.020</w:t>
      </w:r>
      <w:r w:rsidR="00D71875">
        <w:t xml:space="preserve">N hydrochloric acid volumetric </w:t>
      </w:r>
      <w:r>
        <w:t>solution.</w:t>
      </w:r>
    </w:p>
    <w:p w:rsidR="00264233" w:rsidRDefault="00264233" w:rsidP="00264233">
      <w:pPr>
        <w:pStyle w:val="ListParagraph"/>
        <w:numPr>
          <w:ilvl w:val="1"/>
          <w:numId w:val="2"/>
        </w:numPr>
        <w:spacing w:line="360" w:lineRule="auto"/>
      </w:pPr>
      <w:r>
        <w:t>A</w:t>
      </w:r>
      <w:r w:rsidR="00D71875">
        <w:t>dd 1 ml of 70% nitric acid, 1 ml</w:t>
      </w:r>
      <w:r>
        <w:t xml:space="preserve"> of silver nitrate TS and sufficient wa</w:t>
      </w:r>
      <w:r w:rsidR="00D71875">
        <w:t>ter to make 50 ml</w:t>
      </w:r>
      <w:r>
        <w:t xml:space="preserve"> to each tube.</w:t>
      </w:r>
    </w:p>
    <w:p w:rsidR="00264233" w:rsidRDefault="00D71875" w:rsidP="00264233">
      <w:pPr>
        <w:pStyle w:val="ListParagraph"/>
        <w:numPr>
          <w:ilvl w:val="1"/>
          <w:numId w:val="2"/>
        </w:numPr>
        <w:spacing w:line="360" w:lineRule="auto"/>
      </w:pPr>
      <w:r>
        <w:t xml:space="preserve">Mix and let </w:t>
      </w:r>
      <w:r w:rsidR="00264233">
        <w:t>stand for 5 minutes protected from direct sunlight.</w:t>
      </w:r>
    </w:p>
    <w:p w:rsidR="00264233" w:rsidRDefault="00264233" w:rsidP="00264233">
      <w:pPr>
        <w:pStyle w:val="ListParagraph"/>
        <w:numPr>
          <w:ilvl w:val="1"/>
          <w:numId w:val="2"/>
        </w:numPr>
        <w:spacing w:line="360" w:lineRule="auto"/>
      </w:pPr>
      <w:r>
        <w:t>Compare the turbidity of the ‘test’ sample to the ‘control’ sample. View the tubes horizontally across the diameter of the tubes, against the dark background of the black sheet of paper with the aid of the portable lamp directed at a right angle against the sides of the tubes.</w:t>
      </w:r>
    </w:p>
    <w:p w:rsidR="003E0B3E" w:rsidRDefault="00F61F1F" w:rsidP="007C6B1F">
      <w:pPr>
        <w:pStyle w:val="ListParagraph"/>
        <w:spacing w:line="360" w:lineRule="auto"/>
        <w:ind w:left="1080"/>
      </w:pPr>
      <w:r w:rsidRPr="00F61F1F">
        <w:t>If the ‘test’ sample shows less or the same turbidity as the ‘control’ sample then the magnesium sulfate sample has a chloride concentration below the USP limit of 0.014% (520 ppm for magnesium sulfate solution or 120 ppm for Greendale liquid).</w:t>
      </w:r>
    </w:p>
    <w:p w:rsidR="00805880" w:rsidRDefault="00805880" w:rsidP="007C6B1F">
      <w:pPr>
        <w:pStyle w:val="ListParagraph"/>
        <w:spacing w:line="360" w:lineRule="auto"/>
        <w:ind w:left="1080"/>
      </w:pPr>
    </w:p>
    <w:p w:rsidR="00951F5B" w:rsidRPr="0092767C" w:rsidRDefault="00246F9D" w:rsidP="00246F9D">
      <w:pPr>
        <w:numPr>
          <w:ilvl w:val="0"/>
          <w:numId w:val="2"/>
        </w:numPr>
        <w:rPr>
          <w:b/>
        </w:rPr>
      </w:pPr>
      <w:r w:rsidRPr="0092767C">
        <w:rPr>
          <w:b/>
        </w:rPr>
        <w:t>Reference Documents</w:t>
      </w:r>
    </w:p>
    <w:p w:rsidR="00246F9D" w:rsidRPr="0092767C" w:rsidRDefault="00246F9D" w:rsidP="00246F9D">
      <w:pPr>
        <w:ind w:left="360"/>
        <w:rPr>
          <w:b/>
        </w:rPr>
      </w:pPr>
    </w:p>
    <w:p w:rsidR="00246F9D" w:rsidRPr="007C6B1F" w:rsidRDefault="007C6B1F" w:rsidP="007C6B1F">
      <w:pPr>
        <w:ind w:left="720"/>
      </w:pPr>
      <w:r w:rsidRPr="007C6B1F">
        <w:t>N/A</w:t>
      </w:r>
    </w:p>
    <w:p w:rsidR="00246F9D" w:rsidRDefault="00246F9D" w:rsidP="00246F9D">
      <w:pPr>
        <w:ind w:left="1080"/>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246F9D" w:rsidRPr="00951F5B" w:rsidRDefault="00F61F1F" w:rsidP="00257AE0">
      <w:pPr>
        <w:ind w:left="720"/>
      </w:pPr>
      <w:r w:rsidRPr="00F61F1F">
        <w:t xml:space="preserve">Minor correction </w:t>
      </w:r>
      <w:r>
        <w:t xml:space="preserve">made </w:t>
      </w:r>
      <w:r w:rsidRPr="00F61F1F">
        <w:t>to acceptance criteria</w:t>
      </w:r>
      <w:r>
        <w:t>,</w:t>
      </w:r>
      <w:r w:rsidRPr="00F61F1F">
        <w:t xml:space="preserve"> making it more</w:t>
      </w:r>
      <w:r>
        <w:t xml:space="preserve"> in line with USP specification</w:t>
      </w:r>
      <w:r w:rsidRPr="00F61F1F">
        <w:t xml:space="preserve"> by including upper limit.</w:t>
      </w:r>
    </w:p>
    <w:p w:rsidR="00951F5B" w:rsidRPr="00951F5B" w:rsidRDefault="00951F5B" w:rsidP="00951F5B">
      <w:pPr>
        <w:ind w:left="360"/>
      </w:pPr>
    </w:p>
    <w:sectPr w:rsidR="00951F5B" w:rsidRPr="00951F5B" w:rsidSect="005018F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DE8" w:rsidRDefault="007A1DE8" w:rsidP="005018F4">
      <w:r>
        <w:separator/>
      </w:r>
    </w:p>
  </w:endnote>
  <w:endnote w:type="continuationSeparator" w:id="0">
    <w:p w:rsidR="007A1DE8" w:rsidRDefault="007A1DE8"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50" w:rsidRDefault="001D6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76E" w:rsidRDefault="006A676E" w:rsidP="006A676E">
    <w:pPr>
      <w:tabs>
        <w:tab w:val="center" w:pos="4680"/>
        <w:tab w:val="right" w:pos="9360"/>
      </w:tabs>
      <w:jc w:val="center"/>
      <w:rPr>
        <w:color w:val="FF0000"/>
      </w:rPr>
    </w:pPr>
    <w:r>
      <w:rPr>
        <w:color w:val="FF0000"/>
      </w:rPr>
      <w:t>Controlled Document</w:t>
    </w:r>
  </w:p>
  <w:p w:rsidR="008B12B7" w:rsidRPr="00DB0AEF" w:rsidRDefault="006A676E"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008B12B7" w:rsidRPr="00DB0AEF">
      <w:rPr>
        <w:sz w:val="12"/>
        <w:szCs w:val="12"/>
      </w:rPr>
      <w:t>.</w:t>
    </w:r>
  </w:p>
  <w:p w:rsidR="0014032C" w:rsidRDefault="0014032C" w:rsidP="008876A5">
    <w:pPr>
      <w:pStyle w:val="Footer"/>
      <w:tabs>
        <w:tab w:val="clear" w:pos="4680"/>
        <w:tab w:val="clear" w:pos="9360"/>
        <w:tab w:val="center" w:pos="5040"/>
        <w:tab w:val="right" w:pos="100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50" w:rsidRDefault="001D6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DE8" w:rsidRDefault="007A1DE8" w:rsidP="005018F4">
      <w:r>
        <w:separator/>
      </w:r>
    </w:p>
  </w:footnote>
  <w:footnote w:type="continuationSeparator" w:id="0">
    <w:p w:rsidR="007A1DE8" w:rsidRDefault="007A1DE8"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50" w:rsidRDefault="001D6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14032C"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14032C" w:rsidRPr="00D865D7" w:rsidRDefault="00805880" w:rsidP="00676D61">
          <w:pPr>
            <w:jc w:val="center"/>
            <w:rPr>
              <w:b/>
              <w:color w:val="3366FF"/>
              <w:sz w:val="28"/>
              <w:szCs w:val="28"/>
              <w:highlight w:val="lightGray"/>
            </w:rPr>
          </w:pPr>
          <w:r>
            <w:rPr>
              <w:noProof/>
            </w:rPr>
            <mc:AlternateContent>
              <mc:Choice Requires="wpg">
                <w:drawing>
                  <wp:anchor distT="0" distB="0" distL="114300" distR="114300" simplePos="0" relativeHeight="251657728" behindDoc="0" locked="0" layoutInCell="0" allowOverlap="1" wp14:anchorId="2B047A36" wp14:editId="65D13B36">
                    <wp:simplePos x="0" y="0"/>
                    <wp:positionH relativeFrom="column">
                      <wp:posOffset>5763895</wp:posOffset>
                    </wp:positionH>
                    <wp:positionV relativeFrom="paragraph">
                      <wp:posOffset>237490</wp:posOffset>
                    </wp:positionV>
                    <wp:extent cx="967105" cy="575310"/>
                    <wp:effectExtent l="1270" t="0" r="317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32C" w:rsidRPr="00FC7FE4" w:rsidRDefault="0014032C"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15pt;height:45.3pt;z-index:25165772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JQ2PgQAABsLAAAOAAAAZHJzL2Uyb0RvYy54bWzcVttu4zYQfS/QfyD0&#10;rliSJeuCOIvEl2CBtA267QfQEmURK5EqScfOFv33zpCSL0nQDTZvNWCb1+HMmXOGvP506FryxJTm&#10;Usy98CrwCBOlrLjYzr0//1j7mUe0oaKirRRs7j0z7X26+fmn631fsEg2sq2YImBE6GLfz73GmL6Y&#10;THTZsI7qK9kzAZO1VB010FXbSaXoHqx37SQKgtlkL1XVK1kyrWF06Sa9G2u/rllpfqtrzQxp5x74&#10;Zuyvsr8b/J3cXNNiq2jf8HJwg/6AFx3lAg49mlpSQ8lO8VemOl4qqWVtrkrZTWRd85LZGCCaMHgR&#10;zb2Su97Gsi322/4IE0D7AqcfNlv++vSoCK/mXuQRQTtIkT2VhAjNvt8WsOJe9V/6R+Xig+aDLL9q&#10;mJ68nMf+1i0mm/0vsgJzdGekheZQqw5NQNDkYDPwfMwAOxhSwmA+S8Mg8UgJU0maTMMhQ2UDacRd&#10;YTKbeQRms1nsklc2q2HzNEpjtzWPrfsTWrhDraODYzfXPS8L+A5wQusVnN+nHewyO8W8wUj3Lhsd&#10;VV93vQ+Z76nhG95y82xZDPigU+LpkZeIM3ZOmZmOmYFZPJREGPm4xu2gGJHNCxFy0VCxZbe6B/oD&#10;ZLB9HFJK7htGK43DmMFLK7Z74cWm5f2aty0mDttDvKCgFwx8AzLH7qUsdx0TxslVsRZCl0I3vNce&#10;UQXrNgzYpz5XoWUJMOFBGzwOOWEl9HeU3QZBHt35iyRY+HGQrvzbPE79NFilcRBn4SJc/IO7w7jY&#10;aQYw0HbZ88FXGH3l7Zt6GSqLU6JVNHmitm4gUtah8d+6CEMICfqqVfk7gE2gpkyDLBlYq41ipmxw&#10;QQ0Y4gpn6ThhAT9hjNnQoLTviidMMqD6uQxGBU2jBARi9RPlNsWjCIAiSpt7JjuCDcAc/LGY0yeI&#10;x3k2LkGfhcTMw7gN/VVW8iBfZass9uNotoKsLJf+7XoR+7N1mCbL6XKxWIZjVhpeVUyguY8nxeIt&#10;W16NvNRqu1m0yiVrbT9D4Pq0bILkOLkxJnL8dwkd8YdRbMIXayDcTHokPvTeRya8l96q6V8a2jNA&#10;Hc2eJA7JdMUXOQLibRmZYgzDqrH6ald6/0PPFxuw8046DVU1nKb2XKc+rMhRlsG9iXyKp7buHIvq&#10;R/jUiguCgU038pb6/yc8Oy9oeRjFwV2U++tZlvrxOk78PA0yPwjzu3wWxHm8XF9K54EL9nHpkD1c&#10;sUmUWNWfiQML2JmGAvt5rSFadNzAc63lHVzAx0W0wCtlJSpbKgzlrWufSQ7dH6U2/jvJjRx1XDeH&#10;zWGg/UZWz1AJlYRKBQyENyY0Gqm+eWQP77W5p//aUbyB288CNImPu7GhxsZmbFBRwta5ZzzimgsD&#10;vcDiIOQtPFFqbisguuNOBjexA9K3LfsCs64Pr0V84p337arTm/bm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JguUXhAAAACwEAAA8AAABkcnMvZG93bnJldi54bWxMj8FOwkAQ&#10;hu8mvsNmTLzJbkEp1m4JIeqJmAgmhNvSDm1Dd7bpLm15e4eT3mYyX/75/nQ52kb02PnakYZookAg&#10;5a6oqdTws/t4WoDwwVBhGkeo4Yoeltn9XWqSwg30jf02lIJDyCdGQxVCm0jp8wqt8RPXIvHt5Dpr&#10;Aq9dKYvODBxuGzlVai6tqYk/VKbFdYX5eXuxGj4HM6xm0Xu/OZ/W18Pu5Wu/iVDrx4dx9QYi4Bj+&#10;YLjpszpk7HR0Fyq8aDS8qjhmVMMsfgZxA9RccbsjT9OFApml8n+H7BcAAP//AwBQSwMECgAAAAAA&#10;AAAhANrz5/IgCwAAIAsAABQAAABkcnMvbWVkaWEvaW1hZ2UxLnBuZ4lQTkcNChoKAAAADUlIRFIA&#10;AAOEAAAA1gEDAAAAsy7eGQAAAARnQU1BAACxiJWY9KYAAAAGUExURQAAAP///6XZn90AAAAJcEhZ&#10;cwAALk8AAC7JAaMC6zEAAAqwSURBVHic7dwx0q22FQBg8fCYJvNw6cIz2kLKFB7LS8kSXKbIBO0g&#10;W9IOsgV1LkPJTBjkK+kcSedIcIH/92sCxXv3gjif0AUJSfAL91qMKBbp3Fp+FxNP0eP2wZV7K9g6&#10;l2k7HmsWldhxcajErSlOsPJIHEC0ZK1iongjaiqOVNwEWZri6FgqdU50Z0TVEnsuSpaCiRgbPshD&#10;UbbEjosDF13eUIvqUBxaouBifyhubC0VU1r83hQnlqo7JQ6wdjoUu6aoWCrBUgxEXNnaY1F8grjA&#10;lxHWuhui5KmmHbG/If52SlRHIgInxb+2xJGdq5WYT89ChHx2O2cZFWHBQJUoaZ1DRZsSXRcx7j0R&#10;zrd+p37C5QcizndE3KS2G+LKIuIy/mnidkfUVBx2zrK83BGxmiHihGI7d23RsYhZ1OQrEXHtPVF/&#10;RFy/gdgVF7GA827vF9gRTTvVcCCmtJ8gjukKRRESjVh5t8WYdgppbRWrLcaIshDLtBsR8bOATyPJ&#10;nfuY2EGq/xyJkoq/81hMtKdEV4pz+twU3Slx5KlGJmalJdK4OZatxDmJMYrK4rYv2vR5LsXulKhq&#10;0ZZif0ZUzfLIscqafMFG6ZJo4HN/Q1yHs2I+Li9+oWLzF1Apb6W49bBSxohTii0PRJ1EW4r9GdF1&#10;tQgrsJJmogjid4cij0VEDZfSCfFLEgWI2BJPb0RyZ2XOiiaLr/h/oeJ6QbQgKoMHgCtOiaYUh1rU&#10;tTjjz1yJWEnX4iv+jydE1xaxeT0hfl+IfyOiq8qDxvqNinFtJU5M1FlcUMSWGKq102IogylsC9ew&#10;OCH+AzbqUhxrUTTFuS1iJV2Ls4/xVuw+Ln4tRGzRYK+qPI7FJYv+ioIbNcfEV0AULYoSY2MGdsSZ&#10;ieFEw07Se9F3njvWLlbl8QFRNUQjevteLGJxcaMi3BpiJX1H5LlviTD4NCSxY+IrkURRiwE3Quw9&#10;EWI1Reyy4E0KFbepLdLuI4jK8VhvREvEKSSZifgqYNMSY+6WQrRvxbzgvUEUdSlux6JRPFYl+ixV&#10;HWkizqF1UFmURBxKccb2uYjVFHl3CEVYXCGuSWx3H/8UUenPF1n3sRQXrBP3xCr3RFxkEN91WP15&#10;Pu2J4yXRV3/vxdA6AOPHi3krRXNXxSrFBYp9WHiqYzEf+VXRwM33yMVxX7RpQH5HrHJfiAHbEctv&#10;oa7GW67L4liIftvQFOW+aHA4k3UfU9oj0Qi4MOgUSRWlp+KAfalzoizEkKIpqn1RvxOr3GcxnlRL&#10;UyQVR6irUSx67OdElUWbRMVTTZXYVSLrzKW0VawsxhD+3lNZlorOKg2F+Evqd90Q44q/+5WfKVax&#10;kljUDVzsaMXh62oUf0o9vZNil8Xi6HmqoRb7hmhidknaSuyzWGyhtb+vRlb61aT4P6Ze0NAUBy6O&#10;WdRpZcdFdSi6Y5HFkkksSr/nqRytOHzNiWl+uCq6JBYxuTg0xCGJXRJ1DLnQfatYKM7lWs2yVYzm&#10;vT6WYtmXIuKIaQ2PhWKxIe27JqcQnZFE7A9EZ1mssRCLfMg6VSmuvuZ8K0LatHbjYnnZqla+4oaw&#10;eDGX1kAHfVlX89+7YvlzT9jElqkK0RFxTD0b2KvdYa1Em8HOfapIYg1ZxP1F6Oo1UpXiVoqyLap3&#10;YlGoYyNVDDoditgw21NiWU8oh03sgZgnXRUOT7Y6cyhiuWWxuP47l0Te2SSiZWKz+8hj9UnE3WOh&#10;vhPXUpzuiTqBQzOVuSDStDtiHOBIy1qlilGK7fmRhGrQtyUOXFxb4nBK7NKAaFtMsTQR52viclvs&#10;UDSiGElvpdoX+0rUDXHkoqZiGgROqTQXp0KMH9LtDk3bFjcsPCKOXOxaIpb9zgxrI9aMdzEXxPm2&#10;iPcAFna9I46VKBqiLE4FLxompkHglErsipINwfLZ2LaIxUNFycVyts3tiXyGtY41VzMi70ULI/J+&#10;wZZmb063KbKx+w+Ke/OdMdaUxMn9l4uqmHKiefKdORQnGOf+H53THapYc3GM33h5xEd8xEd8xE8X&#10;LbYjuOhczcdmqzG4kocl2DBAczjHFTcDp0QyYuljj3siG6XeEVNbScSuSMVEkUWVs9UWU+5r0Z0V&#10;ZSlOlViVB4k1tkXBU9kj0aa1p8V04OdFiaI7FmUd64aotix2XOzr3InyEdAjsS9EcySatPaEGMce&#10;BRPzk1m7s6Yo9m9ElXNfid2RqIm4NkU6Wl6Ux8fF2CmP2wbHhgH6ujxqkd1EFwMPKVUZRMQuctw2&#10;ZnGBvaryuCH2TXFDURyIRax0tLPAh0XSsvBUZM4kXHEoyjQyC3NdPHdNcbkq2iyqLNpGWlHHaooz&#10;T8VmaQwR1wOxq2KFLtL8TuxqEUtzSqPPV0QLBZAWy1ORBiicGyi6LJpmedh8OMjMwnDRpFSQYdbk&#10;CSJCzS3bYo71Xixea6huOlAsHu5uHuPQFt03Xh7xER/xER/xER/xER/xER/xER/xER/x/0vUcWhD&#10;x6ELGGHzL3n4gT4TnhKGMY3J7xIf24LHA2xafUHEUX0UbVPUcWgFnl1LYhzMuSha2Kst6vBEPh0C&#10;ld4NYvWExinR4MgQFZcYyY/6aJyqgSH28EzdEHdPo00XRA35hLkEEMcobp7RaRrDhYG4LNo8JnVB&#10;FJDPkFUrJtMSY2iYNcqiuSNu+2IfyjCIJokWcnJfXHfEOYhLeB0SXwPI4hpFfUeEkcV+o6KcYYzZ&#10;i2n4ewqHFcTxk0SD7zXJGUZ849FnUUNpB1HcEeckDkF0RLRR3LIoqOh/0g+LHWzxkcwbscN/Lokh&#10;QCVaAY+K+vLeRHxa0T/k9MULC9R4/Q3RxsurX2EWqhKHzVd5ceJv8idpFKXDa+S6KEGM1SgGiKJA&#10;EU6rF1WLF2s5G+dLUOxyO/Srn1v7AiIUuS/O+MZHFq8tScSXHgvR+Lm174O4QMvld5A6/udSC3JR&#10;NNCgctEkcUUxZkRFUaV9ppviksSwvETr5/i++r96NGbReHEi4qUTpxZ7nGAK4ix+AlEmcTJMzA/I&#10;nxXdjhha55+ZqIWrRNkMfV3sZv/HSX4ORTqnqKG8/YPPhTi2Y++JekfUXjTin+EAk7iFKU8vTi7/&#10;HbN74kzE/iUu/kJ4/UPF/rPFYS3E0U8+RlHFVL4qsOG1AC+6e2J3JPZMfFVy4eoHUd8RxY7o672v&#10;QQxnkMJUYxDhmrIfES0RhyB+52sbGa6SJMqgwhm+3RYX/Cs9uUKL86Vj6IiAmCaGk+gXc1+cQtOe&#10;RX8AkommFtePizKKAxe39BDFAOIc97kjzpW4RRE4w8V4Tdn4DMJVMT4sJU18nqAQ/dU2zf5F2slg&#10;aLwA4zUF4sVaDm57lYndGKxCQfQXXhDHcC2mLkMhLtfFsKAoZ6zsqFheOli6/WeK3RaeNej2RAGi&#10;9OVzT5zYMa7whmzgUMS/HAA3Cj2slvdEHZ/SoKKvtv2VgOJMxOFDIuuUB9HES92kt7CljaMO31RU&#10;LtwHEFHdEbta9A2EjJ0tFGNN8OKgBofV0zVRR6Ee6pDhcotdH3ybQ8OfNKPiFdDh8zl8qAPEMK6U&#10;BleEi9G1+Fd5Il29X7Xw49NOeRDnJKZmuiNiflTsirjAT9EUHYjw3gx0hw2K+Y3lK6KDbFaDK8rN&#10;XRJDSUyxU/cSfwFKX/4Z3fwHXZQvTeU5vPwAAAAASUVORK5CYIJQSwECLQAUAAYACAAAACEAsYJn&#10;tgoBAAATAgAAEwAAAAAAAAAAAAAAAAAAAAAAW0NvbnRlbnRfVHlwZXNdLnhtbFBLAQItABQABgAI&#10;AAAAIQA4/SH/1gAAAJQBAAALAAAAAAAAAAAAAAAAADsBAABfcmVscy8ucmVsc1BLAQItABQABgAI&#10;AAAAIQDdGJQ2PgQAABsLAAAOAAAAAAAAAAAAAAAAADoCAABkcnMvZTJvRG9jLnhtbFBLAQItABQA&#10;BgAIAAAAIQCqJg6+vAAAACEBAAAZAAAAAAAAAAAAAAAAAKQGAABkcnMvX3JlbHMvZTJvRG9jLnht&#10;bC5yZWxzUEsBAi0AFAAGAAgAAAAhAOJguUXhAAAACwEAAA8AAAAAAAAAAAAAAAAAlwcAAGRycy9k&#10;b3ducmV2LnhtbFBLAQItAAoAAAAAAAAAIQDa8+fyIAsAACALAAAUAAAAAAAAAAAAAAAAAKUIAABk&#10;cnMvbWVkaWEvaW1hZ2UxLnBuZ1BLBQYAAAAABgAGAHwBAAD3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14032C" w:rsidRPr="00FC7FE4" w:rsidRDefault="0014032C"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Pr>
              <w:noProof/>
            </w:rPr>
            <w:drawing>
              <wp:inline distT="0" distB="0" distL="0" distR="0" wp14:anchorId="26D97F67" wp14:editId="00F964C5">
                <wp:extent cx="1047115" cy="728980"/>
                <wp:effectExtent l="0" t="0" r="63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7115" cy="728980"/>
                        </a:xfrm>
                        <a:prstGeom prst="rect">
                          <a:avLst/>
                        </a:prstGeom>
                        <a:noFill/>
                        <a:ln>
                          <a:noFill/>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14032C" w:rsidRPr="00BF1892" w:rsidRDefault="0014032C"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14032C" w:rsidRPr="00BF1892" w:rsidRDefault="0014032C" w:rsidP="00676D61">
          <w:pPr>
            <w:jc w:val="center"/>
            <w:rPr>
              <w:b/>
              <w:color w:val="3366FF"/>
            </w:rPr>
          </w:pPr>
        </w:p>
      </w:tc>
    </w:tr>
    <w:tr w:rsidR="0014032C"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14032C" w:rsidRPr="00B72116" w:rsidRDefault="0014032C"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14032C" w:rsidRPr="00BF1892" w:rsidRDefault="0014032C"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14032C" w:rsidRPr="00BF1892" w:rsidRDefault="0014032C" w:rsidP="00676D61">
          <w:pPr>
            <w:jc w:val="center"/>
            <w:rPr>
              <w:b/>
              <w:color w:val="0000FF"/>
            </w:rPr>
          </w:pPr>
        </w:p>
      </w:tc>
    </w:tr>
    <w:tr w:rsidR="0014032C"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14032C" w:rsidRPr="00D865D7" w:rsidRDefault="0014032C"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14032C" w:rsidRPr="00BF1892" w:rsidRDefault="0014032C" w:rsidP="00F97A81">
          <w:pPr>
            <w:rPr>
              <w:sz w:val="22"/>
              <w:szCs w:val="22"/>
            </w:rPr>
          </w:pPr>
          <w:r w:rsidRPr="00BF1892">
            <w:rPr>
              <w:sz w:val="22"/>
              <w:szCs w:val="22"/>
            </w:rPr>
            <w:t>Title:</w:t>
          </w:r>
          <w:r w:rsidRPr="00BF1892">
            <w:rPr>
              <w:color w:val="FF0000"/>
            </w:rPr>
            <w:t xml:space="preserve">  </w:t>
          </w:r>
          <w:r w:rsidR="00264233">
            <w:rPr>
              <w:color w:val="FF0000"/>
            </w:rPr>
            <w:t xml:space="preserve">USP Chloride </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14032C" w:rsidRPr="00BF1892" w:rsidRDefault="0014032C" w:rsidP="00F97A81">
          <w:pPr>
            <w:rPr>
              <w:color w:val="FF0000"/>
              <w:sz w:val="22"/>
              <w:szCs w:val="22"/>
            </w:rPr>
          </w:pPr>
          <w:r w:rsidRPr="00BF1892">
            <w:rPr>
              <w:sz w:val="22"/>
              <w:szCs w:val="22"/>
            </w:rPr>
            <w:t>Number:</w:t>
          </w:r>
          <w:r w:rsidRPr="00BF1892">
            <w:rPr>
              <w:color w:val="FF0000"/>
            </w:rPr>
            <w:t xml:space="preserve">  </w:t>
          </w:r>
          <w:r w:rsidR="00264233">
            <w:rPr>
              <w:color w:val="FF0000"/>
            </w:rPr>
            <w:t>L12-PR-100-004</w:t>
          </w:r>
        </w:p>
      </w:tc>
      <w:tc>
        <w:tcPr>
          <w:tcW w:w="1710" w:type="dxa"/>
          <w:vMerge/>
          <w:tcBorders>
            <w:left w:val="thinThickLargeGap" w:sz="24" w:space="0" w:color="auto"/>
            <w:right w:val="thickThinLargeGap" w:sz="24" w:space="0" w:color="auto"/>
          </w:tcBorders>
        </w:tcPr>
        <w:p w:rsidR="0014032C" w:rsidRPr="00BF1892" w:rsidRDefault="0014032C" w:rsidP="00676D61">
          <w:pPr>
            <w:jc w:val="center"/>
            <w:rPr>
              <w:color w:val="FF0000"/>
              <w:sz w:val="16"/>
              <w:szCs w:val="16"/>
            </w:rPr>
          </w:pPr>
        </w:p>
      </w:tc>
    </w:tr>
    <w:tr w:rsidR="0014032C"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14032C" w:rsidRPr="00D865D7" w:rsidRDefault="0014032C"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14032C" w:rsidRPr="00F11BD5" w:rsidRDefault="0014032C" w:rsidP="00F97A81">
          <w:pPr>
            <w:rPr>
              <w:sz w:val="22"/>
              <w:szCs w:val="22"/>
            </w:rPr>
          </w:pPr>
          <w:r w:rsidRPr="00F11BD5">
            <w:rPr>
              <w:sz w:val="22"/>
              <w:szCs w:val="22"/>
            </w:rPr>
            <w:t>Owner:</w:t>
          </w:r>
          <w:r w:rsidRPr="002E2D1F">
            <w:rPr>
              <w:color w:val="FF0000"/>
            </w:rPr>
            <w:t xml:space="preserve">  </w:t>
          </w:r>
          <w:r w:rsidR="00264233">
            <w:rPr>
              <w:color w:val="FF0000"/>
            </w:rPr>
            <w:t>Stephen Ballew</w:t>
          </w:r>
        </w:p>
      </w:tc>
      <w:tc>
        <w:tcPr>
          <w:tcW w:w="1080" w:type="dxa"/>
          <w:tcBorders>
            <w:top w:val="single" w:sz="4" w:space="0" w:color="auto"/>
            <w:left w:val="nil"/>
            <w:bottom w:val="single" w:sz="4" w:space="0" w:color="auto"/>
            <w:right w:val="nil"/>
          </w:tcBorders>
          <w:shd w:val="clear" w:color="auto" w:fill="auto"/>
          <w:vAlign w:val="bottom"/>
        </w:tcPr>
        <w:p w:rsidR="0014032C" w:rsidRPr="00BF1892" w:rsidRDefault="0014032C"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14032C" w:rsidRPr="00BF1892" w:rsidRDefault="0014032C" w:rsidP="00F61F1F">
          <w:pPr>
            <w:rPr>
              <w:sz w:val="22"/>
              <w:szCs w:val="22"/>
            </w:rPr>
          </w:pPr>
          <w:r w:rsidRPr="00BF1892">
            <w:rPr>
              <w:sz w:val="22"/>
              <w:szCs w:val="22"/>
            </w:rPr>
            <w:t>Revision:</w:t>
          </w:r>
          <w:r w:rsidRPr="00BF1892">
            <w:rPr>
              <w:color w:val="FF0000"/>
            </w:rPr>
            <w:t xml:space="preserve"> </w:t>
          </w:r>
          <w:r w:rsidR="00F61F1F">
            <w:rPr>
              <w:color w:val="FF0000"/>
            </w:rPr>
            <w:t>2</w:t>
          </w:r>
        </w:p>
      </w:tc>
      <w:tc>
        <w:tcPr>
          <w:tcW w:w="1710" w:type="dxa"/>
          <w:vMerge/>
          <w:tcBorders>
            <w:left w:val="thinThickLargeGap" w:sz="24" w:space="0" w:color="auto"/>
            <w:bottom w:val="nil"/>
            <w:right w:val="thickThinLargeGap" w:sz="24" w:space="0" w:color="auto"/>
          </w:tcBorders>
        </w:tcPr>
        <w:p w:rsidR="0014032C" w:rsidRPr="00BF1892" w:rsidRDefault="0014032C" w:rsidP="00676D61">
          <w:pPr>
            <w:jc w:val="center"/>
            <w:rPr>
              <w:sz w:val="20"/>
              <w:szCs w:val="20"/>
            </w:rPr>
          </w:pPr>
        </w:p>
      </w:tc>
    </w:tr>
    <w:tr w:rsidR="0014032C"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14032C" w:rsidRPr="00D865D7" w:rsidRDefault="0014032C"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14032C" w:rsidRPr="00F11BD5" w:rsidRDefault="0014032C" w:rsidP="00F97A81">
          <w:pPr>
            <w:rPr>
              <w:sz w:val="22"/>
              <w:szCs w:val="22"/>
            </w:rPr>
          </w:pPr>
          <w:r w:rsidRPr="00F11BD5">
            <w:rPr>
              <w:sz w:val="22"/>
              <w:szCs w:val="22"/>
            </w:rPr>
            <w:t>Effective Date:</w:t>
          </w:r>
          <w:r w:rsidRPr="002E2D1F">
            <w:rPr>
              <w:color w:val="FF0000"/>
            </w:rPr>
            <w:t xml:space="preserve"> </w:t>
          </w:r>
          <w:r w:rsidR="001D6C50">
            <w:rPr>
              <w:color w:val="FF0000"/>
            </w:rPr>
            <w:t>06/20</w:t>
          </w:r>
          <w:r w:rsidR="008D3045">
            <w:rPr>
              <w:color w:val="FF0000"/>
            </w:rPr>
            <w:t>/13</w:t>
          </w:r>
          <w:bookmarkStart w:id="0" w:name="_GoBack"/>
          <w:bookmarkEnd w:id="0"/>
        </w:p>
      </w:tc>
      <w:tc>
        <w:tcPr>
          <w:tcW w:w="1080" w:type="dxa"/>
          <w:tcBorders>
            <w:top w:val="single" w:sz="4" w:space="0" w:color="auto"/>
            <w:left w:val="nil"/>
            <w:bottom w:val="thickThinLargeGap" w:sz="24" w:space="0" w:color="auto"/>
            <w:right w:val="nil"/>
          </w:tcBorders>
          <w:shd w:val="clear" w:color="auto" w:fill="auto"/>
          <w:vAlign w:val="bottom"/>
        </w:tcPr>
        <w:p w:rsidR="0014032C" w:rsidRPr="00BF1892" w:rsidRDefault="0014032C"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14032C" w:rsidRPr="00BF1892" w:rsidRDefault="0014032C" w:rsidP="002E2D1F">
          <w:pPr>
            <w:rPr>
              <w:sz w:val="22"/>
              <w:szCs w:val="22"/>
            </w:rPr>
          </w:pPr>
          <w:r>
            <w:rPr>
              <w:color w:val="000000"/>
              <w:sz w:val="22"/>
              <w:szCs w:val="22"/>
            </w:rPr>
            <w:t>Page</w:t>
          </w:r>
          <w:r w:rsidRPr="0051064C">
            <w:rPr>
              <w:color w:val="000000"/>
              <w:sz w:val="22"/>
              <w:szCs w:val="22"/>
            </w:rPr>
            <w:t xml:space="preserve">:  </w:t>
          </w:r>
          <w:r w:rsidR="00E4708D" w:rsidRPr="00264233">
            <w:rPr>
              <w:color w:val="FF0000"/>
              <w:szCs w:val="22"/>
            </w:rPr>
            <w:fldChar w:fldCharType="begin"/>
          </w:r>
          <w:r w:rsidRPr="00264233">
            <w:rPr>
              <w:color w:val="FF0000"/>
              <w:szCs w:val="22"/>
            </w:rPr>
            <w:instrText xml:space="preserve"> PAGE </w:instrText>
          </w:r>
          <w:r w:rsidR="00E4708D" w:rsidRPr="00264233">
            <w:rPr>
              <w:color w:val="FF0000"/>
              <w:szCs w:val="22"/>
            </w:rPr>
            <w:fldChar w:fldCharType="separate"/>
          </w:r>
          <w:r w:rsidR="001D6C50">
            <w:rPr>
              <w:noProof/>
              <w:color w:val="FF0000"/>
              <w:szCs w:val="22"/>
            </w:rPr>
            <w:t>1</w:t>
          </w:r>
          <w:r w:rsidR="00E4708D" w:rsidRPr="00264233">
            <w:rPr>
              <w:color w:val="FF0000"/>
              <w:szCs w:val="22"/>
            </w:rPr>
            <w:fldChar w:fldCharType="end"/>
          </w:r>
          <w:r w:rsidRPr="00264233">
            <w:rPr>
              <w:color w:val="FF0000"/>
              <w:szCs w:val="22"/>
            </w:rPr>
            <w:t xml:space="preserve"> of </w:t>
          </w:r>
          <w:r w:rsidR="00E4708D" w:rsidRPr="00264233">
            <w:rPr>
              <w:rStyle w:val="PageNumber"/>
              <w:color w:val="FF0000"/>
              <w:szCs w:val="22"/>
            </w:rPr>
            <w:fldChar w:fldCharType="begin"/>
          </w:r>
          <w:r w:rsidRPr="00264233">
            <w:rPr>
              <w:rStyle w:val="PageNumber"/>
              <w:color w:val="FF0000"/>
              <w:szCs w:val="22"/>
            </w:rPr>
            <w:instrText xml:space="preserve"> NUMPAGES </w:instrText>
          </w:r>
          <w:r w:rsidR="00E4708D" w:rsidRPr="00264233">
            <w:rPr>
              <w:rStyle w:val="PageNumber"/>
              <w:color w:val="FF0000"/>
              <w:szCs w:val="22"/>
            </w:rPr>
            <w:fldChar w:fldCharType="separate"/>
          </w:r>
          <w:r w:rsidR="001D6C50">
            <w:rPr>
              <w:rStyle w:val="PageNumber"/>
              <w:noProof/>
              <w:color w:val="FF0000"/>
              <w:szCs w:val="22"/>
            </w:rPr>
            <w:t>2</w:t>
          </w:r>
          <w:r w:rsidR="00E4708D"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14032C" w:rsidRPr="00BF1892" w:rsidRDefault="0014032C" w:rsidP="00676D61">
          <w:pPr>
            <w:jc w:val="center"/>
            <w:rPr>
              <w:sz w:val="20"/>
              <w:szCs w:val="20"/>
            </w:rPr>
          </w:pPr>
        </w:p>
      </w:tc>
    </w:tr>
  </w:tbl>
  <w:p w:rsidR="0014032C" w:rsidRDefault="001403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50" w:rsidRDefault="001D6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3743C"/>
    <w:rsid w:val="00063759"/>
    <w:rsid w:val="000B05C1"/>
    <w:rsid w:val="0014032C"/>
    <w:rsid w:val="00163FB2"/>
    <w:rsid w:val="001A4E62"/>
    <w:rsid w:val="001B1CC7"/>
    <w:rsid w:val="001D345D"/>
    <w:rsid w:val="001D6C50"/>
    <w:rsid w:val="00203B15"/>
    <w:rsid w:val="0023339D"/>
    <w:rsid w:val="00246F9D"/>
    <w:rsid w:val="0025260E"/>
    <w:rsid w:val="00257AE0"/>
    <w:rsid w:val="00264233"/>
    <w:rsid w:val="00270B18"/>
    <w:rsid w:val="002E2D1F"/>
    <w:rsid w:val="002F6325"/>
    <w:rsid w:val="00324BD4"/>
    <w:rsid w:val="00363C87"/>
    <w:rsid w:val="003E0B3E"/>
    <w:rsid w:val="0041438D"/>
    <w:rsid w:val="004561A7"/>
    <w:rsid w:val="00457A5D"/>
    <w:rsid w:val="004750C0"/>
    <w:rsid w:val="00491370"/>
    <w:rsid w:val="004E5A72"/>
    <w:rsid w:val="005018F4"/>
    <w:rsid w:val="00540D9A"/>
    <w:rsid w:val="00596C34"/>
    <w:rsid w:val="006134EE"/>
    <w:rsid w:val="00653EBA"/>
    <w:rsid w:val="00662056"/>
    <w:rsid w:val="00676D61"/>
    <w:rsid w:val="00692621"/>
    <w:rsid w:val="006A676E"/>
    <w:rsid w:val="006C3905"/>
    <w:rsid w:val="0071006E"/>
    <w:rsid w:val="00750DE6"/>
    <w:rsid w:val="007818D1"/>
    <w:rsid w:val="007A1DE8"/>
    <w:rsid w:val="007C6B1F"/>
    <w:rsid w:val="00805880"/>
    <w:rsid w:val="008460A5"/>
    <w:rsid w:val="00862CC3"/>
    <w:rsid w:val="00881FA0"/>
    <w:rsid w:val="008876A5"/>
    <w:rsid w:val="008B12B7"/>
    <w:rsid w:val="008D3045"/>
    <w:rsid w:val="0092767C"/>
    <w:rsid w:val="009428F9"/>
    <w:rsid w:val="00951F5B"/>
    <w:rsid w:val="009523E5"/>
    <w:rsid w:val="00964E4C"/>
    <w:rsid w:val="009D0ACF"/>
    <w:rsid w:val="00A02076"/>
    <w:rsid w:val="00A16E59"/>
    <w:rsid w:val="00B532A0"/>
    <w:rsid w:val="00B6620E"/>
    <w:rsid w:val="00B91C7C"/>
    <w:rsid w:val="00BF1892"/>
    <w:rsid w:val="00BF2EBA"/>
    <w:rsid w:val="00C03E09"/>
    <w:rsid w:val="00C07436"/>
    <w:rsid w:val="00C27F13"/>
    <w:rsid w:val="00C82E95"/>
    <w:rsid w:val="00CA010A"/>
    <w:rsid w:val="00CB130E"/>
    <w:rsid w:val="00CC2E3D"/>
    <w:rsid w:val="00CD45B3"/>
    <w:rsid w:val="00D1453D"/>
    <w:rsid w:val="00D4093D"/>
    <w:rsid w:val="00D47742"/>
    <w:rsid w:val="00D53A8F"/>
    <w:rsid w:val="00D71875"/>
    <w:rsid w:val="00DE5FBA"/>
    <w:rsid w:val="00E13A64"/>
    <w:rsid w:val="00E15BB3"/>
    <w:rsid w:val="00E4708D"/>
    <w:rsid w:val="00E87F71"/>
    <w:rsid w:val="00E9075F"/>
    <w:rsid w:val="00EA307E"/>
    <w:rsid w:val="00EC222A"/>
    <w:rsid w:val="00EE1837"/>
    <w:rsid w:val="00F11BD5"/>
    <w:rsid w:val="00F61F1F"/>
    <w:rsid w:val="00F97A81"/>
    <w:rsid w:val="00FB4C48"/>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4F900-075E-47EC-A031-E7B483C6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3</cp:revision>
  <cp:lastPrinted>2012-09-18T20:50:00Z</cp:lastPrinted>
  <dcterms:created xsi:type="dcterms:W3CDTF">2013-06-22T19:17:00Z</dcterms:created>
  <dcterms:modified xsi:type="dcterms:W3CDTF">2013-06-22T19:53:00Z</dcterms:modified>
</cp:coreProperties>
</file>