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05" w:rsidRDefault="00460305" w:rsidP="00C36437"/>
    <w:p w:rsidR="00352CB7" w:rsidRDefault="00352CB7" w:rsidP="002B0C76"/>
    <w:p w:rsidR="00C428C0" w:rsidRPr="00C428C0" w:rsidRDefault="00C428C0" w:rsidP="00C428C0">
      <w:pPr>
        <w:rPr>
          <w:b/>
        </w:rPr>
      </w:pPr>
      <w:r w:rsidRPr="00C428C0">
        <w:rPr>
          <w:b/>
        </w:rPr>
        <w:t>Purpose:</w:t>
      </w:r>
    </w:p>
    <w:p w:rsidR="00C428C0" w:rsidRDefault="00C428C0" w:rsidP="00C428C0">
      <w:r>
        <w:t xml:space="preserve">The purpose of this document is to describe in detail the </w:t>
      </w:r>
      <w:r w:rsidR="00380670">
        <w:t>procedure for</w:t>
      </w:r>
      <w:r>
        <w:t xml:space="preserve"> the retention of representative samples of USP</w:t>
      </w:r>
      <w:r w:rsidR="00393AA1">
        <w:t>/Tech</w:t>
      </w:r>
      <w:r>
        <w:t xml:space="preserve"> grade magnesium sulfate heptahydrate.</w:t>
      </w:r>
    </w:p>
    <w:p w:rsidR="00C428C0" w:rsidRDefault="00C428C0" w:rsidP="00C428C0">
      <w:r>
        <w:t xml:space="preserve"> </w:t>
      </w:r>
    </w:p>
    <w:p w:rsidR="00C428C0" w:rsidRPr="00C428C0" w:rsidRDefault="00C428C0" w:rsidP="00C428C0">
      <w:pPr>
        <w:rPr>
          <w:b/>
        </w:rPr>
      </w:pPr>
      <w:r w:rsidRPr="00C428C0">
        <w:rPr>
          <w:b/>
        </w:rPr>
        <w:t xml:space="preserve"> Scope:</w:t>
      </w:r>
    </w:p>
    <w:p w:rsidR="00C428C0" w:rsidRDefault="00C428C0" w:rsidP="00C428C0">
      <w:r>
        <w:t>The scope of this document includes the packaging and holding of re</w:t>
      </w:r>
      <w:r w:rsidR="00380670">
        <w:t>tained</w:t>
      </w:r>
      <w:r>
        <w:t xml:space="preserve"> samples for the purpose of potential future eva</w:t>
      </w:r>
      <w:r w:rsidR="00036295">
        <w:t>luation of the finished product and not for future stability testing purposes.</w:t>
      </w:r>
    </w:p>
    <w:p w:rsidR="00C428C0" w:rsidRDefault="00C428C0" w:rsidP="00C428C0">
      <w:r>
        <w:t xml:space="preserve">  </w:t>
      </w:r>
    </w:p>
    <w:p w:rsidR="003B0E0C" w:rsidRPr="003B0E0C" w:rsidRDefault="00C428C0" w:rsidP="00C428C0">
      <w:pPr>
        <w:rPr>
          <w:b/>
        </w:rPr>
      </w:pPr>
      <w:r w:rsidRPr="003B0E0C">
        <w:rPr>
          <w:b/>
        </w:rPr>
        <w:t>Procedure</w:t>
      </w:r>
      <w:r w:rsidR="003B0E0C" w:rsidRPr="003B0E0C">
        <w:rPr>
          <w:b/>
        </w:rPr>
        <w:t>:</w:t>
      </w:r>
    </w:p>
    <w:p w:rsidR="003B0E0C" w:rsidRDefault="003B0E0C" w:rsidP="00C428C0">
      <w:pPr>
        <w:pStyle w:val="ListParagraph"/>
        <w:numPr>
          <w:ilvl w:val="0"/>
          <w:numId w:val="22"/>
        </w:numPr>
      </w:pPr>
      <w:r>
        <w:t>Each</w:t>
      </w:r>
      <w:r w:rsidR="00C428C0">
        <w:t xml:space="preserve"> lot of product will have a corresponding sample</w:t>
      </w:r>
      <w:r>
        <w:t xml:space="preserve"> taken</w:t>
      </w:r>
      <w:r w:rsidR="00685099">
        <w:t xml:space="preserve"> by a quality analyst</w:t>
      </w:r>
      <w:r>
        <w:t xml:space="preserve"> for </w:t>
      </w:r>
      <w:r w:rsidR="0090400A">
        <w:t>compendial analysis</w:t>
      </w:r>
      <w:r>
        <w:t xml:space="preserve"> and retention</w:t>
      </w:r>
      <w:r w:rsidR="00F103CA">
        <w:t xml:space="preserve"> at the facility. A sufficient quantity sh</w:t>
      </w:r>
      <w:r w:rsidR="00380670">
        <w:t>all</w:t>
      </w:r>
      <w:r w:rsidR="00F103CA">
        <w:t xml:space="preserve"> be obtained for at le</w:t>
      </w:r>
      <w:r w:rsidR="00B94B15">
        <w:t>ast three compendial analyses.</w:t>
      </w:r>
    </w:p>
    <w:p w:rsidR="001372C4" w:rsidRDefault="001372C4" w:rsidP="001372C4">
      <w:pPr>
        <w:pStyle w:val="ListParagraph"/>
      </w:pPr>
    </w:p>
    <w:p w:rsidR="001372C4" w:rsidRDefault="002F4B90" w:rsidP="00D71E18">
      <w:pPr>
        <w:pStyle w:val="ListParagraph"/>
        <w:numPr>
          <w:ilvl w:val="0"/>
          <w:numId w:val="22"/>
        </w:numPr>
      </w:pPr>
      <w:r>
        <w:t>After laboratory testing</w:t>
      </w:r>
      <w:r w:rsidR="00D71E18">
        <w:t xml:space="preserve">, </w:t>
      </w:r>
      <w:r>
        <w:t>t</w:t>
      </w:r>
      <w:r w:rsidR="00C428C0">
        <w:t>he re</w:t>
      </w:r>
      <w:r w:rsidR="00380670">
        <w:t>tained</w:t>
      </w:r>
      <w:r w:rsidR="00C428C0">
        <w:t xml:space="preserve"> sample sh</w:t>
      </w:r>
      <w:r w:rsidR="00380670">
        <w:t>all</w:t>
      </w:r>
      <w:r w:rsidR="00C428C0">
        <w:t xml:space="preserve"> be stored in the same</w:t>
      </w:r>
      <w:r>
        <w:t xml:space="preserve">, </w:t>
      </w:r>
      <w:r w:rsidR="00F103CA">
        <w:t>an equivalent</w:t>
      </w:r>
      <w:r>
        <w:t>,</w:t>
      </w:r>
      <w:r w:rsidR="00F103CA">
        <w:t xml:space="preserve"> or </w:t>
      </w:r>
      <w:r>
        <w:t xml:space="preserve">a </w:t>
      </w:r>
      <w:r w:rsidR="00F103CA">
        <w:t>more protective</w:t>
      </w:r>
      <w:r>
        <w:t xml:space="preserve"> packaging system than that in </w:t>
      </w:r>
      <w:r w:rsidR="00C428C0">
        <w:t>which the product is stored and marketed</w:t>
      </w:r>
      <w:r w:rsidR="00F103CA">
        <w:t>.</w:t>
      </w:r>
    </w:p>
    <w:p w:rsidR="00F103CA" w:rsidRDefault="00F103CA" w:rsidP="001372C4"/>
    <w:p w:rsidR="001372C4" w:rsidRDefault="00380670" w:rsidP="00D71E18">
      <w:pPr>
        <w:pStyle w:val="ListParagraph"/>
        <w:numPr>
          <w:ilvl w:val="0"/>
          <w:numId w:val="22"/>
        </w:numPr>
      </w:pPr>
      <w:r>
        <w:t>The sample packaging</w:t>
      </w:r>
      <w:r w:rsidR="000E6461">
        <w:t xml:space="preserve"> for each retained sample</w:t>
      </w:r>
      <w:r>
        <w:t xml:space="preserve"> shall be labeled with lot number, date sampled and </w:t>
      </w:r>
      <w:r w:rsidR="000E6461">
        <w:t xml:space="preserve">the </w:t>
      </w:r>
      <w:r>
        <w:t>initials</w:t>
      </w:r>
      <w:r w:rsidR="000E6461">
        <w:t xml:space="preserve"> of the </w:t>
      </w:r>
      <w:r w:rsidR="00685099">
        <w:t>quality analyst who obtained the sample</w:t>
      </w:r>
      <w:r>
        <w:t>.</w:t>
      </w:r>
    </w:p>
    <w:p w:rsidR="00380670" w:rsidRDefault="00380670" w:rsidP="001372C4">
      <w:r>
        <w:t xml:space="preserve">  </w:t>
      </w:r>
    </w:p>
    <w:p w:rsidR="00F103CA" w:rsidRDefault="00F103CA" w:rsidP="00C428C0">
      <w:pPr>
        <w:pStyle w:val="ListParagraph"/>
        <w:numPr>
          <w:ilvl w:val="0"/>
          <w:numId w:val="22"/>
        </w:numPr>
      </w:pPr>
      <w:r>
        <w:t xml:space="preserve">Store samples </w:t>
      </w:r>
      <w:r w:rsidR="00C428C0">
        <w:t>at room temperature in</w:t>
      </w:r>
      <w:r w:rsidR="00393AA1">
        <w:t xml:space="preserve"> the designated samples area</w:t>
      </w:r>
      <w:r w:rsidR="00C428C0">
        <w:t>.</w:t>
      </w:r>
    </w:p>
    <w:p w:rsidR="001372C4" w:rsidRDefault="001372C4" w:rsidP="001372C4"/>
    <w:p w:rsidR="00036295" w:rsidRDefault="00C428C0" w:rsidP="00036295">
      <w:pPr>
        <w:pStyle w:val="ListParagraph"/>
        <w:numPr>
          <w:ilvl w:val="0"/>
          <w:numId w:val="22"/>
        </w:numPr>
      </w:pPr>
      <w:r>
        <w:t>Reserved samples of each lot sh</w:t>
      </w:r>
      <w:r w:rsidR="00380670">
        <w:t>all</w:t>
      </w:r>
      <w:r>
        <w:t xml:space="preserve"> be retained for one year after the expiry date of the lot</w:t>
      </w:r>
      <w:r w:rsidR="00F103CA">
        <w:t>.</w:t>
      </w:r>
    </w:p>
    <w:p w:rsidR="005E0DA1" w:rsidRDefault="005E0DA1" w:rsidP="00AC5E79">
      <w:pPr>
        <w:jc w:val="both"/>
      </w:pPr>
    </w:p>
    <w:p w:rsidR="005E0DA1" w:rsidRDefault="005E0DA1" w:rsidP="00AC5E79">
      <w:pPr>
        <w:jc w:val="both"/>
      </w:pPr>
    </w:p>
    <w:p w:rsidR="005E0DA1" w:rsidRDefault="005E0DA1" w:rsidP="00AC5E79">
      <w:pPr>
        <w:jc w:val="both"/>
      </w:pPr>
    </w:p>
    <w:p w:rsidR="005E0DA1" w:rsidRDefault="005E0DA1" w:rsidP="00AC5E79">
      <w:pPr>
        <w:jc w:val="both"/>
      </w:pPr>
    </w:p>
    <w:p w:rsidR="005E0DA1" w:rsidRDefault="005E0DA1" w:rsidP="00AC5E79">
      <w:pPr>
        <w:jc w:val="both"/>
      </w:pPr>
    </w:p>
    <w:p w:rsidR="005E0DA1" w:rsidRDefault="005E0DA1" w:rsidP="00AC5E79">
      <w:pPr>
        <w:jc w:val="both"/>
      </w:pPr>
    </w:p>
    <w:p w:rsidR="005E0DA1" w:rsidRDefault="005E0DA1" w:rsidP="00AC5E79">
      <w:pPr>
        <w:jc w:val="both"/>
      </w:pPr>
    </w:p>
    <w:p w:rsidR="005E0DA1" w:rsidRDefault="005E0DA1" w:rsidP="00AC5E79">
      <w:pPr>
        <w:jc w:val="both"/>
      </w:pPr>
    </w:p>
    <w:p w:rsidR="005E0DA1" w:rsidRDefault="005E0DA1" w:rsidP="00AC5E79">
      <w:pPr>
        <w:jc w:val="both"/>
      </w:pPr>
    </w:p>
    <w:p w:rsidR="005E0DA1" w:rsidRDefault="005E0DA1" w:rsidP="00AC5E79">
      <w:pPr>
        <w:jc w:val="both"/>
      </w:pPr>
    </w:p>
    <w:p w:rsidR="005E0DA1" w:rsidRDefault="005E0DA1" w:rsidP="00AC5E79">
      <w:pPr>
        <w:jc w:val="both"/>
      </w:pPr>
    </w:p>
    <w:p w:rsidR="005E0DA1" w:rsidRDefault="005E0DA1" w:rsidP="00AC5E79">
      <w:pPr>
        <w:jc w:val="both"/>
      </w:pPr>
    </w:p>
    <w:p w:rsidR="005E0DA1" w:rsidRDefault="005E0DA1" w:rsidP="00AC5E79">
      <w:pPr>
        <w:jc w:val="both"/>
      </w:pPr>
    </w:p>
    <w:p w:rsidR="005E0DA1" w:rsidRDefault="005E0DA1" w:rsidP="00AC5E79">
      <w:pPr>
        <w:jc w:val="both"/>
      </w:pPr>
    </w:p>
    <w:p w:rsidR="005E0DA1" w:rsidRDefault="005E0DA1" w:rsidP="00AC5E79">
      <w:pPr>
        <w:jc w:val="both"/>
      </w:pPr>
    </w:p>
    <w:p w:rsidR="005E0DA1" w:rsidRDefault="005E0DA1" w:rsidP="00AC5E79">
      <w:pPr>
        <w:jc w:val="both"/>
      </w:pPr>
    </w:p>
    <w:p w:rsidR="005E0DA1" w:rsidRDefault="005E0DA1" w:rsidP="00AC5E79">
      <w:pPr>
        <w:jc w:val="both"/>
      </w:pPr>
    </w:p>
    <w:p w:rsidR="00D71E18" w:rsidRDefault="00D71E18" w:rsidP="00AC5E79">
      <w:pPr>
        <w:jc w:val="both"/>
      </w:pPr>
    </w:p>
    <w:p w:rsidR="00D71E18" w:rsidRDefault="00D71E18" w:rsidP="00AC5E79">
      <w:pPr>
        <w:jc w:val="both"/>
      </w:pPr>
    </w:p>
    <w:p w:rsidR="00B302F5" w:rsidRDefault="00B302F5" w:rsidP="00AC5E79">
      <w:pPr>
        <w:jc w:val="both"/>
      </w:pPr>
    </w:p>
    <w:p w:rsidR="001D58DE" w:rsidRDefault="001D58DE" w:rsidP="00CD627A"/>
    <w:p w:rsidR="00191688" w:rsidRDefault="00191688" w:rsidP="00CD627A"/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036295" w:rsidTr="00036295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A364A1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36295" w:rsidRDefault="00036295" w:rsidP="00A53A7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036295" w:rsidP="000608F7">
            <w:r>
              <w:t>08/14/2012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036295" w:rsidRDefault="00036295" w:rsidP="00A53A7A">
            <w:pPr>
              <w:jc w:val="center"/>
            </w:pPr>
          </w:p>
          <w:p w:rsidR="00036295" w:rsidRDefault="00036295" w:rsidP="00A53A7A">
            <w:pPr>
              <w:jc w:val="center"/>
            </w:pPr>
            <w:r>
              <w:t>08/14/2012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036295" w:rsidRDefault="00036295" w:rsidP="00A53A7A">
            <w:pPr>
              <w:jc w:val="center"/>
            </w:pPr>
            <w:r>
              <w:t>Stephen Ballew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  <w:vAlign w:val="center"/>
          </w:tcPr>
          <w:p w:rsidR="00036295" w:rsidRDefault="001372C4" w:rsidP="00A364A1">
            <w:pPr>
              <w:jc w:val="center"/>
            </w:pPr>
            <w:r>
              <w:t>D</w:t>
            </w:r>
            <w:r w:rsidR="00ED0774">
              <w:t>eb</w:t>
            </w:r>
            <w:r w:rsidR="00A364A1">
              <w:t>orah</w:t>
            </w:r>
          </w:p>
          <w:p w:rsidR="00A364A1" w:rsidRDefault="00A364A1" w:rsidP="00A364A1">
            <w:pPr>
              <w:jc w:val="center"/>
            </w:pPr>
            <w:r>
              <w:t>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1372C4" w:rsidRDefault="001372C4" w:rsidP="00A364A1">
            <w:pPr>
              <w:jc w:val="center"/>
            </w:pPr>
            <w:r>
              <w:t>Jason</w:t>
            </w:r>
          </w:p>
          <w:p w:rsidR="00A364A1" w:rsidRDefault="00A364A1" w:rsidP="00A364A1">
            <w:pPr>
              <w:jc w:val="center"/>
            </w:pPr>
            <w:r w:rsidRPr="00A364A1">
              <w:t>Bumgarner</w:t>
            </w: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036295" w:rsidRDefault="00036295" w:rsidP="004055F5">
            <w:pPr>
              <w:jc w:val="center"/>
            </w:pPr>
            <w:r>
              <w:t>New Document</w:t>
            </w:r>
          </w:p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69" w:type="dxa"/>
          </w:tcPr>
          <w:p w:rsidR="00036295" w:rsidRDefault="00036295">
            <w:pPr>
              <w:jc w:val="center"/>
            </w:pPr>
          </w:p>
        </w:tc>
        <w:tc>
          <w:tcPr>
            <w:tcW w:w="1350" w:type="dxa"/>
          </w:tcPr>
          <w:p w:rsidR="00036295" w:rsidRDefault="00036295">
            <w:pPr>
              <w:jc w:val="center"/>
            </w:pPr>
          </w:p>
        </w:tc>
        <w:tc>
          <w:tcPr>
            <w:tcW w:w="2988" w:type="dxa"/>
            <w:vAlign w:val="center"/>
          </w:tcPr>
          <w:p w:rsidR="00036295" w:rsidRDefault="00036295">
            <w:pPr>
              <w:jc w:val="center"/>
            </w:pPr>
          </w:p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A53A7A"/>
        </w:tc>
        <w:tc>
          <w:tcPr>
            <w:tcW w:w="1350" w:type="dxa"/>
          </w:tcPr>
          <w:p w:rsidR="00036295" w:rsidRDefault="00036295" w:rsidP="00A53A7A"/>
        </w:tc>
        <w:tc>
          <w:tcPr>
            <w:tcW w:w="2988" w:type="dxa"/>
            <w:vAlign w:val="center"/>
          </w:tcPr>
          <w:p w:rsidR="00036295" w:rsidRDefault="00036295" w:rsidP="00A53A7A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  <w:tr w:rsidR="00036295" w:rsidTr="00036295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087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69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988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7BF" w:rsidRDefault="002F77BF">
      <w:r>
        <w:separator/>
      </w:r>
    </w:p>
  </w:endnote>
  <w:endnote w:type="continuationSeparator" w:id="1">
    <w:p w:rsidR="002F77BF" w:rsidRDefault="002F77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7BF" w:rsidRDefault="002F77BF">
      <w:r>
        <w:separator/>
      </w:r>
    </w:p>
  </w:footnote>
  <w:footnote w:type="continuationSeparator" w:id="1">
    <w:p w:rsidR="002F77BF" w:rsidRDefault="002F77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2F77BF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F77BF" w:rsidRPr="00D04857" w:rsidRDefault="00CE2EB6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CE2EB6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2F77BF" w:rsidRPr="00CE046E" w:rsidRDefault="002F77BF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2F77BF" w:rsidRPr="00D04857" w:rsidRDefault="002F77BF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2F77BF" w:rsidRPr="00A43B90" w:rsidRDefault="002F77BF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F77BF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F77BF" w:rsidRPr="00B72116" w:rsidRDefault="002F77BF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2F77BF" w:rsidRPr="00D04857" w:rsidRDefault="002F77BF" w:rsidP="005F49D5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PROCEDURE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2F77BF" w:rsidRPr="00D04857" w:rsidRDefault="002F77BF" w:rsidP="00260541">
          <w:pPr>
            <w:jc w:val="center"/>
            <w:rPr>
              <w:b/>
              <w:color w:val="0000FF"/>
            </w:rPr>
          </w:pPr>
        </w:p>
      </w:tc>
    </w:tr>
    <w:tr w:rsidR="002F77BF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2F77BF" w:rsidRPr="00D04857" w:rsidRDefault="002F77BF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F77BF" w:rsidRPr="00D04857" w:rsidRDefault="002F77BF" w:rsidP="002F77BF">
          <w:pPr>
            <w:spacing w:line="201" w:lineRule="exact"/>
            <w:jc w:val="center"/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Sample Retention: Magnesium Sulfate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2F77BF" w:rsidRPr="00D04857" w:rsidRDefault="002F77BF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2F77BF" w:rsidRPr="00D04857" w:rsidRDefault="002F77BF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2F77BF" w:rsidRPr="00D04857" w:rsidRDefault="00CE2EB6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2F77BF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A364A1">
            <w:rPr>
              <w:noProof/>
              <w:sz w:val="16"/>
              <w:szCs w:val="16"/>
            </w:rPr>
            <w:t>2</w:t>
          </w:r>
          <w:r w:rsidRPr="00D04857">
            <w:rPr>
              <w:sz w:val="16"/>
              <w:szCs w:val="16"/>
            </w:rPr>
            <w:fldChar w:fldCharType="end"/>
          </w:r>
          <w:r w:rsidR="002F77BF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2F77BF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A364A1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2F77BF" w:rsidRDefault="002F77BF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Pr="00126C3F">
            <w:rPr>
              <w:color w:val="FF0000"/>
              <w:sz w:val="16"/>
              <w:szCs w:val="16"/>
            </w:rPr>
            <w:t xml:space="preserve">00 </w:t>
          </w:r>
        </w:p>
        <w:p w:rsidR="002F77BF" w:rsidRPr="00126C3F" w:rsidRDefault="002F77BF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>
            <w:rPr>
              <w:color w:val="FF0000"/>
              <w:sz w:val="16"/>
              <w:szCs w:val="16"/>
            </w:rPr>
            <w:t>08/14/2012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2F77BF" w:rsidRPr="00D04857" w:rsidRDefault="002F77BF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2F77BF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2F77BF" w:rsidRPr="00D04857" w:rsidRDefault="002F77BF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2F77BF" w:rsidRPr="00D04857" w:rsidRDefault="002F77BF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2F77BF" w:rsidRDefault="002F77BF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Stephen</w:t>
          </w:r>
        </w:p>
        <w:p w:rsidR="002F77BF" w:rsidRPr="00D04857" w:rsidRDefault="002F77BF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Ballew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2F77BF" w:rsidRPr="00555C6B" w:rsidRDefault="002F77BF" w:rsidP="00FC641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Procedure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>
            <w:rPr>
              <w:color w:val="FF0000"/>
              <w:sz w:val="20"/>
              <w:szCs w:val="20"/>
            </w:rPr>
            <w:t>Q</w:t>
          </w:r>
          <w:r w:rsidR="00FC6411">
            <w:rPr>
              <w:color w:val="FF0000"/>
              <w:sz w:val="20"/>
              <w:szCs w:val="20"/>
            </w:rPr>
            <w:t>A</w:t>
          </w:r>
          <w:r>
            <w:rPr>
              <w:color w:val="FF0000"/>
              <w:sz w:val="20"/>
              <w:szCs w:val="20"/>
            </w:rPr>
            <w:t>-LAB-42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2F77BF" w:rsidRDefault="002F77BF" w:rsidP="00260541">
          <w:pPr>
            <w:jc w:val="center"/>
            <w:rPr>
              <w:sz w:val="20"/>
              <w:szCs w:val="20"/>
            </w:rPr>
          </w:pPr>
        </w:p>
      </w:tc>
    </w:tr>
  </w:tbl>
  <w:p w:rsidR="002F77BF" w:rsidRPr="00350DD9" w:rsidRDefault="002F77BF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028D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D7DDB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2F77BF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4D95"/>
    <w:rsid w:val="004E150B"/>
    <w:rsid w:val="004F245D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4516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C0F68"/>
    <w:rsid w:val="007D7C78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364A1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E2EB6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72901"/>
    <w:rsid w:val="00E75E41"/>
    <w:rsid w:val="00E8225E"/>
    <w:rsid w:val="00EC2BC1"/>
    <w:rsid w:val="00ED0774"/>
    <w:rsid w:val="00ED6AB7"/>
    <w:rsid w:val="00EE4DB9"/>
    <w:rsid w:val="00EF0C73"/>
    <w:rsid w:val="00EF29E2"/>
    <w:rsid w:val="00EF2F78"/>
    <w:rsid w:val="00EF78D9"/>
    <w:rsid w:val="00F103CA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6411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A1D31-76C1-4C65-800C-473343BF8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206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22</cp:revision>
  <cp:lastPrinted>2012-08-13T20:40:00Z</cp:lastPrinted>
  <dcterms:created xsi:type="dcterms:W3CDTF">2012-08-13T20:18:00Z</dcterms:created>
  <dcterms:modified xsi:type="dcterms:W3CDTF">2012-08-14T16:43:00Z</dcterms:modified>
</cp:coreProperties>
</file>