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CDE" w:rsidRPr="00DC71C3" w:rsidRDefault="00584CDE" w:rsidP="00584CDE">
      <w:pPr>
        <w:ind w:left="360"/>
        <w:jc w:val="both"/>
      </w:pPr>
      <w:r w:rsidRPr="00DC71C3">
        <w:rPr>
          <w:b/>
        </w:rPr>
        <w:t>Purpose</w:t>
      </w:r>
      <w:r w:rsidRPr="00DC71C3">
        <w:t>:</w:t>
      </w:r>
    </w:p>
    <w:p w:rsidR="00584CDE" w:rsidRDefault="00584CDE" w:rsidP="00DC71C3">
      <w:pPr>
        <w:ind w:firstLine="360"/>
        <w:jc w:val="both"/>
      </w:pPr>
      <w:r>
        <w:t>This procedure provides a system for controlling doc</w:t>
      </w:r>
      <w:r w:rsidR="00DC71C3">
        <w:t>uments defined within the site Quality S</w:t>
      </w:r>
      <w:r>
        <w:t>ystem.</w:t>
      </w:r>
    </w:p>
    <w:p w:rsidR="00584CDE" w:rsidRDefault="00584CDE" w:rsidP="00584CDE">
      <w:pPr>
        <w:ind w:left="360"/>
        <w:jc w:val="both"/>
      </w:pPr>
    </w:p>
    <w:p w:rsidR="00584CDE" w:rsidRPr="00DC71C3" w:rsidRDefault="00584CDE" w:rsidP="00584CDE">
      <w:pPr>
        <w:ind w:left="360"/>
        <w:jc w:val="both"/>
        <w:rPr>
          <w:b/>
        </w:rPr>
      </w:pPr>
      <w:r w:rsidRPr="00DC71C3">
        <w:rPr>
          <w:b/>
        </w:rPr>
        <w:t>Giles Quality System Documents</w:t>
      </w:r>
    </w:p>
    <w:p w:rsidR="00584CDE" w:rsidRDefault="00584CDE" w:rsidP="00DC71C3">
      <w:pPr>
        <w:ind w:firstLine="360"/>
        <w:jc w:val="both"/>
      </w:pPr>
      <w:r>
        <w:t>The following documents make up Giles’ quality system</w:t>
      </w:r>
    </w:p>
    <w:p w:rsidR="00584CDE" w:rsidRDefault="00584CDE" w:rsidP="00584CDE">
      <w:pPr>
        <w:ind w:left="360"/>
        <w:jc w:val="both"/>
      </w:pPr>
    </w:p>
    <w:p w:rsidR="00584CDE" w:rsidRPr="00E865E9" w:rsidRDefault="00584CDE" w:rsidP="00584CDE">
      <w:pPr>
        <w:numPr>
          <w:ilvl w:val="0"/>
          <w:numId w:val="23"/>
        </w:numPr>
        <w:jc w:val="both"/>
        <w:rPr>
          <w:b/>
        </w:rPr>
      </w:pPr>
      <w:r w:rsidRPr="00E865E9">
        <w:rPr>
          <w:b/>
        </w:rPr>
        <w:t>Documentation System</w:t>
      </w:r>
    </w:p>
    <w:p w:rsidR="00584CDE" w:rsidRDefault="00584CDE" w:rsidP="00584CDE">
      <w:pPr>
        <w:numPr>
          <w:ilvl w:val="1"/>
          <w:numId w:val="23"/>
        </w:numPr>
        <w:jc w:val="both"/>
      </w:pPr>
      <w:r>
        <w:t>HR Procedures and Forms</w:t>
      </w:r>
    </w:p>
    <w:p w:rsidR="00584CDE" w:rsidRDefault="00584CDE" w:rsidP="00584CDE">
      <w:pPr>
        <w:numPr>
          <w:ilvl w:val="1"/>
          <w:numId w:val="23"/>
        </w:numPr>
        <w:jc w:val="both"/>
      </w:pPr>
      <w:r>
        <w:t>Safety Procedures and Forms</w:t>
      </w:r>
    </w:p>
    <w:p w:rsidR="00584CDE" w:rsidRDefault="00584CDE" w:rsidP="00584CDE">
      <w:pPr>
        <w:numPr>
          <w:ilvl w:val="1"/>
          <w:numId w:val="23"/>
        </w:numPr>
        <w:jc w:val="both"/>
      </w:pPr>
      <w:r>
        <w:t>Manufacturing Procedures, working instructions, and forms</w:t>
      </w:r>
    </w:p>
    <w:p w:rsidR="00584CDE" w:rsidRDefault="00584CDE" w:rsidP="00584CDE">
      <w:pPr>
        <w:numPr>
          <w:ilvl w:val="1"/>
          <w:numId w:val="23"/>
        </w:numPr>
        <w:jc w:val="both"/>
      </w:pPr>
      <w:r>
        <w:t>Maintenance Procedures, MP’s, work instructions, manuals, and forms</w:t>
      </w:r>
    </w:p>
    <w:p w:rsidR="00584CDE" w:rsidRDefault="00584CDE" w:rsidP="00584CDE">
      <w:pPr>
        <w:numPr>
          <w:ilvl w:val="1"/>
          <w:numId w:val="23"/>
        </w:numPr>
        <w:jc w:val="both"/>
      </w:pPr>
      <w:r>
        <w:t>Repack Procedures, work instructions, and forms</w:t>
      </w:r>
    </w:p>
    <w:p w:rsidR="00584CDE" w:rsidRDefault="00584CDE" w:rsidP="00584CDE">
      <w:pPr>
        <w:numPr>
          <w:ilvl w:val="1"/>
          <w:numId w:val="23"/>
        </w:numPr>
        <w:jc w:val="both"/>
      </w:pPr>
      <w:r>
        <w:t>CSR Procedures, work instructions, SCR’s and Forms</w:t>
      </w:r>
    </w:p>
    <w:p w:rsidR="00584CDE" w:rsidRDefault="00584CDE" w:rsidP="00584CDE">
      <w:pPr>
        <w:numPr>
          <w:ilvl w:val="1"/>
          <w:numId w:val="23"/>
        </w:numPr>
        <w:jc w:val="both"/>
      </w:pPr>
      <w:r>
        <w:t>Equipment description and documents related to equipment</w:t>
      </w:r>
    </w:p>
    <w:p w:rsidR="00584CDE" w:rsidRDefault="00584CDE" w:rsidP="00584CDE">
      <w:pPr>
        <w:jc w:val="both"/>
      </w:pPr>
    </w:p>
    <w:p w:rsidR="00584CDE" w:rsidRDefault="00584CDE" w:rsidP="00584CDE">
      <w:pPr>
        <w:jc w:val="both"/>
        <w:rPr>
          <w:b/>
          <w:sz w:val="28"/>
          <w:szCs w:val="28"/>
        </w:rPr>
      </w:pPr>
      <w:r w:rsidRPr="00E865E9">
        <w:rPr>
          <w:b/>
          <w:sz w:val="28"/>
          <w:szCs w:val="28"/>
        </w:rPr>
        <w:t>External Documents</w:t>
      </w:r>
    </w:p>
    <w:p w:rsidR="00584CDE" w:rsidRPr="00D54D0E" w:rsidRDefault="00584CDE" w:rsidP="00584CDE">
      <w:pPr>
        <w:jc w:val="both"/>
      </w:pPr>
      <w:r>
        <w:t>Externally generated documents may be reference in the Giles Quality system as the need arises. This information becomes a quality system requirement only when speci</w:t>
      </w:r>
      <w:r w:rsidR="00DC71C3">
        <w:t>fied by another</w:t>
      </w:r>
      <w:r>
        <w:t xml:space="preserve"> Controlled Document. Consequently, control of referenced documents is limited to the extent deemed necessary to assure effective operation of the Quality System. </w:t>
      </w:r>
    </w:p>
    <w:p w:rsidR="00584CDE" w:rsidRDefault="00584CDE" w:rsidP="00584CDE">
      <w:pPr>
        <w:jc w:val="both"/>
        <w:rPr>
          <w:b/>
          <w:sz w:val="28"/>
          <w:szCs w:val="28"/>
        </w:rPr>
      </w:pPr>
    </w:p>
    <w:p w:rsidR="00584CDE" w:rsidRDefault="00584CDE" w:rsidP="00584CDE">
      <w:pPr>
        <w:jc w:val="both"/>
        <w:rPr>
          <w:b/>
          <w:sz w:val="28"/>
          <w:szCs w:val="28"/>
        </w:rPr>
      </w:pPr>
      <w:r>
        <w:rPr>
          <w:b/>
          <w:sz w:val="28"/>
          <w:szCs w:val="28"/>
        </w:rPr>
        <w:t>Document Listing</w:t>
      </w:r>
    </w:p>
    <w:p w:rsidR="00584CDE" w:rsidRPr="00D54D0E" w:rsidRDefault="00584CDE" w:rsidP="00584CDE">
      <w:pPr>
        <w:jc w:val="both"/>
      </w:pPr>
      <w:r>
        <w:t>A database of all internal controlled documents will</w:t>
      </w:r>
      <w:r w:rsidR="00DC71C3">
        <w:t xml:space="preserve"> be maintained by the Quality Department</w:t>
      </w:r>
      <w:r>
        <w:t xml:space="preserve">. The documentation database </w:t>
      </w:r>
      <w:r w:rsidR="00DC71C3">
        <w:t xml:space="preserve">will </w:t>
      </w:r>
      <w:r>
        <w:t>be maintained by the Q</w:t>
      </w:r>
      <w:r w:rsidR="00DC71C3">
        <w:t>uality Department</w:t>
      </w:r>
      <w:r>
        <w:t>.</w:t>
      </w:r>
    </w:p>
    <w:p w:rsidR="00584CDE" w:rsidRDefault="00584CDE" w:rsidP="00584CDE">
      <w:pPr>
        <w:jc w:val="both"/>
      </w:pPr>
    </w:p>
    <w:p w:rsidR="00584CDE" w:rsidRPr="00E865E9" w:rsidRDefault="00584CDE" w:rsidP="00584CDE">
      <w:pPr>
        <w:jc w:val="both"/>
        <w:rPr>
          <w:b/>
          <w:sz w:val="28"/>
          <w:szCs w:val="28"/>
        </w:rPr>
      </w:pPr>
      <w:r w:rsidRPr="00E865E9">
        <w:rPr>
          <w:b/>
          <w:sz w:val="28"/>
          <w:szCs w:val="28"/>
        </w:rPr>
        <w:t>Format</w:t>
      </w:r>
    </w:p>
    <w:p w:rsidR="00584CDE" w:rsidRDefault="00584CDE" w:rsidP="00584CDE">
      <w:pPr>
        <w:jc w:val="both"/>
      </w:pPr>
      <w:r>
        <w:t>The general format for documents will be outline form; however, tables, sketches, and other illustrations may be used to enhance the cla</w:t>
      </w:r>
      <w:r w:rsidR="005B152C">
        <w:t>rity of instructions. Header or</w:t>
      </w:r>
      <w:r>
        <w:t xml:space="preserve"> Footer information shall include as a minimum: </w:t>
      </w:r>
    </w:p>
    <w:p w:rsidR="00584CDE" w:rsidRDefault="00584CDE" w:rsidP="00584CDE">
      <w:pPr>
        <w:jc w:val="both"/>
      </w:pPr>
    </w:p>
    <w:p w:rsidR="00584CDE" w:rsidRPr="00E865E9" w:rsidRDefault="00584CDE" w:rsidP="00584CDE">
      <w:pPr>
        <w:jc w:val="both"/>
        <w:rPr>
          <w:b/>
        </w:rPr>
      </w:pPr>
      <w:r w:rsidRPr="00E865E9">
        <w:rPr>
          <w:b/>
        </w:rPr>
        <w:t>-First Page</w:t>
      </w:r>
    </w:p>
    <w:p w:rsidR="00584CDE" w:rsidRDefault="00584CDE" w:rsidP="00584CDE">
      <w:pPr>
        <w:jc w:val="both"/>
      </w:pPr>
      <w:r>
        <w:t>Document Title</w:t>
      </w:r>
    </w:p>
    <w:p w:rsidR="00584CDE" w:rsidRDefault="00584CDE" w:rsidP="00584CDE">
      <w:pPr>
        <w:jc w:val="both"/>
      </w:pPr>
      <w:r>
        <w:t>Page Number (Page # of #)</w:t>
      </w:r>
    </w:p>
    <w:p w:rsidR="00584CDE" w:rsidRDefault="00584CDE" w:rsidP="00584CDE">
      <w:pPr>
        <w:jc w:val="both"/>
      </w:pPr>
      <w:r>
        <w:t>Revision #</w:t>
      </w:r>
    </w:p>
    <w:p w:rsidR="00584CDE" w:rsidRDefault="00584CDE" w:rsidP="00584CDE">
      <w:pPr>
        <w:jc w:val="both"/>
      </w:pPr>
      <w:r>
        <w:t>Date of Revision</w:t>
      </w:r>
    </w:p>
    <w:p w:rsidR="00584CDE" w:rsidRDefault="00584CDE" w:rsidP="00DC71C3">
      <w:pPr>
        <w:jc w:val="both"/>
      </w:pPr>
      <w:r>
        <w:t>Original Author</w:t>
      </w:r>
    </w:p>
    <w:p w:rsidR="00584CDE" w:rsidRDefault="00584CDE" w:rsidP="00584CDE">
      <w:pPr>
        <w:ind w:left="720"/>
        <w:jc w:val="both"/>
      </w:pPr>
    </w:p>
    <w:p w:rsidR="00584CDE" w:rsidRPr="00E865E9" w:rsidRDefault="00584CDE" w:rsidP="00584CDE">
      <w:pPr>
        <w:jc w:val="both"/>
        <w:rPr>
          <w:b/>
        </w:rPr>
      </w:pPr>
      <w:r w:rsidRPr="00E865E9">
        <w:rPr>
          <w:b/>
        </w:rPr>
        <w:t>-Subsequent Pages</w:t>
      </w:r>
    </w:p>
    <w:p w:rsidR="00584CDE" w:rsidRDefault="00584CDE" w:rsidP="00584CDE">
      <w:pPr>
        <w:jc w:val="both"/>
      </w:pPr>
      <w:r>
        <w:t>Document Title</w:t>
      </w:r>
    </w:p>
    <w:p w:rsidR="00584CDE" w:rsidRDefault="00584CDE" w:rsidP="00584CDE">
      <w:pPr>
        <w:jc w:val="both"/>
      </w:pPr>
      <w:r>
        <w:t>Page Number (Page # of #)</w:t>
      </w:r>
    </w:p>
    <w:p w:rsidR="00584CDE" w:rsidRDefault="00584CDE" w:rsidP="00584CDE">
      <w:pPr>
        <w:jc w:val="both"/>
      </w:pPr>
      <w:r>
        <w:t>Revision #</w:t>
      </w:r>
    </w:p>
    <w:p w:rsidR="00584CDE" w:rsidRDefault="00584CDE" w:rsidP="00584CDE">
      <w:pPr>
        <w:jc w:val="both"/>
      </w:pPr>
      <w:r>
        <w:t>Date of Revision</w:t>
      </w:r>
    </w:p>
    <w:p w:rsidR="00584CDE" w:rsidRDefault="00584CDE" w:rsidP="00584CDE">
      <w:pPr>
        <w:jc w:val="both"/>
      </w:pPr>
      <w:r>
        <w:t>Original Author</w:t>
      </w:r>
    </w:p>
    <w:p w:rsidR="00584CDE" w:rsidRDefault="00584CDE" w:rsidP="00584CDE">
      <w:pPr>
        <w:jc w:val="both"/>
      </w:pPr>
    </w:p>
    <w:p w:rsidR="00584CDE" w:rsidRDefault="00584CDE" w:rsidP="00584CDE">
      <w:pPr>
        <w:jc w:val="both"/>
      </w:pPr>
    </w:p>
    <w:p w:rsidR="00584CDE" w:rsidRDefault="00584CDE" w:rsidP="00584CDE">
      <w:pPr>
        <w:jc w:val="both"/>
      </w:pPr>
    </w:p>
    <w:p w:rsidR="00584CDE" w:rsidRDefault="00584CDE" w:rsidP="00584CDE">
      <w:pPr>
        <w:jc w:val="both"/>
      </w:pPr>
    </w:p>
    <w:p w:rsidR="00584CDE" w:rsidRPr="00E865E9" w:rsidRDefault="00584CDE" w:rsidP="00584CDE">
      <w:pPr>
        <w:jc w:val="both"/>
        <w:rPr>
          <w:b/>
          <w:sz w:val="28"/>
          <w:szCs w:val="28"/>
        </w:rPr>
      </w:pPr>
      <w:r w:rsidRPr="00E865E9">
        <w:rPr>
          <w:b/>
          <w:sz w:val="28"/>
          <w:szCs w:val="28"/>
        </w:rPr>
        <w:t>Requesting Approval of Revisions, Deletions, and New Documents</w:t>
      </w:r>
    </w:p>
    <w:p w:rsidR="00584CDE" w:rsidRDefault="00584CDE" w:rsidP="00584CDE">
      <w:pPr>
        <w:jc w:val="both"/>
      </w:pPr>
    </w:p>
    <w:p w:rsidR="00584CDE" w:rsidRDefault="00584CDE" w:rsidP="00584CDE">
      <w:pPr>
        <w:jc w:val="both"/>
      </w:pPr>
      <w:r>
        <w:t>Any person knowledgeable of the process in question may submit a request to revise an existing document or to implement a new one by following the steps below:</w:t>
      </w:r>
    </w:p>
    <w:p w:rsidR="00584CDE" w:rsidRDefault="00584CDE" w:rsidP="00584CDE">
      <w:pPr>
        <w:jc w:val="both"/>
      </w:pPr>
    </w:p>
    <w:p w:rsidR="00584CDE" w:rsidRDefault="00584CDE" w:rsidP="00584CDE">
      <w:pPr>
        <w:numPr>
          <w:ilvl w:val="0"/>
          <w:numId w:val="24"/>
        </w:numPr>
        <w:jc w:val="both"/>
      </w:pPr>
      <w:r>
        <w:t>All documents submitted as new procedures or revised procedures must have a Document Approval Form</w:t>
      </w:r>
      <w:r w:rsidR="005B152C">
        <w:t xml:space="preserve"> (QA-01-F01)</w:t>
      </w:r>
      <w:r w:rsidR="00DC71C3">
        <w:t xml:space="preserve"> </w:t>
      </w:r>
      <w:r w:rsidR="005B152C">
        <w:t>filled out</w:t>
      </w:r>
      <w:r>
        <w:t>. If an employee writes a new procedure or makes a revision of a procedure the procedure must be taken to their supervisor who will fill out proper documentation for submission. Document Ap</w:t>
      </w:r>
      <w:r w:rsidR="005B152C">
        <w:t xml:space="preserve">proval Forms (QA-01-F01) must be </w:t>
      </w:r>
      <w:r>
        <w:t>filled out</w:t>
      </w:r>
      <w:r w:rsidR="00DC71C3">
        <w:t xml:space="preserve"> before submission to Quality Department</w:t>
      </w:r>
      <w:r>
        <w:t xml:space="preserve">. </w:t>
      </w:r>
    </w:p>
    <w:p w:rsidR="00584CDE" w:rsidRDefault="00584CDE" w:rsidP="00584CDE">
      <w:pPr>
        <w:numPr>
          <w:ilvl w:val="0"/>
          <w:numId w:val="24"/>
        </w:numPr>
        <w:jc w:val="both"/>
      </w:pPr>
      <w:r>
        <w:t>New documents may be legible written or typed. Review Document for clarity of instructions prior to submission for approval. If necessary, let a co-worker review it.</w:t>
      </w:r>
    </w:p>
    <w:p w:rsidR="00584CDE" w:rsidRDefault="00584CDE" w:rsidP="00584CDE">
      <w:pPr>
        <w:numPr>
          <w:ilvl w:val="0"/>
          <w:numId w:val="24"/>
        </w:numPr>
        <w:jc w:val="both"/>
      </w:pPr>
      <w:r>
        <w:t>Changes must be easy to locate and read. Revisions may be made electronically as long as they are easy to locate and easy to read even when the document is printed. Original word documents for electronic correction must be re</w:t>
      </w:r>
      <w:r w:rsidR="00DC71C3">
        <w:t>quested from the Quality Department. Quality Department</w:t>
      </w:r>
      <w:r>
        <w:t xml:space="preserve"> keeps PDF hardcopy of original procedure. </w:t>
      </w:r>
    </w:p>
    <w:p w:rsidR="00584CDE" w:rsidRDefault="00584CDE" w:rsidP="00584CDE">
      <w:pPr>
        <w:ind w:left="720"/>
        <w:jc w:val="both"/>
      </w:pPr>
    </w:p>
    <w:p w:rsidR="00584CDE" w:rsidRDefault="00584CDE" w:rsidP="00584CDE">
      <w:pPr>
        <w:ind w:left="1440"/>
        <w:jc w:val="both"/>
      </w:pPr>
      <w:r>
        <w:t>Note: Review the document in its entirety to ensure that the revisions are valid in the context of the entire document and that it is still applicable for the current operation. Check referenced document to avoid conflicting information.</w:t>
      </w:r>
    </w:p>
    <w:p w:rsidR="00584CDE" w:rsidRDefault="00584CDE" w:rsidP="00584CDE">
      <w:pPr>
        <w:jc w:val="both"/>
      </w:pPr>
    </w:p>
    <w:p w:rsidR="00584CDE" w:rsidRDefault="00584CDE" w:rsidP="00584CDE">
      <w:pPr>
        <w:numPr>
          <w:ilvl w:val="0"/>
          <w:numId w:val="24"/>
        </w:numPr>
        <w:jc w:val="both"/>
      </w:pPr>
      <w:r>
        <w:t>The documents will be submitted to t</w:t>
      </w:r>
      <w:r w:rsidR="00DC71C3">
        <w:t>he Quality Department</w:t>
      </w:r>
      <w:r>
        <w:t xml:space="preserve">. </w:t>
      </w:r>
    </w:p>
    <w:p w:rsidR="00584CDE" w:rsidRDefault="00584CDE" w:rsidP="00584CDE">
      <w:pPr>
        <w:jc w:val="both"/>
      </w:pPr>
    </w:p>
    <w:p w:rsidR="00584CDE" w:rsidRDefault="00584CDE" w:rsidP="00584CDE">
      <w:pPr>
        <w:jc w:val="both"/>
      </w:pPr>
    </w:p>
    <w:p w:rsidR="00584CDE" w:rsidRPr="00D54D0E" w:rsidRDefault="00584CDE" w:rsidP="00584CDE">
      <w:pPr>
        <w:jc w:val="both"/>
        <w:rPr>
          <w:b/>
          <w:sz w:val="28"/>
          <w:szCs w:val="28"/>
        </w:rPr>
      </w:pPr>
      <w:r w:rsidRPr="00D54D0E">
        <w:rPr>
          <w:b/>
          <w:sz w:val="28"/>
          <w:szCs w:val="28"/>
        </w:rPr>
        <w:t>Document Approval</w:t>
      </w:r>
    </w:p>
    <w:p w:rsidR="00584CDE" w:rsidRDefault="00584CDE" w:rsidP="00584CDE">
      <w:pPr>
        <w:jc w:val="both"/>
      </w:pPr>
    </w:p>
    <w:p w:rsidR="00584CDE" w:rsidRDefault="00584CDE" w:rsidP="00584CDE">
      <w:pPr>
        <w:jc w:val="both"/>
      </w:pPr>
      <w:r>
        <w:t xml:space="preserve">All controlled documents shall be approved. The same approvals are required for revisions as for new documents. A list of approvers must be kept. Approval authority may be delegated to others. </w:t>
      </w:r>
    </w:p>
    <w:p w:rsidR="00584CDE" w:rsidRDefault="00584CDE" w:rsidP="00584CDE">
      <w:pPr>
        <w:jc w:val="both"/>
      </w:pPr>
      <w:r>
        <w:t>The list as follows:</w:t>
      </w:r>
    </w:p>
    <w:p w:rsidR="00584CDE" w:rsidRDefault="00584CDE" w:rsidP="00584CDE">
      <w:pPr>
        <w:numPr>
          <w:ilvl w:val="0"/>
          <w:numId w:val="25"/>
        </w:numPr>
        <w:jc w:val="both"/>
      </w:pPr>
      <w:r>
        <w:t>HR – HR Manager</w:t>
      </w:r>
    </w:p>
    <w:p w:rsidR="00584CDE" w:rsidRDefault="00584CDE" w:rsidP="00584CDE">
      <w:pPr>
        <w:numPr>
          <w:ilvl w:val="0"/>
          <w:numId w:val="25"/>
        </w:numPr>
        <w:jc w:val="both"/>
      </w:pPr>
      <w:r>
        <w:t>Maintenance – Maintenance Manager</w:t>
      </w:r>
    </w:p>
    <w:p w:rsidR="00584CDE" w:rsidRDefault="00584CDE" w:rsidP="00584CDE">
      <w:pPr>
        <w:numPr>
          <w:ilvl w:val="0"/>
          <w:numId w:val="25"/>
        </w:numPr>
        <w:jc w:val="both"/>
      </w:pPr>
      <w:r>
        <w:t>Manufacturing- Plant Manager</w:t>
      </w:r>
    </w:p>
    <w:p w:rsidR="00584CDE" w:rsidRDefault="00584CDE" w:rsidP="00584CDE">
      <w:pPr>
        <w:numPr>
          <w:ilvl w:val="0"/>
          <w:numId w:val="25"/>
        </w:numPr>
        <w:jc w:val="both"/>
      </w:pPr>
      <w:r>
        <w:t>CSR – CSR Manager</w:t>
      </w:r>
    </w:p>
    <w:p w:rsidR="00584CDE" w:rsidRDefault="00584CDE" w:rsidP="00584CDE">
      <w:pPr>
        <w:numPr>
          <w:ilvl w:val="0"/>
          <w:numId w:val="25"/>
        </w:numPr>
        <w:jc w:val="both"/>
      </w:pPr>
      <w:r>
        <w:t>Quality,</w:t>
      </w:r>
      <w:r w:rsidR="00DC71C3">
        <w:t xml:space="preserve"> Safety, Lab – Director of Quality</w:t>
      </w:r>
    </w:p>
    <w:p w:rsidR="00584CDE" w:rsidRDefault="00584CDE" w:rsidP="00584CDE">
      <w:pPr>
        <w:jc w:val="both"/>
      </w:pPr>
    </w:p>
    <w:p w:rsidR="00584CDE" w:rsidRPr="00D374E1" w:rsidRDefault="00584CDE" w:rsidP="00584CDE">
      <w:pPr>
        <w:jc w:val="both"/>
        <w:rPr>
          <w:b/>
        </w:rPr>
      </w:pPr>
      <w:r w:rsidRPr="00D374E1">
        <w:rPr>
          <w:b/>
        </w:rPr>
        <w:t>Document Distribution</w:t>
      </w:r>
    </w:p>
    <w:p w:rsidR="00584CDE" w:rsidRDefault="00584CDE" w:rsidP="00584CDE">
      <w:pPr>
        <w:jc w:val="both"/>
      </w:pPr>
      <w:r>
        <w:t>Distribution of controlled documents shall be managed so that they are available wherever necessary for the effective functioning of the quality systems. Documents will be maintained</w:t>
      </w:r>
      <w:r w:rsidR="00DC71C3">
        <w:t xml:space="preserve"> by the Quality Department</w:t>
      </w:r>
      <w:r>
        <w:t>. Hard copies may be printed from the network to satisfy an immediate need, but shall be destroyed after use specified. Computer access is restricted to read only and print, for those persons authorized.</w:t>
      </w:r>
    </w:p>
    <w:p w:rsidR="00584CDE" w:rsidRDefault="00584CDE" w:rsidP="00584CDE">
      <w:pPr>
        <w:jc w:val="both"/>
      </w:pPr>
    </w:p>
    <w:p w:rsidR="009D6606" w:rsidRDefault="009D6606" w:rsidP="00584CDE">
      <w:pPr>
        <w:jc w:val="both"/>
      </w:pPr>
    </w:p>
    <w:p w:rsidR="00584CDE" w:rsidRPr="00D374E1" w:rsidRDefault="00584CDE" w:rsidP="00584CDE">
      <w:pPr>
        <w:jc w:val="both"/>
        <w:rPr>
          <w:b/>
          <w:sz w:val="28"/>
          <w:szCs w:val="28"/>
        </w:rPr>
      </w:pPr>
      <w:r w:rsidRPr="00D374E1">
        <w:rPr>
          <w:b/>
          <w:sz w:val="28"/>
          <w:szCs w:val="28"/>
        </w:rPr>
        <w:lastRenderedPageBreak/>
        <w:t>Document Review</w:t>
      </w:r>
    </w:p>
    <w:p w:rsidR="00584CDE" w:rsidRDefault="00584CDE" w:rsidP="00584CDE">
      <w:pPr>
        <w:jc w:val="both"/>
      </w:pPr>
      <w:r>
        <w:t>All controlled documents shall be reviewed every 3 years to determine if they are applicable for current operation and revised immediately if they are not. The review must be thorough and must involve individuals who are knowledgeable of the described task, product, or process. A walk through might be required to verify equipment ID, valve numbers, etc. Get additional technical resources as needed. The reviewer must ensure that any reference documents are also considered.</w:t>
      </w:r>
    </w:p>
    <w:p w:rsidR="00584CDE" w:rsidRDefault="00584CDE" w:rsidP="00584CDE">
      <w:pPr>
        <w:jc w:val="both"/>
      </w:pPr>
    </w:p>
    <w:p w:rsidR="00584CDE" w:rsidRDefault="00584CDE" w:rsidP="00584CDE">
      <w:pPr>
        <w:jc w:val="both"/>
      </w:pPr>
      <w:r>
        <w:t>The reviewer must submit a request for approval of the necessary changes (Document Approval Form</w:t>
      </w:r>
      <w:r w:rsidR="005B152C">
        <w:t xml:space="preserve"> QA-01-F01</w:t>
      </w:r>
      <w:r>
        <w:t xml:space="preserve">). The form shall also be used to document the review even when no changes are necessary so that the effective date of the document can be revised. </w:t>
      </w:r>
    </w:p>
    <w:p w:rsidR="00584CDE" w:rsidRDefault="00584CDE" w:rsidP="00584CDE">
      <w:pPr>
        <w:jc w:val="both"/>
      </w:pPr>
    </w:p>
    <w:p w:rsidR="00584CDE" w:rsidRPr="00D374E1" w:rsidRDefault="00584CDE" w:rsidP="00584CDE">
      <w:pPr>
        <w:jc w:val="both"/>
        <w:rPr>
          <w:b/>
          <w:sz w:val="28"/>
          <w:szCs w:val="28"/>
        </w:rPr>
      </w:pPr>
      <w:r w:rsidRPr="00D374E1">
        <w:rPr>
          <w:b/>
          <w:sz w:val="28"/>
          <w:szCs w:val="28"/>
        </w:rPr>
        <w:t>Training/Communication</w:t>
      </w:r>
    </w:p>
    <w:p w:rsidR="00584CDE" w:rsidRPr="00DC71C3" w:rsidRDefault="00584CDE" w:rsidP="00584CDE">
      <w:pPr>
        <w:pStyle w:val="BodyText2"/>
        <w:widowControl/>
        <w:jc w:val="left"/>
        <w:rPr>
          <w:rFonts w:ascii="Times New Roman" w:hAnsi="Times New Roman"/>
          <w:sz w:val="24"/>
          <w:szCs w:val="24"/>
        </w:rPr>
      </w:pPr>
      <w:r w:rsidRPr="00DC71C3">
        <w:rPr>
          <w:rFonts w:ascii="Times New Roman" w:hAnsi="Times New Roman"/>
          <w:sz w:val="24"/>
          <w:szCs w:val="24"/>
        </w:rPr>
        <w:t>The sponsor of new or revised documents is responsible for describing training requirements.  The requirements can range from a mail notification, routing of the document for reading and signoff, classroom lecture, on the job, hands-on training, etc., based on the effect of the change on the pro</w:t>
      </w:r>
      <w:r w:rsidR="00DC71C3">
        <w:rPr>
          <w:rFonts w:ascii="Times New Roman" w:hAnsi="Times New Roman"/>
          <w:sz w:val="24"/>
          <w:szCs w:val="24"/>
        </w:rPr>
        <w:t>duct or process.  The Quality Department</w:t>
      </w:r>
      <w:r w:rsidRPr="00DC71C3">
        <w:rPr>
          <w:rFonts w:ascii="Times New Roman" w:hAnsi="Times New Roman"/>
          <w:sz w:val="24"/>
          <w:szCs w:val="24"/>
        </w:rPr>
        <w:t xml:space="preserve"> or area Manager can identify qualified trainers.  Any training or notification method must be documented for training records, in a way that the subject, trainer, trainee and training date is recorded.</w:t>
      </w:r>
    </w:p>
    <w:p w:rsidR="00584CDE" w:rsidRPr="00DC71C3" w:rsidRDefault="00584CDE" w:rsidP="00584CDE">
      <w:pPr>
        <w:ind w:left="810"/>
        <w:jc w:val="both"/>
      </w:pPr>
    </w:p>
    <w:p w:rsidR="00584CDE" w:rsidRPr="00DC71C3" w:rsidRDefault="00584CDE" w:rsidP="00584CDE">
      <w:pPr>
        <w:jc w:val="both"/>
      </w:pPr>
      <w:r w:rsidRPr="00DC71C3">
        <w:t>The sponsor should indicate on the Document Approval Form</w:t>
      </w:r>
      <w:r w:rsidR="005B152C">
        <w:t xml:space="preserve"> (QA-01-F01)</w:t>
      </w:r>
      <w:r w:rsidRPr="00DC71C3">
        <w:t xml:space="preserve"> if the document is to be held until training is complete.  The sponsor is then responsi</w:t>
      </w:r>
      <w:r w:rsidR="00DC71C3">
        <w:t>ble for notifying the Quality Department</w:t>
      </w:r>
      <w:r w:rsidRPr="00DC71C3">
        <w:t xml:space="preserve"> when the training is complete so that the procedure can be published</w:t>
      </w:r>
    </w:p>
    <w:p w:rsidR="00584CDE" w:rsidRDefault="00584CDE" w:rsidP="00584CDE">
      <w:pPr>
        <w:rPr>
          <w:b/>
        </w:rPr>
      </w:pPr>
    </w:p>
    <w:p w:rsidR="00584CDE" w:rsidRPr="00DC71C3" w:rsidRDefault="00584CDE" w:rsidP="00584CDE">
      <w:pPr>
        <w:rPr>
          <w:b/>
          <w:sz w:val="28"/>
          <w:szCs w:val="28"/>
        </w:rPr>
      </w:pPr>
      <w:r w:rsidRPr="00DC71C3">
        <w:rPr>
          <w:b/>
          <w:sz w:val="28"/>
          <w:szCs w:val="28"/>
        </w:rPr>
        <w:t>Record Keeping</w:t>
      </w:r>
    </w:p>
    <w:p w:rsidR="00584CDE" w:rsidRDefault="00584CDE" w:rsidP="00584CDE">
      <w:pPr>
        <w:rPr>
          <w:b/>
        </w:rPr>
      </w:pPr>
    </w:p>
    <w:p w:rsidR="00584CDE" w:rsidRPr="00451339" w:rsidRDefault="005B152C" w:rsidP="00584CDE">
      <w:r>
        <w:t>The completed Document Approval Form (QA-01-F01)</w:t>
      </w:r>
      <w:r w:rsidR="00584CDE">
        <w:t xml:space="preserve"> shall be maintained as a record of document revisions and reviews. Other supporting information may also be included but is not required. Document management records are kept for a mini</w:t>
      </w:r>
      <w:r w:rsidR="00DC71C3">
        <w:t>mum of 3 years by the Quality Department</w:t>
      </w:r>
      <w:r w:rsidR="00584CDE">
        <w:t xml:space="preserve"> for Document Control. </w:t>
      </w:r>
    </w:p>
    <w:p w:rsidR="0050435C" w:rsidRDefault="0050435C">
      <w:pPr>
        <w:rPr>
          <w:b/>
        </w:rPr>
      </w:pPr>
      <w:r>
        <w:rPr>
          <w:b/>
        </w:rPr>
        <w:br w:type="page"/>
      </w:r>
    </w:p>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6"/>
        <w:gridCol w:w="1081"/>
        <w:gridCol w:w="1169"/>
        <w:gridCol w:w="1350"/>
        <w:gridCol w:w="2988"/>
      </w:tblGrid>
      <w:tr w:rsidR="00036295" w:rsidTr="00674CED">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310"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316"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081"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036295" w:rsidTr="00674CED">
        <w:trPr>
          <w:trHeight w:val="857"/>
          <w:jc w:val="center"/>
        </w:trPr>
        <w:tc>
          <w:tcPr>
            <w:tcW w:w="1082" w:type="dxa"/>
            <w:tcBorders>
              <w:top w:val="thinThickLargeGap" w:sz="24" w:space="0" w:color="auto"/>
            </w:tcBorders>
            <w:vAlign w:val="center"/>
          </w:tcPr>
          <w:p w:rsidR="00036295" w:rsidRDefault="00C7500E" w:rsidP="00A53A7A">
            <w:pPr>
              <w:jc w:val="center"/>
            </w:pPr>
            <w:r>
              <w:t>00</w:t>
            </w:r>
          </w:p>
        </w:tc>
        <w:tc>
          <w:tcPr>
            <w:tcW w:w="1310" w:type="dxa"/>
            <w:tcBorders>
              <w:top w:val="thinThickLargeGap" w:sz="24" w:space="0" w:color="auto"/>
            </w:tcBorders>
            <w:vAlign w:val="center"/>
          </w:tcPr>
          <w:p w:rsidR="00036295" w:rsidRDefault="00C7500E" w:rsidP="000608F7">
            <w:r>
              <w:t>9/9/2005</w:t>
            </w:r>
          </w:p>
        </w:tc>
        <w:tc>
          <w:tcPr>
            <w:tcW w:w="1316" w:type="dxa"/>
            <w:tcBorders>
              <w:top w:val="thinThickLargeGap" w:sz="24" w:space="0" w:color="auto"/>
            </w:tcBorders>
          </w:tcPr>
          <w:p w:rsidR="00036295" w:rsidRDefault="00036295" w:rsidP="00A53A7A">
            <w:pPr>
              <w:jc w:val="center"/>
            </w:pPr>
          </w:p>
          <w:p w:rsidR="00036295" w:rsidRDefault="00C7500E" w:rsidP="00A53A7A">
            <w:pPr>
              <w:jc w:val="center"/>
            </w:pPr>
            <w:r>
              <w:t>9/9/2005</w:t>
            </w:r>
          </w:p>
        </w:tc>
        <w:tc>
          <w:tcPr>
            <w:tcW w:w="1081" w:type="dxa"/>
            <w:tcBorders>
              <w:top w:val="thinThickLargeGap" w:sz="24" w:space="0" w:color="auto"/>
            </w:tcBorders>
            <w:vAlign w:val="center"/>
          </w:tcPr>
          <w:p w:rsidR="00036295" w:rsidRDefault="00C7500E" w:rsidP="00674CED">
            <w:pPr>
              <w:jc w:val="center"/>
            </w:pPr>
            <w:r>
              <w:t>Carl Mooney</w:t>
            </w:r>
          </w:p>
        </w:tc>
        <w:tc>
          <w:tcPr>
            <w:tcW w:w="1169" w:type="dxa"/>
            <w:tcBorders>
              <w:top w:val="thinThickLargeGap" w:sz="24" w:space="0" w:color="auto"/>
            </w:tcBorders>
            <w:vAlign w:val="center"/>
          </w:tcPr>
          <w:p w:rsidR="001372C4" w:rsidRDefault="00C7500E" w:rsidP="00674CED">
            <w:pPr>
              <w:jc w:val="center"/>
            </w:pPr>
            <w:r>
              <w:t>Carl Mooney</w:t>
            </w:r>
          </w:p>
          <w:p w:rsidR="00036295" w:rsidRDefault="00036295" w:rsidP="00674CED">
            <w:pPr>
              <w:pStyle w:val="ListParagraph"/>
              <w:ind w:left="1080"/>
              <w:jc w:val="center"/>
            </w:pPr>
          </w:p>
        </w:tc>
        <w:tc>
          <w:tcPr>
            <w:tcW w:w="1350" w:type="dxa"/>
            <w:tcBorders>
              <w:top w:val="thinThickLargeGap" w:sz="24" w:space="0" w:color="auto"/>
            </w:tcBorders>
            <w:vAlign w:val="center"/>
          </w:tcPr>
          <w:p w:rsidR="00036295" w:rsidRDefault="00036295" w:rsidP="00674CED">
            <w:pPr>
              <w:jc w:val="center"/>
            </w:pPr>
          </w:p>
          <w:p w:rsidR="001372C4" w:rsidRDefault="00674CED" w:rsidP="00674CED">
            <w:pPr>
              <w:jc w:val="center"/>
            </w:pPr>
            <w:r>
              <w:t>J. Bumgarner</w:t>
            </w:r>
          </w:p>
        </w:tc>
        <w:tc>
          <w:tcPr>
            <w:tcW w:w="2988" w:type="dxa"/>
            <w:tcBorders>
              <w:top w:val="thinThickLargeGap" w:sz="24" w:space="0" w:color="auto"/>
            </w:tcBorders>
            <w:vAlign w:val="center"/>
          </w:tcPr>
          <w:p w:rsidR="00036295" w:rsidRDefault="00674CED" w:rsidP="004055F5">
            <w:pPr>
              <w:jc w:val="center"/>
            </w:pPr>
            <w:r>
              <w:t>New Document</w:t>
            </w:r>
          </w:p>
        </w:tc>
      </w:tr>
      <w:tr w:rsidR="00036295" w:rsidTr="00674CED">
        <w:trPr>
          <w:trHeight w:val="857"/>
          <w:jc w:val="center"/>
        </w:trPr>
        <w:tc>
          <w:tcPr>
            <w:tcW w:w="1082" w:type="dxa"/>
            <w:vAlign w:val="center"/>
          </w:tcPr>
          <w:p w:rsidR="00036295" w:rsidRDefault="00C7500E" w:rsidP="00A53A7A">
            <w:pPr>
              <w:jc w:val="center"/>
            </w:pPr>
            <w:r>
              <w:t>01</w:t>
            </w:r>
          </w:p>
        </w:tc>
        <w:tc>
          <w:tcPr>
            <w:tcW w:w="1310" w:type="dxa"/>
            <w:vAlign w:val="center"/>
          </w:tcPr>
          <w:p w:rsidR="00036295" w:rsidRDefault="00C7500E" w:rsidP="00A53A7A">
            <w:pPr>
              <w:jc w:val="center"/>
            </w:pPr>
            <w:r>
              <w:t>7/23/2009</w:t>
            </w:r>
          </w:p>
        </w:tc>
        <w:tc>
          <w:tcPr>
            <w:tcW w:w="1316" w:type="dxa"/>
            <w:vAlign w:val="center"/>
          </w:tcPr>
          <w:p w:rsidR="00036295" w:rsidRDefault="00C7500E" w:rsidP="00674CED">
            <w:pPr>
              <w:jc w:val="center"/>
            </w:pPr>
            <w:r>
              <w:t>7/23/2009</w:t>
            </w:r>
          </w:p>
        </w:tc>
        <w:tc>
          <w:tcPr>
            <w:tcW w:w="1081" w:type="dxa"/>
            <w:vAlign w:val="center"/>
          </w:tcPr>
          <w:p w:rsidR="00036295" w:rsidRDefault="00C7500E" w:rsidP="00674CED">
            <w:pPr>
              <w:jc w:val="center"/>
            </w:pPr>
            <w:r>
              <w:t>Paul Teleki</w:t>
            </w:r>
          </w:p>
        </w:tc>
        <w:tc>
          <w:tcPr>
            <w:tcW w:w="1169" w:type="dxa"/>
            <w:vAlign w:val="center"/>
          </w:tcPr>
          <w:p w:rsidR="00036295" w:rsidRDefault="00C7500E" w:rsidP="00674CED">
            <w:pPr>
              <w:jc w:val="center"/>
            </w:pPr>
            <w:r>
              <w:t>Paul Teleki</w:t>
            </w:r>
          </w:p>
        </w:tc>
        <w:tc>
          <w:tcPr>
            <w:tcW w:w="1350" w:type="dxa"/>
            <w:vAlign w:val="center"/>
          </w:tcPr>
          <w:p w:rsidR="00036295" w:rsidRDefault="00674CED" w:rsidP="00674CED">
            <w:pPr>
              <w:jc w:val="center"/>
            </w:pPr>
            <w:r>
              <w:t>J. Bumgarner</w:t>
            </w:r>
          </w:p>
        </w:tc>
        <w:tc>
          <w:tcPr>
            <w:tcW w:w="2988" w:type="dxa"/>
            <w:vAlign w:val="center"/>
          </w:tcPr>
          <w:p w:rsidR="00036295" w:rsidRDefault="00674CED">
            <w:pPr>
              <w:jc w:val="center"/>
            </w:pPr>
            <w:r>
              <w:t>Review, changed steps in Requesting Approval of Procedures</w:t>
            </w:r>
          </w:p>
        </w:tc>
      </w:tr>
      <w:tr w:rsidR="00036295" w:rsidTr="00674CED">
        <w:trPr>
          <w:trHeight w:val="857"/>
          <w:jc w:val="center"/>
        </w:trPr>
        <w:tc>
          <w:tcPr>
            <w:tcW w:w="1082" w:type="dxa"/>
            <w:vAlign w:val="center"/>
          </w:tcPr>
          <w:p w:rsidR="00036295" w:rsidRDefault="00C7500E" w:rsidP="00A53A7A">
            <w:pPr>
              <w:jc w:val="center"/>
            </w:pPr>
            <w:r>
              <w:t>02</w:t>
            </w:r>
          </w:p>
        </w:tc>
        <w:tc>
          <w:tcPr>
            <w:tcW w:w="1310" w:type="dxa"/>
            <w:vAlign w:val="center"/>
          </w:tcPr>
          <w:p w:rsidR="00036295" w:rsidRDefault="00C7500E" w:rsidP="00A53A7A">
            <w:pPr>
              <w:jc w:val="center"/>
            </w:pPr>
            <w:r>
              <w:t>8/23/2012</w:t>
            </w:r>
          </w:p>
        </w:tc>
        <w:tc>
          <w:tcPr>
            <w:tcW w:w="1316" w:type="dxa"/>
            <w:vAlign w:val="center"/>
          </w:tcPr>
          <w:p w:rsidR="00036295" w:rsidRDefault="00C7500E" w:rsidP="00674CED">
            <w:pPr>
              <w:jc w:val="center"/>
            </w:pPr>
            <w:r>
              <w:t>8/23/2012</w:t>
            </w:r>
          </w:p>
        </w:tc>
        <w:tc>
          <w:tcPr>
            <w:tcW w:w="1081" w:type="dxa"/>
            <w:vAlign w:val="center"/>
          </w:tcPr>
          <w:p w:rsidR="00036295" w:rsidRDefault="00C7500E" w:rsidP="00674CED">
            <w:pPr>
              <w:jc w:val="center"/>
            </w:pPr>
            <w:r>
              <w:t>P. Owen</w:t>
            </w:r>
          </w:p>
        </w:tc>
        <w:tc>
          <w:tcPr>
            <w:tcW w:w="1169" w:type="dxa"/>
            <w:vAlign w:val="center"/>
          </w:tcPr>
          <w:p w:rsidR="00036295" w:rsidRDefault="00C7500E" w:rsidP="00674CED">
            <w:pPr>
              <w:jc w:val="center"/>
            </w:pPr>
            <w:r>
              <w:t>D. Durbin</w:t>
            </w:r>
          </w:p>
        </w:tc>
        <w:tc>
          <w:tcPr>
            <w:tcW w:w="1350" w:type="dxa"/>
            <w:vAlign w:val="center"/>
          </w:tcPr>
          <w:p w:rsidR="00036295" w:rsidRDefault="00674CED" w:rsidP="00674CED">
            <w:pPr>
              <w:jc w:val="center"/>
            </w:pPr>
            <w:r>
              <w:t>J. Bumgarner</w:t>
            </w:r>
          </w:p>
        </w:tc>
        <w:tc>
          <w:tcPr>
            <w:tcW w:w="2988" w:type="dxa"/>
            <w:vAlign w:val="center"/>
          </w:tcPr>
          <w:p w:rsidR="00036295" w:rsidRDefault="00674CED" w:rsidP="00A53A7A">
            <w:r>
              <w:t>3 year review, new header</w:t>
            </w:r>
          </w:p>
        </w:tc>
      </w:tr>
      <w:tr w:rsidR="00036295" w:rsidTr="00674CED">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6" w:type="dxa"/>
          </w:tcPr>
          <w:p w:rsidR="00036295" w:rsidRDefault="00036295" w:rsidP="00F40B70">
            <w:pPr>
              <w:jc w:val="center"/>
            </w:pPr>
          </w:p>
        </w:tc>
        <w:tc>
          <w:tcPr>
            <w:tcW w:w="1081"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674CED">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6" w:type="dxa"/>
          </w:tcPr>
          <w:p w:rsidR="00036295" w:rsidRDefault="00036295" w:rsidP="00F40B70">
            <w:pPr>
              <w:jc w:val="center"/>
            </w:pPr>
          </w:p>
        </w:tc>
        <w:tc>
          <w:tcPr>
            <w:tcW w:w="1081"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674CED">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6" w:type="dxa"/>
          </w:tcPr>
          <w:p w:rsidR="00036295" w:rsidRDefault="00036295" w:rsidP="00F40B70">
            <w:pPr>
              <w:jc w:val="center"/>
            </w:pPr>
          </w:p>
        </w:tc>
        <w:tc>
          <w:tcPr>
            <w:tcW w:w="1081"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674CED">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6" w:type="dxa"/>
          </w:tcPr>
          <w:p w:rsidR="00036295" w:rsidRDefault="00036295" w:rsidP="00F40B70">
            <w:pPr>
              <w:jc w:val="center"/>
            </w:pPr>
          </w:p>
        </w:tc>
        <w:tc>
          <w:tcPr>
            <w:tcW w:w="1081"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00E" w:rsidRDefault="00C7500E">
      <w:r>
        <w:separator/>
      </w:r>
    </w:p>
  </w:endnote>
  <w:endnote w:type="continuationSeparator" w:id="1">
    <w:p w:rsidR="00C7500E" w:rsidRDefault="00C750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00E" w:rsidRDefault="00C7500E">
      <w:r>
        <w:separator/>
      </w:r>
    </w:p>
  </w:footnote>
  <w:footnote w:type="continuationSeparator" w:id="1">
    <w:p w:rsidR="00C7500E" w:rsidRDefault="00C750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173"/>
      <w:gridCol w:w="990"/>
      <w:gridCol w:w="528"/>
      <w:gridCol w:w="261"/>
      <w:gridCol w:w="604"/>
      <w:gridCol w:w="2106"/>
      <w:gridCol w:w="1969"/>
    </w:tblGrid>
    <w:tr w:rsidR="00C7500E"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C7500E" w:rsidRPr="00D04857" w:rsidRDefault="00CE2C8D" w:rsidP="00260541">
          <w:pPr>
            <w:jc w:val="center"/>
            <w:rPr>
              <w:b/>
              <w:color w:val="3366FF"/>
              <w:sz w:val="28"/>
              <w:szCs w:val="28"/>
              <w:highlight w:val="lightGray"/>
            </w:rPr>
          </w:pPr>
          <w:r w:rsidRPr="00CE2C8D">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C7500E" w:rsidRPr="00CE046E" w:rsidRDefault="00C7500E"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C7500E" w:rsidRPr="00D04857" w:rsidRDefault="00C7500E"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C7500E" w:rsidRPr="00A43B90" w:rsidRDefault="00C7500E"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C7500E"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C7500E" w:rsidRPr="00B72116" w:rsidRDefault="00C7500E"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C7500E" w:rsidRPr="00D04857" w:rsidRDefault="00C7500E"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C7500E" w:rsidRPr="00D04857" w:rsidRDefault="00C7500E" w:rsidP="00260541">
          <w:pPr>
            <w:jc w:val="center"/>
            <w:rPr>
              <w:b/>
              <w:color w:val="0000FF"/>
            </w:rPr>
          </w:pPr>
        </w:p>
      </w:tc>
    </w:tr>
    <w:tr w:rsidR="00C7500E"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C7500E" w:rsidRPr="00D04857" w:rsidRDefault="00C7500E"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C7500E" w:rsidRPr="0050435C" w:rsidRDefault="00C7500E" w:rsidP="00393AA1">
          <w:pPr>
            <w:spacing w:line="201" w:lineRule="exact"/>
            <w:rPr>
              <w:color w:val="FF0000"/>
              <w:sz w:val="20"/>
              <w:szCs w:val="20"/>
            </w:rPr>
          </w:pPr>
          <w:r w:rsidRPr="0050435C">
            <w:rPr>
              <w:sz w:val="20"/>
              <w:szCs w:val="20"/>
            </w:rPr>
            <w:t xml:space="preserve">Title: </w:t>
          </w:r>
          <w:r>
            <w:rPr>
              <w:sz w:val="20"/>
              <w:szCs w:val="20"/>
            </w:rPr>
            <w:t>Document Control</w:t>
          </w:r>
        </w:p>
      </w:tc>
      <w:tc>
        <w:tcPr>
          <w:tcW w:w="528" w:type="dxa"/>
          <w:tcBorders>
            <w:top w:val="single" w:sz="4" w:space="0" w:color="auto"/>
            <w:left w:val="single" w:sz="4" w:space="0" w:color="auto"/>
            <w:bottom w:val="single" w:sz="4" w:space="0" w:color="auto"/>
            <w:right w:val="nil"/>
          </w:tcBorders>
          <w:shd w:val="clear" w:color="auto" w:fill="auto"/>
          <w:vAlign w:val="center"/>
        </w:tcPr>
        <w:p w:rsidR="00C7500E" w:rsidRPr="00D04857" w:rsidRDefault="00C7500E"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C7500E" w:rsidRPr="00D04857" w:rsidRDefault="00C7500E"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C7500E" w:rsidRPr="00D04857" w:rsidRDefault="00CE2C8D" w:rsidP="00260541">
          <w:pPr>
            <w:jc w:val="center"/>
            <w:rPr>
              <w:sz w:val="16"/>
              <w:szCs w:val="16"/>
            </w:rPr>
          </w:pPr>
          <w:r w:rsidRPr="00D04857">
            <w:rPr>
              <w:sz w:val="16"/>
              <w:szCs w:val="16"/>
            </w:rPr>
            <w:fldChar w:fldCharType="begin"/>
          </w:r>
          <w:r w:rsidR="00C7500E" w:rsidRPr="00D04857">
            <w:rPr>
              <w:sz w:val="16"/>
              <w:szCs w:val="16"/>
            </w:rPr>
            <w:instrText xml:space="preserve"> PAGE </w:instrText>
          </w:r>
          <w:r w:rsidRPr="00D04857">
            <w:rPr>
              <w:sz w:val="16"/>
              <w:szCs w:val="16"/>
            </w:rPr>
            <w:fldChar w:fldCharType="separate"/>
          </w:r>
          <w:r w:rsidR="0048488F">
            <w:rPr>
              <w:noProof/>
              <w:sz w:val="16"/>
              <w:szCs w:val="16"/>
            </w:rPr>
            <w:t>1</w:t>
          </w:r>
          <w:r w:rsidRPr="00D04857">
            <w:rPr>
              <w:sz w:val="16"/>
              <w:szCs w:val="16"/>
            </w:rPr>
            <w:fldChar w:fldCharType="end"/>
          </w:r>
          <w:r w:rsidR="00C7500E" w:rsidRPr="00D04857">
            <w:rPr>
              <w:sz w:val="16"/>
              <w:szCs w:val="16"/>
            </w:rPr>
            <w:t xml:space="preserve"> of </w:t>
          </w:r>
          <w:r w:rsidRPr="00D04857">
            <w:rPr>
              <w:rStyle w:val="PageNumber"/>
              <w:sz w:val="16"/>
              <w:szCs w:val="16"/>
            </w:rPr>
            <w:fldChar w:fldCharType="begin"/>
          </w:r>
          <w:r w:rsidR="00C7500E" w:rsidRPr="00D04857">
            <w:rPr>
              <w:rStyle w:val="PageNumber"/>
              <w:sz w:val="16"/>
              <w:szCs w:val="16"/>
            </w:rPr>
            <w:instrText xml:space="preserve"> NUMPAGES </w:instrText>
          </w:r>
          <w:r w:rsidRPr="00D04857">
            <w:rPr>
              <w:rStyle w:val="PageNumber"/>
              <w:sz w:val="16"/>
              <w:szCs w:val="16"/>
            </w:rPr>
            <w:fldChar w:fldCharType="separate"/>
          </w:r>
          <w:r w:rsidR="0048488F">
            <w:rPr>
              <w:rStyle w:val="PageNumber"/>
              <w:noProof/>
              <w:sz w:val="16"/>
              <w:szCs w:val="16"/>
            </w:rPr>
            <w:t>4</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C7500E" w:rsidRDefault="00C7500E" w:rsidP="00126C3F">
          <w:pPr>
            <w:rPr>
              <w:sz w:val="16"/>
              <w:szCs w:val="16"/>
            </w:rPr>
          </w:pPr>
          <w:r>
            <w:rPr>
              <w:sz w:val="16"/>
              <w:szCs w:val="16"/>
            </w:rPr>
            <w:t>Revision : 02</w:t>
          </w:r>
        </w:p>
        <w:p w:rsidR="00C7500E" w:rsidRPr="00126C3F" w:rsidRDefault="00C7500E" w:rsidP="0050435C">
          <w:pPr>
            <w:rPr>
              <w:sz w:val="16"/>
              <w:szCs w:val="16"/>
            </w:rPr>
          </w:pPr>
          <w:r>
            <w:rPr>
              <w:sz w:val="16"/>
              <w:szCs w:val="16"/>
            </w:rPr>
            <w:t>Effective Date : 8/22/2012</w:t>
          </w:r>
        </w:p>
      </w:tc>
      <w:tc>
        <w:tcPr>
          <w:tcW w:w="1969" w:type="dxa"/>
          <w:vMerge/>
          <w:tcBorders>
            <w:left w:val="thinThickLargeGap" w:sz="24" w:space="0" w:color="auto"/>
            <w:right w:val="thickThinLargeGap" w:sz="24" w:space="0" w:color="auto"/>
          </w:tcBorders>
          <w:shd w:val="clear" w:color="auto" w:fill="auto"/>
        </w:tcPr>
        <w:p w:rsidR="00C7500E" w:rsidRPr="00D04857" w:rsidRDefault="00C7500E" w:rsidP="00260541">
          <w:pPr>
            <w:jc w:val="center"/>
            <w:rPr>
              <w:color w:val="FF0000"/>
              <w:sz w:val="16"/>
              <w:szCs w:val="16"/>
            </w:rPr>
          </w:pPr>
        </w:p>
      </w:tc>
    </w:tr>
    <w:tr w:rsidR="00C7500E" w:rsidRPr="00D04857" w:rsidTr="00555C6B">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C7500E" w:rsidRPr="00D04857" w:rsidRDefault="00C7500E"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C7500E" w:rsidRPr="00D04857" w:rsidRDefault="00C7500E" w:rsidP="00260541">
          <w:pPr>
            <w:jc w:val="center"/>
            <w:rPr>
              <w:sz w:val="20"/>
              <w:szCs w:val="20"/>
            </w:rPr>
          </w:pPr>
          <w:r>
            <w:rPr>
              <w:sz w:val="20"/>
              <w:szCs w:val="20"/>
            </w:rPr>
            <w:t>Author:</w:t>
          </w:r>
        </w:p>
      </w:tc>
      <w:tc>
        <w:tcPr>
          <w:tcW w:w="1173" w:type="dxa"/>
          <w:tcBorders>
            <w:top w:val="single" w:sz="4" w:space="0" w:color="auto"/>
            <w:left w:val="nil"/>
            <w:bottom w:val="thickThinLargeGap" w:sz="24" w:space="0" w:color="auto"/>
            <w:right w:val="nil"/>
          </w:tcBorders>
          <w:shd w:val="clear" w:color="auto" w:fill="auto"/>
          <w:vAlign w:val="center"/>
        </w:tcPr>
        <w:p w:rsidR="00C7500E" w:rsidRPr="00D04857" w:rsidRDefault="00C7500E" w:rsidP="008269D1">
          <w:pPr>
            <w:rPr>
              <w:color w:val="FF0000"/>
              <w:sz w:val="20"/>
              <w:szCs w:val="20"/>
            </w:rPr>
          </w:pPr>
          <w:r>
            <w:rPr>
              <w:color w:val="FF0000"/>
              <w:sz w:val="20"/>
              <w:szCs w:val="20"/>
            </w:rPr>
            <w:t>Carl Mooney</w:t>
          </w:r>
        </w:p>
      </w:tc>
      <w:tc>
        <w:tcPr>
          <w:tcW w:w="4489"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C7500E" w:rsidRPr="00555C6B" w:rsidRDefault="00C7500E" w:rsidP="0050435C">
          <w:pPr>
            <w:jc w:val="center"/>
            <w:rPr>
              <w:sz w:val="20"/>
              <w:szCs w:val="20"/>
            </w:rPr>
          </w:pPr>
          <w:r>
            <w:rPr>
              <w:sz w:val="20"/>
              <w:szCs w:val="20"/>
            </w:rPr>
            <w:t>Procedure Number</w:t>
          </w:r>
          <w:r w:rsidRPr="00D04857">
            <w:rPr>
              <w:sz w:val="20"/>
              <w:szCs w:val="20"/>
            </w:rPr>
            <w:t>:</w:t>
          </w:r>
          <w:r>
            <w:rPr>
              <w:sz w:val="20"/>
              <w:szCs w:val="20"/>
            </w:rPr>
            <w:t xml:space="preserve"> QA-01</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C7500E" w:rsidRDefault="00C7500E" w:rsidP="00260541">
          <w:pPr>
            <w:jc w:val="center"/>
            <w:rPr>
              <w:sz w:val="20"/>
              <w:szCs w:val="20"/>
            </w:rPr>
          </w:pPr>
        </w:p>
      </w:tc>
    </w:tr>
  </w:tbl>
  <w:p w:rsidR="00C7500E" w:rsidRPr="00350DD9" w:rsidRDefault="00C7500E">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0C40"/>
    <w:multiLevelType w:val="hybridMultilevel"/>
    <w:tmpl w:val="96CC9858"/>
    <w:lvl w:ilvl="0" w:tplc="FD58E69C">
      <w:start w:val="1"/>
      <w:numFmt w:val="upperLetter"/>
      <w:lvlText w:val="%1."/>
      <w:lvlJc w:val="left"/>
      <w:pPr>
        <w:tabs>
          <w:tab w:val="num" w:pos="1080"/>
        </w:tabs>
        <w:ind w:left="1080" w:hanging="360"/>
      </w:pPr>
      <w:rPr>
        <w:rFonts w:hint="default"/>
      </w:rPr>
    </w:lvl>
    <w:lvl w:ilvl="1" w:tplc="11CAEB4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3">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C331B"/>
    <w:multiLevelType w:val="hybridMultilevel"/>
    <w:tmpl w:val="345AC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4">
    <w:nsid w:val="47CE7491"/>
    <w:multiLevelType w:val="hybridMultilevel"/>
    <w:tmpl w:val="76980B90"/>
    <w:lvl w:ilvl="0" w:tplc="04090001">
      <w:start w:val="1"/>
      <w:numFmt w:val="bullet"/>
      <w:lvlText w:val=""/>
      <w:lvlJc w:val="left"/>
      <w:pPr>
        <w:tabs>
          <w:tab w:val="num" w:pos="1502"/>
        </w:tabs>
        <w:ind w:left="1502" w:hanging="360"/>
      </w:pPr>
      <w:rPr>
        <w:rFonts w:ascii="Symbol" w:hAnsi="Symbol" w:hint="default"/>
      </w:rPr>
    </w:lvl>
    <w:lvl w:ilvl="1" w:tplc="04090003" w:tentative="1">
      <w:start w:val="1"/>
      <w:numFmt w:val="bullet"/>
      <w:lvlText w:val="o"/>
      <w:lvlJc w:val="left"/>
      <w:pPr>
        <w:tabs>
          <w:tab w:val="num" w:pos="2222"/>
        </w:tabs>
        <w:ind w:left="2222" w:hanging="360"/>
      </w:pPr>
      <w:rPr>
        <w:rFonts w:ascii="Courier New" w:hAnsi="Courier New" w:cs="Courier New" w:hint="default"/>
      </w:rPr>
    </w:lvl>
    <w:lvl w:ilvl="2" w:tplc="04090005" w:tentative="1">
      <w:start w:val="1"/>
      <w:numFmt w:val="bullet"/>
      <w:lvlText w:val=""/>
      <w:lvlJc w:val="left"/>
      <w:pPr>
        <w:tabs>
          <w:tab w:val="num" w:pos="2942"/>
        </w:tabs>
        <w:ind w:left="2942" w:hanging="360"/>
      </w:pPr>
      <w:rPr>
        <w:rFonts w:ascii="Wingdings" w:hAnsi="Wingdings" w:hint="default"/>
      </w:rPr>
    </w:lvl>
    <w:lvl w:ilvl="3" w:tplc="04090001" w:tentative="1">
      <w:start w:val="1"/>
      <w:numFmt w:val="bullet"/>
      <w:lvlText w:val=""/>
      <w:lvlJc w:val="left"/>
      <w:pPr>
        <w:tabs>
          <w:tab w:val="num" w:pos="3662"/>
        </w:tabs>
        <w:ind w:left="3662" w:hanging="360"/>
      </w:pPr>
      <w:rPr>
        <w:rFonts w:ascii="Symbol" w:hAnsi="Symbol" w:hint="default"/>
      </w:rPr>
    </w:lvl>
    <w:lvl w:ilvl="4" w:tplc="04090003" w:tentative="1">
      <w:start w:val="1"/>
      <w:numFmt w:val="bullet"/>
      <w:lvlText w:val="o"/>
      <w:lvlJc w:val="left"/>
      <w:pPr>
        <w:tabs>
          <w:tab w:val="num" w:pos="4382"/>
        </w:tabs>
        <w:ind w:left="4382" w:hanging="360"/>
      </w:pPr>
      <w:rPr>
        <w:rFonts w:ascii="Courier New" w:hAnsi="Courier New" w:cs="Courier New" w:hint="default"/>
      </w:rPr>
    </w:lvl>
    <w:lvl w:ilvl="5" w:tplc="04090005" w:tentative="1">
      <w:start w:val="1"/>
      <w:numFmt w:val="bullet"/>
      <w:lvlText w:val=""/>
      <w:lvlJc w:val="left"/>
      <w:pPr>
        <w:tabs>
          <w:tab w:val="num" w:pos="5102"/>
        </w:tabs>
        <w:ind w:left="5102" w:hanging="360"/>
      </w:pPr>
      <w:rPr>
        <w:rFonts w:ascii="Wingdings" w:hAnsi="Wingdings" w:hint="default"/>
      </w:rPr>
    </w:lvl>
    <w:lvl w:ilvl="6" w:tplc="04090001" w:tentative="1">
      <w:start w:val="1"/>
      <w:numFmt w:val="bullet"/>
      <w:lvlText w:val=""/>
      <w:lvlJc w:val="left"/>
      <w:pPr>
        <w:tabs>
          <w:tab w:val="num" w:pos="5822"/>
        </w:tabs>
        <w:ind w:left="5822" w:hanging="360"/>
      </w:pPr>
      <w:rPr>
        <w:rFonts w:ascii="Symbol" w:hAnsi="Symbol" w:hint="default"/>
      </w:rPr>
    </w:lvl>
    <w:lvl w:ilvl="7" w:tplc="04090003" w:tentative="1">
      <w:start w:val="1"/>
      <w:numFmt w:val="bullet"/>
      <w:lvlText w:val="o"/>
      <w:lvlJc w:val="left"/>
      <w:pPr>
        <w:tabs>
          <w:tab w:val="num" w:pos="6542"/>
        </w:tabs>
        <w:ind w:left="6542" w:hanging="360"/>
      </w:pPr>
      <w:rPr>
        <w:rFonts w:ascii="Courier New" w:hAnsi="Courier New" w:cs="Courier New" w:hint="default"/>
      </w:rPr>
    </w:lvl>
    <w:lvl w:ilvl="8" w:tplc="04090005" w:tentative="1">
      <w:start w:val="1"/>
      <w:numFmt w:val="bullet"/>
      <w:lvlText w:val=""/>
      <w:lvlJc w:val="left"/>
      <w:pPr>
        <w:tabs>
          <w:tab w:val="num" w:pos="7262"/>
        </w:tabs>
        <w:ind w:left="7262" w:hanging="360"/>
      </w:pPr>
      <w:rPr>
        <w:rFonts w:ascii="Wingdings" w:hAnsi="Wingdings" w:hint="default"/>
      </w:rPr>
    </w:lvl>
  </w:abstractNum>
  <w:abstractNum w:abstractNumId="15">
    <w:nsid w:val="50C26468"/>
    <w:multiLevelType w:val="hybridMultilevel"/>
    <w:tmpl w:val="82603C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21"/>
  </w:num>
  <w:num w:numId="3">
    <w:abstractNumId w:val="1"/>
  </w:num>
  <w:num w:numId="4">
    <w:abstractNumId w:val="16"/>
  </w:num>
  <w:num w:numId="5">
    <w:abstractNumId w:val="23"/>
  </w:num>
  <w:num w:numId="6">
    <w:abstractNumId w:val="7"/>
  </w:num>
  <w:num w:numId="7">
    <w:abstractNumId w:val="18"/>
  </w:num>
  <w:num w:numId="8">
    <w:abstractNumId w:val="2"/>
  </w:num>
  <w:num w:numId="9">
    <w:abstractNumId w:val="11"/>
  </w:num>
  <w:num w:numId="10">
    <w:abstractNumId w:val="22"/>
  </w:num>
  <w:num w:numId="11">
    <w:abstractNumId w:val="4"/>
  </w:num>
  <w:num w:numId="12">
    <w:abstractNumId w:val="3"/>
  </w:num>
  <w:num w:numId="13">
    <w:abstractNumId w:val="13"/>
  </w:num>
  <w:num w:numId="14">
    <w:abstractNumId w:val="19"/>
  </w:num>
  <w:num w:numId="15">
    <w:abstractNumId w:val="8"/>
  </w:num>
  <w:num w:numId="16">
    <w:abstractNumId w:val="17"/>
  </w:num>
  <w:num w:numId="17">
    <w:abstractNumId w:val="5"/>
  </w:num>
  <w:num w:numId="18">
    <w:abstractNumId w:val="25"/>
  </w:num>
  <w:num w:numId="19">
    <w:abstractNumId w:val="24"/>
  </w:num>
  <w:num w:numId="20">
    <w:abstractNumId w:val="20"/>
  </w:num>
  <w:num w:numId="21">
    <w:abstractNumId w:val="9"/>
  </w:num>
  <w:num w:numId="22">
    <w:abstractNumId w:val="6"/>
  </w:num>
  <w:num w:numId="23">
    <w:abstractNumId w:val="0"/>
  </w:num>
  <w:num w:numId="24">
    <w:abstractNumId w:val="10"/>
  </w:num>
  <w:num w:numId="25">
    <w:abstractNumId w:val="14"/>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58FD"/>
    <w:rsid w:val="000608F7"/>
    <w:rsid w:val="00060976"/>
    <w:rsid w:val="000615FB"/>
    <w:rsid w:val="00094CB5"/>
    <w:rsid w:val="000A63D1"/>
    <w:rsid w:val="000B522A"/>
    <w:rsid w:val="000B6106"/>
    <w:rsid w:val="000D00FB"/>
    <w:rsid w:val="000D401A"/>
    <w:rsid w:val="000D78E6"/>
    <w:rsid w:val="000E2F1D"/>
    <w:rsid w:val="000E6461"/>
    <w:rsid w:val="001071EE"/>
    <w:rsid w:val="00124304"/>
    <w:rsid w:val="00126C3F"/>
    <w:rsid w:val="001307DC"/>
    <w:rsid w:val="001372C4"/>
    <w:rsid w:val="001458FC"/>
    <w:rsid w:val="00154164"/>
    <w:rsid w:val="00154D02"/>
    <w:rsid w:val="0016032B"/>
    <w:rsid w:val="00165D5E"/>
    <w:rsid w:val="00184094"/>
    <w:rsid w:val="00185428"/>
    <w:rsid w:val="00187D50"/>
    <w:rsid w:val="00191688"/>
    <w:rsid w:val="001A1FDE"/>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B0C76"/>
    <w:rsid w:val="002D0EBB"/>
    <w:rsid w:val="002E0CDE"/>
    <w:rsid w:val="002E23C4"/>
    <w:rsid w:val="002E73A3"/>
    <w:rsid w:val="002F3147"/>
    <w:rsid w:val="002F4B90"/>
    <w:rsid w:val="002F5FE6"/>
    <w:rsid w:val="00303CA7"/>
    <w:rsid w:val="00307D4B"/>
    <w:rsid w:val="00316DCE"/>
    <w:rsid w:val="003220C0"/>
    <w:rsid w:val="003443C2"/>
    <w:rsid w:val="00350DD9"/>
    <w:rsid w:val="00351567"/>
    <w:rsid w:val="00352CB7"/>
    <w:rsid w:val="00353EA5"/>
    <w:rsid w:val="00357383"/>
    <w:rsid w:val="003576EE"/>
    <w:rsid w:val="00380670"/>
    <w:rsid w:val="00385789"/>
    <w:rsid w:val="00393AA1"/>
    <w:rsid w:val="003953FE"/>
    <w:rsid w:val="00397843"/>
    <w:rsid w:val="003B0E0C"/>
    <w:rsid w:val="003B1673"/>
    <w:rsid w:val="003B4C7A"/>
    <w:rsid w:val="003B63C0"/>
    <w:rsid w:val="003C380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8488F"/>
    <w:rsid w:val="00491A6D"/>
    <w:rsid w:val="004A7C6B"/>
    <w:rsid w:val="004B4D95"/>
    <w:rsid w:val="004E150B"/>
    <w:rsid w:val="004F245D"/>
    <w:rsid w:val="0050435C"/>
    <w:rsid w:val="005054C8"/>
    <w:rsid w:val="00520D5C"/>
    <w:rsid w:val="005223D6"/>
    <w:rsid w:val="00536C6B"/>
    <w:rsid w:val="00547531"/>
    <w:rsid w:val="005478EE"/>
    <w:rsid w:val="00555C6B"/>
    <w:rsid w:val="005733C1"/>
    <w:rsid w:val="0057695C"/>
    <w:rsid w:val="00584CDE"/>
    <w:rsid w:val="005870FD"/>
    <w:rsid w:val="005B03D4"/>
    <w:rsid w:val="005B0A37"/>
    <w:rsid w:val="005B152C"/>
    <w:rsid w:val="005B3D3B"/>
    <w:rsid w:val="005D4F9C"/>
    <w:rsid w:val="005E0882"/>
    <w:rsid w:val="005E0DA1"/>
    <w:rsid w:val="005F49D5"/>
    <w:rsid w:val="005F73E4"/>
    <w:rsid w:val="005F79B9"/>
    <w:rsid w:val="00603B79"/>
    <w:rsid w:val="00604250"/>
    <w:rsid w:val="00611A7A"/>
    <w:rsid w:val="00630782"/>
    <w:rsid w:val="0067275E"/>
    <w:rsid w:val="0067419B"/>
    <w:rsid w:val="00674CED"/>
    <w:rsid w:val="0067572B"/>
    <w:rsid w:val="0067587D"/>
    <w:rsid w:val="00677442"/>
    <w:rsid w:val="00685099"/>
    <w:rsid w:val="0069358E"/>
    <w:rsid w:val="006942E2"/>
    <w:rsid w:val="0069445C"/>
    <w:rsid w:val="006A33D9"/>
    <w:rsid w:val="006B1635"/>
    <w:rsid w:val="006B1930"/>
    <w:rsid w:val="006C1025"/>
    <w:rsid w:val="006C475E"/>
    <w:rsid w:val="006C50AD"/>
    <w:rsid w:val="006D4516"/>
    <w:rsid w:val="006D45A4"/>
    <w:rsid w:val="006D5852"/>
    <w:rsid w:val="006D749E"/>
    <w:rsid w:val="006E1729"/>
    <w:rsid w:val="006F0039"/>
    <w:rsid w:val="00707D5C"/>
    <w:rsid w:val="00716CDF"/>
    <w:rsid w:val="00731572"/>
    <w:rsid w:val="007518FB"/>
    <w:rsid w:val="00780BE7"/>
    <w:rsid w:val="007842F1"/>
    <w:rsid w:val="007911E1"/>
    <w:rsid w:val="00792786"/>
    <w:rsid w:val="007C0F68"/>
    <w:rsid w:val="007D7C78"/>
    <w:rsid w:val="00817630"/>
    <w:rsid w:val="008269D1"/>
    <w:rsid w:val="0083351F"/>
    <w:rsid w:val="00836614"/>
    <w:rsid w:val="008628EE"/>
    <w:rsid w:val="00892E98"/>
    <w:rsid w:val="00893F54"/>
    <w:rsid w:val="008A2545"/>
    <w:rsid w:val="008B5DC7"/>
    <w:rsid w:val="008C4410"/>
    <w:rsid w:val="008D2F2D"/>
    <w:rsid w:val="008E09EF"/>
    <w:rsid w:val="008F2692"/>
    <w:rsid w:val="00900252"/>
    <w:rsid w:val="0090400A"/>
    <w:rsid w:val="009049FA"/>
    <w:rsid w:val="009276D7"/>
    <w:rsid w:val="00941054"/>
    <w:rsid w:val="00947513"/>
    <w:rsid w:val="00962CAF"/>
    <w:rsid w:val="00971110"/>
    <w:rsid w:val="009829FD"/>
    <w:rsid w:val="00986A99"/>
    <w:rsid w:val="00987F44"/>
    <w:rsid w:val="00990145"/>
    <w:rsid w:val="00996C34"/>
    <w:rsid w:val="00997FE7"/>
    <w:rsid w:val="009A0DEA"/>
    <w:rsid w:val="009A2261"/>
    <w:rsid w:val="009A5590"/>
    <w:rsid w:val="009A70EC"/>
    <w:rsid w:val="009D069A"/>
    <w:rsid w:val="009D366D"/>
    <w:rsid w:val="009D6606"/>
    <w:rsid w:val="009F34C7"/>
    <w:rsid w:val="009F59A9"/>
    <w:rsid w:val="00A02CDB"/>
    <w:rsid w:val="00A10EDA"/>
    <w:rsid w:val="00A4356A"/>
    <w:rsid w:val="00A53A7A"/>
    <w:rsid w:val="00A568C9"/>
    <w:rsid w:val="00A74DA9"/>
    <w:rsid w:val="00A76DA5"/>
    <w:rsid w:val="00A96952"/>
    <w:rsid w:val="00AA3C15"/>
    <w:rsid w:val="00AC5E79"/>
    <w:rsid w:val="00AF4840"/>
    <w:rsid w:val="00B12061"/>
    <w:rsid w:val="00B14257"/>
    <w:rsid w:val="00B302F5"/>
    <w:rsid w:val="00B36643"/>
    <w:rsid w:val="00B448CB"/>
    <w:rsid w:val="00B73659"/>
    <w:rsid w:val="00B845F7"/>
    <w:rsid w:val="00B94B15"/>
    <w:rsid w:val="00BC66E1"/>
    <w:rsid w:val="00BE1D31"/>
    <w:rsid w:val="00C0437A"/>
    <w:rsid w:val="00C31C50"/>
    <w:rsid w:val="00C36437"/>
    <w:rsid w:val="00C428C0"/>
    <w:rsid w:val="00C70FBD"/>
    <w:rsid w:val="00C74AF0"/>
    <w:rsid w:val="00C7500E"/>
    <w:rsid w:val="00C75ED6"/>
    <w:rsid w:val="00CC3B96"/>
    <w:rsid w:val="00CD4CFB"/>
    <w:rsid w:val="00CD627A"/>
    <w:rsid w:val="00CE1378"/>
    <w:rsid w:val="00CE2C8D"/>
    <w:rsid w:val="00CF2734"/>
    <w:rsid w:val="00CF4E4E"/>
    <w:rsid w:val="00CF559C"/>
    <w:rsid w:val="00CF7536"/>
    <w:rsid w:val="00D14C32"/>
    <w:rsid w:val="00D30A99"/>
    <w:rsid w:val="00D333AC"/>
    <w:rsid w:val="00D33DA3"/>
    <w:rsid w:val="00D40D0D"/>
    <w:rsid w:val="00D5068E"/>
    <w:rsid w:val="00D556A5"/>
    <w:rsid w:val="00D56356"/>
    <w:rsid w:val="00D71E18"/>
    <w:rsid w:val="00D76CBC"/>
    <w:rsid w:val="00D81B8E"/>
    <w:rsid w:val="00D8431E"/>
    <w:rsid w:val="00D92460"/>
    <w:rsid w:val="00DA4535"/>
    <w:rsid w:val="00DB1703"/>
    <w:rsid w:val="00DB2B35"/>
    <w:rsid w:val="00DC71C3"/>
    <w:rsid w:val="00DE10F6"/>
    <w:rsid w:val="00DE166A"/>
    <w:rsid w:val="00DF2F42"/>
    <w:rsid w:val="00DF344B"/>
    <w:rsid w:val="00DF4101"/>
    <w:rsid w:val="00DF7696"/>
    <w:rsid w:val="00E06F6F"/>
    <w:rsid w:val="00E72901"/>
    <w:rsid w:val="00E75E41"/>
    <w:rsid w:val="00E8225E"/>
    <w:rsid w:val="00EC2BC1"/>
    <w:rsid w:val="00ED6AB7"/>
    <w:rsid w:val="00EE4DB9"/>
    <w:rsid w:val="00EF0C73"/>
    <w:rsid w:val="00EF29E2"/>
    <w:rsid w:val="00EF2F78"/>
    <w:rsid w:val="00EF78D9"/>
    <w:rsid w:val="00F103CA"/>
    <w:rsid w:val="00F40B70"/>
    <w:rsid w:val="00F468EE"/>
    <w:rsid w:val="00F64270"/>
    <w:rsid w:val="00F655B1"/>
    <w:rsid w:val="00F70B33"/>
    <w:rsid w:val="00F74882"/>
    <w:rsid w:val="00F75B05"/>
    <w:rsid w:val="00F829EB"/>
    <w:rsid w:val="00F84199"/>
    <w:rsid w:val="00F86935"/>
    <w:rsid w:val="00F906A5"/>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 w:type="paragraph" w:styleId="BodyText2">
    <w:name w:val="Body Text 2"/>
    <w:basedOn w:val="Normal"/>
    <w:link w:val="BodyText2Char"/>
    <w:rsid w:val="00584CDE"/>
    <w:pPr>
      <w:widowControl w:val="0"/>
      <w:overflowPunct w:val="0"/>
      <w:autoSpaceDE w:val="0"/>
      <w:autoSpaceDN w:val="0"/>
      <w:adjustRightInd w:val="0"/>
      <w:spacing w:line="240" w:lineRule="atLeast"/>
      <w:jc w:val="both"/>
      <w:textAlignment w:val="baseline"/>
    </w:pPr>
    <w:rPr>
      <w:rFonts w:ascii="Century Schoolbook" w:hAnsi="Century Schoolbook"/>
      <w:color w:val="000000"/>
      <w:sz w:val="22"/>
      <w:szCs w:val="20"/>
    </w:rPr>
  </w:style>
  <w:style w:type="character" w:customStyle="1" w:styleId="BodyText2Char">
    <w:name w:val="Body Text 2 Char"/>
    <w:basedOn w:val="DefaultParagraphFont"/>
    <w:link w:val="BodyText2"/>
    <w:rsid w:val="00584CDE"/>
    <w:rPr>
      <w:rFonts w:ascii="Century Schoolbook" w:hAnsi="Century Schoolbook"/>
      <w:color w:val="00000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7E6E-0E84-4F0D-A7D2-EF2A8D4C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926</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6</cp:revision>
  <cp:lastPrinted>2012-11-13T15:08:00Z</cp:lastPrinted>
  <dcterms:created xsi:type="dcterms:W3CDTF">2012-08-23T19:19:00Z</dcterms:created>
  <dcterms:modified xsi:type="dcterms:W3CDTF">2012-11-13T15:10:00Z</dcterms:modified>
</cp:coreProperties>
</file>