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DDC" w:rsidRDefault="00EB5DDC" w:rsidP="003B6693">
      <w:pPr>
        <w:ind w:left="1440" w:hanging="1440"/>
        <w:rPr>
          <w:szCs w:val="22"/>
        </w:rPr>
      </w:pPr>
    </w:p>
    <w:p w:rsidR="00B11F49" w:rsidRPr="00710110" w:rsidRDefault="00B11F49" w:rsidP="00B11F49">
      <w:pPr>
        <w:jc w:val="center"/>
        <w:rPr>
          <w:sz w:val="32"/>
          <w:szCs w:val="32"/>
        </w:rPr>
      </w:pPr>
      <w:r w:rsidRPr="00710110">
        <w:rPr>
          <w:b/>
          <w:sz w:val="32"/>
          <w:szCs w:val="32"/>
          <w:u w:val="single"/>
        </w:rPr>
        <w:t>General Awareness / Familiarization Training</w:t>
      </w:r>
    </w:p>
    <w:p w:rsidR="00B11F49" w:rsidRPr="00710110" w:rsidRDefault="00B11F49" w:rsidP="00B11F49">
      <w:pPr>
        <w:jc w:val="center"/>
      </w:pPr>
    </w:p>
    <w:p w:rsidR="007126A1" w:rsidRPr="00710110" w:rsidRDefault="007126A1" w:rsidP="00B11F49">
      <w:pPr>
        <w:jc w:val="center"/>
      </w:pPr>
    </w:p>
    <w:p w:rsidR="00B11F49" w:rsidRPr="00710110" w:rsidRDefault="007126A1" w:rsidP="00B11F49">
      <w:r w:rsidRPr="00710110">
        <w:t>Training that provides familiarity with the general requirements of the Hazardous Materials Requirements (HMR) and enables the hazmat employee to recognize and identify hazardous materials. All hazmat employees must receive general awareness training.</w:t>
      </w:r>
    </w:p>
    <w:p w:rsidR="00B11F49" w:rsidRPr="00710110" w:rsidRDefault="00B11F49" w:rsidP="00B11F49"/>
    <w:p w:rsidR="00B11F49" w:rsidRPr="00710110" w:rsidRDefault="00B11F49" w:rsidP="00B11F49"/>
    <w:p w:rsidR="00B11F49" w:rsidRPr="00710110" w:rsidRDefault="00617AEA" w:rsidP="00B11F49">
      <w:r>
        <w:t>This module consists of three</w:t>
      </w:r>
      <w:bookmarkStart w:id="0" w:name="_GoBack"/>
      <w:bookmarkEnd w:id="0"/>
      <w:r w:rsidR="00B11F49" w:rsidRPr="00710110">
        <w:t xml:space="preserve"> parts as follows:</w:t>
      </w:r>
    </w:p>
    <w:p w:rsidR="00B11F49" w:rsidRPr="00710110" w:rsidRDefault="00B11F49" w:rsidP="00B11F49"/>
    <w:p w:rsidR="00B11F49" w:rsidRPr="00710110" w:rsidRDefault="00B11F49" w:rsidP="00B11F49">
      <w:pPr>
        <w:numPr>
          <w:ilvl w:val="0"/>
          <w:numId w:val="10"/>
        </w:numPr>
      </w:pPr>
      <w:r w:rsidRPr="00710110">
        <w:rPr>
          <w:b/>
        </w:rPr>
        <w:t>General Awareness / F</w:t>
      </w:r>
      <w:r w:rsidR="00F33DF0" w:rsidRPr="00710110">
        <w:rPr>
          <w:b/>
        </w:rPr>
        <w:t>amiliarization Handbook</w:t>
      </w:r>
      <w:r w:rsidR="002E28D0">
        <w:rPr>
          <w:b/>
        </w:rPr>
        <w:t xml:space="preserve"> – S16-PG-300-003</w:t>
      </w:r>
    </w:p>
    <w:p w:rsidR="00710110" w:rsidRPr="00710110" w:rsidRDefault="00710110" w:rsidP="00710110">
      <w:pPr>
        <w:ind w:left="720"/>
      </w:pPr>
    </w:p>
    <w:p w:rsidR="00F33DF0" w:rsidRPr="00710110" w:rsidRDefault="00F33DF0" w:rsidP="00710110">
      <w:pPr>
        <w:ind w:left="720"/>
      </w:pPr>
      <w:r w:rsidRPr="00710110">
        <w:t>Part 172 Subpart H of the Hazardous Materials Regulations sets training requirements for individuals involved in all modes of transportation (over-the- road, rail, aircraft or vessel) of hazardous materials. The purpose is to ensure that hazmat employers train their hazmat employees regarding safe practices in the following areas. Topics include:  the hazardous materials table, shipping papers, labeling of a hazardous material, performance oriented packaging, proper loading and storag</w:t>
      </w:r>
      <w:r w:rsidR="00B41671">
        <w:t>e techniques, proper placarding and</w:t>
      </w:r>
      <w:r w:rsidRPr="00710110">
        <w:t xml:space="preserve"> dealing with a hazmat emergency.</w:t>
      </w:r>
    </w:p>
    <w:p w:rsidR="007126A1" w:rsidRPr="00710110" w:rsidRDefault="007126A1" w:rsidP="00710110">
      <w:pPr>
        <w:ind w:left="360"/>
        <w:rPr>
          <w:b/>
        </w:rPr>
      </w:pPr>
    </w:p>
    <w:p w:rsidR="00B11F49" w:rsidRPr="00710110" w:rsidRDefault="00B11F49" w:rsidP="00B11F49">
      <w:pPr>
        <w:ind w:left="720"/>
      </w:pPr>
    </w:p>
    <w:p w:rsidR="00D5042D" w:rsidRPr="00710110" w:rsidRDefault="00D5042D" w:rsidP="00B11F49">
      <w:pPr>
        <w:ind w:left="720"/>
      </w:pPr>
    </w:p>
    <w:p w:rsidR="00D5042D" w:rsidRPr="00710110" w:rsidRDefault="00B11F49" w:rsidP="00D5042D">
      <w:pPr>
        <w:numPr>
          <w:ilvl w:val="0"/>
          <w:numId w:val="10"/>
        </w:numPr>
        <w:rPr>
          <w:b/>
        </w:rPr>
      </w:pPr>
      <w:r w:rsidRPr="00710110">
        <w:rPr>
          <w:b/>
        </w:rPr>
        <w:t>Hazardous Materials: General Awareness an</w:t>
      </w:r>
      <w:r w:rsidR="002E28D0">
        <w:rPr>
          <w:b/>
        </w:rPr>
        <w:t>d Familiarization Video</w:t>
      </w:r>
    </w:p>
    <w:p w:rsidR="00D5042D" w:rsidRPr="00710110" w:rsidRDefault="00D5042D" w:rsidP="00D5042D">
      <w:pPr>
        <w:ind w:left="720"/>
        <w:rPr>
          <w:b/>
        </w:rPr>
      </w:pPr>
    </w:p>
    <w:p w:rsidR="00F33DF0" w:rsidRPr="00710110" w:rsidRDefault="00D5042D" w:rsidP="00D5042D">
      <w:pPr>
        <w:ind w:left="720"/>
      </w:pPr>
      <w:r w:rsidRPr="00710110">
        <w:t>This video provides basic training for shippers and carriers on how to transport hazardous materials in accordance with US DOT regulations. The video defines hazardous materials</w:t>
      </w:r>
      <w:r w:rsidR="00710110">
        <w:t xml:space="preserve"> </w:t>
      </w:r>
      <w:r w:rsidRPr="00710110">
        <w:t>and provides guidance to recognize and identify hazardous materials. Topics include: hazard classification; packaging, markings, labels and placards; shipping papers; loading, securing and unloading; emergency response information and procedures; and incident reporting requirements.</w:t>
      </w:r>
    </w:p>
    <w:p w:rsidR="00F33DF0" w:rsidRPr="00710110" w:rsidRDefault="00F33DF0" w:rsidP="00D5042D">
      <w:pPr>
        <w:ind w:left="720"/>
      </w:pPr>
    </w:p>
    <w:p w:rsidR="00D5042D" w:rsidRPr="00710110" w:rsidRDefault="002D3086" w:rsidP="00F33DF0">
      <w:pPr>
        <w:pStyle w:val="ListParagraph"/>
        <w:numPr>
          <w:ilvl w:val="0"/>
          <w:numId w:val="10"/>
        </w:numPr>
        <w:rPr>
          <w:b/>
        </w:rPr>
      </w:pPr>
      <w:r w:rsidRPr="00710110">
        <w:rPr>
          <w:b/>
        </w:rPr>
        <w:t>General Awareness / Familiarization Quiz</w:t>
      </w:r>
      <w:r w:rsidR="00D5042D" w:rsidRPr="00710110">
        <w:rPr>
          <w:b/>
        </w:rPr>
        <w:br/>
      </w:r>
    </w:p>
    <w:p w:rsidR="0092574A" w:rsidRPr="00710110" w:rsidRDefault="0092574A" w:rsidP="0092574A">
      <w:pPr>
        <w:rPr>
          <w:b/>
        </w:rPr>
      </w:pPr>
    </w:p>
    <w:p w:rsidR="0092574A" w:rsidRPr="00710110" w:rsidRDefault="0092574A" w:rsidP="0092574A">
      <w:pPr>
        <w:rPr>
          <w:b/>
        </w:rPr>
      </w:pPr>
    </w:p>
    <w:p w:rsidR="0092574A" w:rsidRPr="00710110" w:rsidRDefault="0092574A" w:rsidP="0092574A">
      <w:pPr>
        <w:rPr>
          <w:b/>
        </w:rPr>
      </w:pPr>
    </w:p>
    <w:p w:rsidR="0092574A" w:rsidRPr="00710110" w:rsidRDefault="0092574A" w:rsidP="0092574A">
      <w:r w:rsidRPr="00710110">
        <w:t>Note: Sulfuric Acid SDS in English and Spanish included for reference.</w:t>
      </w:r>
    </w:p>
    <w:p w:rsidR="005145F7" w:rsidRDefault="005145F7" w:rsidP="0092574A"/>
    <w:p w:rsidR="005145F7" w:rsidRDefault="005145F7" w:rsidP="0092574A"/>
    <w:p w:rsidR="005145F7" w:rsidRDefault="005145F7" w:rsidP="0092574A"/>
    <w:p w:rsidR="005145F7" w:rsidRPr="0092574A" w:rsidRDefault="005145F7" w:rsidP="0092574A"/>
    <w:sectPr w:rsidR="005145F7" w:rsidRPr="0092574A" w:rsidSect="005145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25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9FF" w:rsidRDefault="006119FF" w:rsidP="005018F4">
      <w:r>
        <w:separator/>
      </w:r>
    </w:p>
  </w:endnote>
  <w:endnote w:type="continuationSeparator" w:id="0">
    <w:p w:rsidR="006119FF" w:rsidRDefault="006119FF"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BA" w:rsidRDefault="00AA41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92E" w:rsidRDefault="004A592E" w:rsidP="00DB4F37">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4A592E" w:rsidRPr="00540F18" w:rsidRDefault="004A592E" w:rsidP="00DB4F37">
    <w:pPr>
      <w:pStyle w:val="Footer"/>
      <w:jc w:val="center"/>
      <w:rPr>
        <w:sz w:val="16"/>
        <w:szCs w:val="16"/>
      </w:rPr>
    </w:pPr>
    <w:r w:rsidRPr="00540F18">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BA" w:rsidRDefault="00AA4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9FF" w:rsidRDefault="006119FF" w:rsidP="005018F4">
      <w:r>
        <w:separator/>
      </w:r>
    </w:p>
  </w:footnote>
  <w:footnote w:type="continuationSeparator" w:id="0">
    <w:p w:rsidR="006119FF" w:rsidRDefault="006119FF"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BA" w:rsidRDefault="00AA41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2"/>
      <w:gridCol w:w="3900"/>
      <w:gridCol w:w="834"/>
      <w:gridCol w:w="3126"/>
      <w:gridCol w:w="1872"/>
    </w:tblGrid>
    <w:tr w:rsidR="00820201" w:rsidTr="00EA041B">
      <w:trPr>
        <w:trHeight w:val="185"/>
        <w:jc w:val="center"/>
      </w:trPr>
      <w:tc>
        <w:tcPr>
          <w:tcW w:w="184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20201" w:rsidRPr="00D865D7" w:rsidRDefault="00747307" w:rsidP="00676D61">
          <w:pPr>
            <w:jc w:val="center"/>
            <w:rPr>
              <w:b/>
              <w:color w:val="3366FF"/>
              <w:sz w:val="28"/>
              <w:szCs w:val="28"/>
              <w:highlight w:val="lightGray"/>
            </w:rPr>
          </w:pPr>
          <w:r w:rsidRPr="00413316">
            <w:rPr>
              <w:rFonts w:ascii="Tahoma" w:hAnsi="Tahoma" w:cs="Tahoma"/>
              <w:noProof/>
            </w:rPr>
            <w:drawing>
              <wp:inline distT="0" distB="0" distL="0" distR="0">
                <wp:extent cx="1016635" cy="636270"/>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635" cy="636270"/>
                        </a:xfrm>
                        <a:prstGeom prst="rect">
                          <a:avLst/>
                        </a:prstGeom>
                        <a:noFill/>
                        <a:ln>
                          <a:noFill/>
                        </a:ln>
                      </pic:spPr>
                    </pic:pic>
                  </a:graphicData>
                </a:graphic>
              </wp:inline>
            </w:drawing>
          </w:r>
        </w:p>
      </w:tc>
      <w:tc>
        <w:tcPr>
          <w:tcW w:w="7860"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820201" w:rsidRPr="00BF1892" w:rsidRDefault="00820201" w:rsidP="00676D61">
          <w:pPr>
            <w:jc w:val="center"/>
            <w:rPr>
              <w:b/>
              <w:color w:val="3366FF"/>
            </w:rPr>
          </w:pPr>
          <w:r w:rsidRPr="00BF1892">
            <w:rPr>
              <w:b/>
              <w:color w:val="3366FF"/>
            </w:rPr>
            <w:t xml:space="preserve">GILES CHEMICAL ~ PREMIER MAGNESIA </w:t>
          </w:r>
        </w:p>
      </w:tc>
      <w:tc>
        <w:tcPr>
          <w:tcW w:w="1872" w:type="dxa"/>
          <w:vMerge w:val="restart"/>
          <w:tcBorders>
            <w:top w:val="thinThickLargeGap" w:sz="24" w:space="0" w:color="auto"/>
            <w:left w:val="thinThickLargeGap" w:sz="24" w:space="0" w:color="auto"/>
            <w:right w:val="thickThinLargeGap" w:sz="24" w:space="0" w:color="auto"/>
          </w:tcBorders>
          <w:shd w:val="clear" w:color="auto" w:fill="auto"/>
        </w:tcPr>
        <w:p w:rsidR="00820201" w:rsidRPr="00BF1892" w:rsidRDefault="00747307" w:rsidP="00676D61">
          <w:pPr>
            <w:jc w:val="center"/>
            <w:rPr>
              <w:b/>
              <w:color w:val="3366FF"/>
            </w:rPr>
          </w:pPr>
          <w:r w:rsidRPr="00052014">
            <w:rPr>
              <w:noProof/>
            </w:rPr>
            <w:drawing>
              <wp:inline distT="0" distB="0" distL="0" distR="0">
                <wp:extent cx="1038860" cy="723900"/>
                <wp:effectExtent l="0" t="0" r="8890" b="0"/>
                <wp:docPr id="54"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860" cy="723900"/>
                        </a:xfrm>
                        <a:prstGeom prst="rect">
                          <a:avLst/>
                        </a:prstGeom>
                        <a:noFill/>
                        <a:ln>
                          <a:noFill/>
                        </a:ln>
                      </pic:spPr>
                    </pic:pic>
                  </a:graphicData>
                </a:graphic>
              </wp:inline>
            </w:drawing>
          </w:r>
        </w:p>
      </w:tc>
    </w:tr>
    <w:tr w:rsidR="00820201" w:rsidTr="00EA041B">
      <w:trPr>
        <w:trHeight w:val="185"/>
        <w:jc w:val="center"/>
      </w:trPr>
      <w:tc>
        <w:tcPr>
          <w:tcW w:w="1842" w:type="dxa"/>
          <w:vMerge/>
          <w:tcBorders>
            <w:left w:val="thinThickLargeGap" w:sz="24" w:space="0" w:color="auto"/>
            <w:right w:val="thickThinLargeGap" w:sz="24" w:space="0" w:color="auto"/>
          </w:tcBorders>
          <w:shd w:val="clear" w:color="auto" w:fill="auto"/>
          <w:vAlign w:val="center"/>
        </w:tcPr>
        <w:p w:rsidR="00820201" w:rsidRPr="00B72116" w:rsidRDefault="00820201" w:rsidP="00676D61">
          <w:pPr>
            <w:jc w:val="center"/>
          </w:pPr>
        </w:p>
      </w:tc>
      <w:tc>
        <w:tcPr>
          <w:tcW w:w="7860"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820201" w:rsidRPr="00BF1892" w:rsidRDefault="002351DE" w:rsidP="00A22A27">
          <w:pPr>
            <w:jc w:val="center"/>
            <w:rPr>
              <w:b/>
              <w:color w:val="3366FF"/>
            </w:rPr>
          </w:pPr>
          <w:r>
            <w:rPr>
              <w:b/>
              <w:color w:val="3366FF"/>
            </w:rPr>
            <w:t>102 Commerce Street, Waynesville, NC 28786</w:t>
          </w:r>
        </w:p>
      </w:tc>
      <w:tc>
        <w:tcPr>
          <w:tcW w:w="1872" w:type="dxa"/>
          <w:vMerge/>
          <w:tcBorders>
            <w:left w:val="thinThickLargeGap" w:sz="24" w:space="0" w:color="auto"/>
            <w:right w:val="thickThinLargeGap" w:sz="24" w:space="0" w:color="auto"/>
          </w:tcBorders>
          <w:shd w:val="clear" w:color="auto" w:fill="auto"/>
        </w:tcPr>
        <w:p w:rsidR="00820201" w:rsidRPr="00BF1892" w:rsidRDefault="00820201" w:rsidP="00676D61">
          <w:pPr>
            <w:jc w:val="center"/>
            <w:rPr>
              <w:b/>
              <w:color w:val="0000FF"/>
            </w:rPr>
          </w:pPr>
        </w:p>
      </w:tc>
    </w:tr>
    <w:tr w:rsidR="002351DE" w:rsidTr="00EA041B">
      <w:trPr>
        <w:trHeight w:val="185"/>
        <w:jc w:val="center"/>
      </w:trPr>
      <w:tc>
        <w:tcPr>
          <w:tcW w:w="1842" w:type="dxa"/>
          <w:vMerge/>
          <w:tcBorders>
            <w:left w:val="thinThickLargeGap" w:sz="24" w:space="0" w:color="auto"/>
            <w:right w:val="thickThinLargeGap" w:sz="24" w:space="0" w:color="auto"/>
          </w:tcBorders>
          <w:shd w:val="clear" w:color="auto" w:fill="auto"/>
          <w:vAlign w:val="center"/>
        </w:tcPr>
        <w:p w:rsidR="002351DE" w:rsidRPr="00B72116" w:rsidRDefault="002351DE" w:rsidP="00676D61">
          <w:pPr>
            <w:jc w:val="center"/>
          </w:pPr>
        </w:p>
      </w:tc>
      <w:tc>
        <w:tcPr>
          <w:tcW w:w="7860"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2351DE" w:rsidRDefault="002351DE" w:rsidP="00A22A27">
          <w:pPr>
            <w:jc w:val="center"/>
            <w:rPr>
              <w:b/>
              <w:color w:val="3366FF"/>
            </w:rPr>
          </w:pPr>
          <w:r>
            <w:rPr>
              <w:b/>
              <w:color w:val="3366FF"/>
            </w:rPr>
            <w:t>DOT Hazardous Materials Training Program</w:t>
          </w:r>
        </w:p>
      </w:tc>
      <w:tc>
        <w:tcPr>
          <w:tcW w:w="1872" w:type="dxa"/>
          <w:vMerge/>
          <w:tcBorders>
            <w:left w:val="thinThickLargeGap" w:sz="24" w:space="0" w:color="auto"/>
            <w:right w:val="thickThinLargeGap" w:sz="24" w:space="0" w:color="auto"/>
          </w:tcBorders>
          <w:shd w:val="clear" w:color="auto" w:fill="auto"/>
        </w:tcPr>
        <w:p w:rsidR="002351DE" w:rsidRPr="00BF1892" w:rsidRDefault="002351DE" w:rsidP="00676D61">
          <w:pPr>
            <w:jc w:val="center"/>
            <w:rPr>
              <w:b/>
              <w:color w:val="0000FF"/>
            </w:rPr>
          </w:pPr>
        </w:p>
      </w:tc>
    </w:tr>
    <w:tr w:rsidR="00820201" w:rsidRPr="00D865D7" w:rsidTr="00EA041B">
      <w:trPr>
        <w:trHeight w:val="314"/>
        <w:jc w:val="center"/>
      </w:trPr>
      <w:tc>
        <w:tcPr>
          <w:tcW w:w="1842" w:type="dxa"/>
          <w:vMerge/>
          <w:tcBorders>
            <w:left w:val="thinThickLargeGap" w:sz="24" w:space="0" w:color="auto"/>
            <w:right w:val="thickThinLargeGap" w:sz="24" w:space="0" w:color="auto"/>
          </w:tcBorders>
          <w:shd w:val="clear" w:color="auto" w:fill="auto"/>
          <w:vAlign w:val="center"/>
        </w:tcPr>
        <w:p w:rsidR="00820201" w:rsidRPr="00D865D7" w:rsidRDefault="00820201" w:rsidP="00676D61">
          <w:pPr>
            <w:spacing w:line="201" w:lineRule="exact"/>
            <w:rPr>
              <w:color w:val="FF0000"/>
              <w:sz w:val="20"/>
              <w:szCs w:val="20"/>
            </w:rPr>
          </w:pPr>
        </w:p>
      </w:tc>
      <w:tc>
        <w:tcPr>
          <w:tcW w:w="4734" w:type="dxa"/>
          <w:gridSpan w:val="2"/>
          <w:tcBorders>
            <w:top w:val="single" w:sz="4" w:space="0" w:color="auto"/>
            <w:left w:val="thickThinLargeGap" w:sz="24" w:space="0" w:color="auto"/>
            <w:bottom w:val="single" w:sz="4" w:space="0" w:color="auto"/>
            <w:right w:val="nil"/>
          </w:tcBorders>
          <w:shd w:val="clear" w:color="auto" w:fill="auto"/>
          <w:vAlign w:val="center"/>
        </w:tcPr>
        <w:p w:rsidR="00820201" w:rsidRPr="00BF1892" w:rsidRDefault="00820201" w:rsidP="00593540">
          <w:pPr>
            <w:rPr>
              <w:sz w:val="22"/>
              <w:szCs w:val="22"/>
            </w:rPr>
          </w:pPr>
          <w:r w:rsidRPr="00BF1892">
            <w:rPr>
              <w:sz w:val="22"/>
              <w:szCs w:val="22"/>
            </w:rPr>
            <w:t>Title</w:t>
          </w:r>
          <w:r w:rsidR="00322354">
            <w:rPr>
              <w:sz w:val="22"/>
              <w:szCs w:val="22"/>
            </w:rPr>
            <w:t>:</w:t>
          </w:r>
          <w:r w:rsidR="00E2102B">
            <w:rPr>
              <w:sz w:val="22"/>
              <w:szCs w:val="22"/>
            </w:rPr>
            <w:t xml:space="preserve"> </w:t>
          </w:r>
          <w:r w:rsidR="00E2102B" w:rsidRPr="00E2102B">
            <w:rPr>
              <w:color w:val="FF0000"/>
              <w:sz w:val="22"/>
              <w:szCs w:val="22"/>
            </w:rPr>
            <w:t>General Awareness/Familiarization Training</w:t>
          </w:r>
        </w:p>
      </w:tc>
      <w:tc>
        <w:tcPr>
          <w:tcW w:w="3126" w:type="dxa"/>
          <w:tcBorders>
            <w:top w:val="single" w:sz="4" w:space="0" w:color="auto"/>
            <w:left w:val="nil"/>
            <w:bottom w:val="single" w:sz="4" w:space="0" w:color="auto"/>
            <w:right w:val="thinThickLargeGap" w:sz="24" w:space="0" w:color="auto"/>
          </w:tcBorders>
          <w:shd w:val="clear" w:color="auto" w:fill="auto"/>
          <w:vAlign w:val="center"/>
        </w:tcPr>
        <w:p w:rsidR="00820201" w:rsidRPr="00BF1892" w:rsidRDefault="00820201" w:rsidP="002351DE">
          <w:pPr>
            <w:rPr>
              <w:color w:val="FF0000"/>
              <w:sz w:val="22"/>
              <w:szCs w:val="22"/>
            </w:rPr>
          </w:pPr>
          <w:r w:rsidRPr="00BF1892">
            <w:rPr>
              <w:sz w:val="22"/>
              <w:szCs w:val="22"/>
            </w:rPr>
            <w:t>Number:</w:t>
          </w:r>
          <w:r w:rsidRPr="00BF1892">
            <w:rPr>
              <w:color w:val="FF0000"/>
            </w:rPr>
            <w:t xml:space="preserve">  </w:t>
          </w:r>
          <w:r w:rsidR="00AA41BA">
            <w:rPr>
              <w:color w:val="FF0000"/>
            </w:rPr>
            <w:t>S16-PG-3</w:t>
          </w:r>
          <w:r w:rsidR="00E2102B">
            <w:rPr>
              <w:color w:val="FF0000"/>
            </w:rPr>
            <w:t>00-</w:t>
          </w:r>
          <w:r w:rsidR="00AA41BA">
            <w:rPr>
              <w:color w:val="FF0000"/>
            </w:rPr>
            <w:t>0</w:t>
          </w:r>
          <w:r w:rsidR="005145F7">
            <w:rPr>
              <w:color w:val="FF0000"/>
            </w:rPr>
            <w:t>0</w:t>
          </w:r>
          <w:r w:rsidR="00AA41BA">
            <w:rPr>
              <w:color w:val="FF0000"/>
            </w:rPr>
            <w:t>2</w:t>
          </w:r>
        </w:p>
      </w:tc>
      <w:tc>
        <w:tcPr>
          <w:tcW w:w="1872" w:type="dxa"/>
          <w:vMerge/>
          <w:tcBorders>
            <w:left w:val="thinThickLargeGap" w:sz="24" w:space="0" w:color="auto"/>
            <w:right w:val="thickThinLargeGap" w:sz="24" w:space="0" w:color="auto"/>
          </w:tcBorders>
          <w:shd w:val="clear" w:color="auto" w:fill="auto"/>
        </w:tcPr>
        <w:p w:rsidR="00820201" w:rsidRPr="00BF1892" w:rsidRDefault="00820201" w:rsidP="00676D61">
          <w:pPr>
            <w:jc w:val="center"/>
            <w:rPr>
              <w:color w:val="FF0000"/>
              <w:sz w:val="16"/>
              <w:szCs w:val="16"/>
            </w:rPr>
          </w:pPr>
        </w:p>
      </w:tc>
    </w:tr>
    <w:tr w:rsidR="00820201" w:rsidRPr="00D865D7" w:rsidTr="00EA041B">
      <w:trPr>
        <w:trHeight w:val="102"/>
        <w:jc w:val="center"/>
      </w:trPr>
      <w:tc>
        <w:tcPr>
          <w:tcW w:w="1842" w:type="dxa"/>
          <w:vMerge/>
          <w:tcBorders>
            <w:left w:val="thinThickLargeGap" w:sz="24" w:space="0" w:color="auto"/>
            <w:bottom w:val="nil"/>
            <w:right w:val="thickThinLargeGap" w:sz="24" w:space="0" w:color="auto"/>
          </w:tcBorders>
          <w:shd w:val="clear" w:color="auto" w:fill="auto"/>
        </w:tcPr>
        <w:p w:rsidR="00820201" w:rsidRPr="00D865D7" w:rsidRDefault="00820201" w:rsidP="00676D61">
          <w:pPr>
            <w:rPr>
              <w:sz w:val="20"/>
              <w:szCs w:val="20"/>
            </w:rPr>
          </w:pPr>
        </w:p>
      </w:tc>
      <w:tc>
        <w:tcPr>
          <w:tcW w:w="3900" w:type="dxa"/>
          <w:tcBorders>
            <w:top w:val="single" w:sz="4" w:space="0" w:color="auto"/>
            <w:left w:val="thickThinLargeGap" w:sz="24" w:space="0" w:color="auto"/>
            <w:bottom w:val="single" w:sz="4" w:space="0" w:color="auto"/>
            <w:right w:val="nil"/>
          </w:tcBorders>
          <w:shd w:val="clear" w:color="auto" w:fill="auto"/>
          <w:vAlign w:val="bottom"/>
        </w:tcPr>
        <w:p w:rsidR="00820201" w:rsidRPr="00F11BD5" w:rsidRDefault="00820201" w:rsidP="00593540">
          <w:pPr>
            <w:rPr>
              <w:sz w:val="22"/>
              <w:szCs w:val="22"/>
            </w:rPr>
          </w:pPr>
          <w:r w:rsidRPr="00F11BD5">
            <w:rPr>
              <w:sz w:val="22"/>
              <w:szCs w:val="22"/>
            </w:rPr>
            <w:t>Owner:</w:t>
          </w:r>
          <w:r w:rsidRPr="002E2D1F">
            <w:rPr>
              <w:color w:val="FF0000"/>
            </w:rPr>
            <w:t xml:space="preserve">  </w:t>
          </w:r>
          <w:r w:rsidR="002351DE" w:rsidRPr="00E2102B">
            <w:rPr>
              <w:color w:val="FF0000"/>
              <w:sz w:val="22"/>
              <w:szCs w:val="22"/>
            </w:rPr>
            <w:t>Deborah Durbin</w:t>
          </w:r>
        </w:p>
      </w:tc>
      <w:tc>
        <w:tcPr>
          <w:tcW w:w="834" w:type="dxa"/>
          <w:tcBorders>
            <w:top w:val="single" w:sz="4" w:space="0" w:color="auto"/>
            <w:left w:val="nil"/>
            <w:bottom w:val="single" w:sz="4" w:space="0" w:color="auto"/>
            <w:right w:val="nil"/>
          </w:tcBorders>
          <w:shd w:val="clear" w:color="auto" w:fill="auto"/>
          <w:vAlign w:val="bottom"/>
        </w:tcPr>
        <w:p w:rsidR="00820201" w:rsidRPr="00BF1892" w:rsidRDefault="00820201" w:rsidP="00676D61">
          <w:pPr>
            <w:rPr>
              <w:color w:val="000000"/>
              <w:sz w:val="22"/>
              <w:szCs w:val="22"/>
            </w:rPr>
          </w:pPr>
        </w:p>
      </w:tc>
      <w:tc>
        <w:tcPr>
          <w:tcW w:w="3126" w:type="dxa"/>
          <w:tcBorders>
            <w:top w:val="single" w:sz="4" w:space="0" w:color="auto"/>
            <w:left w:val="nil"/>
            <w:bottom w:val="single" w:sz="4" w:space="0" w:color="auto"/>
            <w:right w:val="thinThickLargeGap" w:sz="24" w:space="0" w:color="auto"/>
          </w:tcBorders>
          <w:shd w:val="clear" w:color="auto" w:fill="auto"/>
          <w:vAlign w:val="bottom"/>
        </w:tcPr>
        <w:p w:rsidR="00820201" w:rsidRPr="00BF1892" w:rsidRDefault="00820201" w:rsidP="00593540">
          <w:pPr>
            <w:rPr>
              <w:sz w:val="22"/>
              <w:szCs w:val="22"/>
            </w:rPr>
          </w:pPr>
          <w:r w:rsidRPr="00BF1892">
            <w:rPr>
              <w:sz w:val="22"/>
              <w:szCs w:val="22"/>
            </w:rPr>
            <w:t>Revision:</w:t>
          </w:r>
          <w:r w:rsidR="002351DE">
            <w:rPr>
              <w:sz w:val="22"/>
              <w:szCs w:val="22"/>
            </w:rPr>
            <w:t xml:space="preserve"> </w:t>
          </w:r>
          <w:r w:rsidRPr="00BF1892">
            <w:rPr>
              <w:color w:val="FF0000"/>
            </w:rPr>
            <w:t xml:space="preserve"> </w:t>
          </w:r>
          <w:r w:rsidR="00593540">
            <w:rPr>
              <w:color w:val="FF0000"/>
            </w:rPr>
            <w:t>0</w:t>
          </w:r>
        </w:p>
      </w:tc>
      <w:tc>
        <w:tcPr>
          <w:tcW w:w="1872" w:type="dxa"/>
          <w:vMerge/>
          <w:tcBorders>
            <w:left w:val="thinThickLargeGap" w:sz="24" w:space="0" w:color="auto"/>
            <w:bottom w:val="nil"/>
            <w:right w:val="thickThinLargeGap" w:sz="24" w:space="0" w:color="auto"/>
          </w:tcBorders>
          <w:shd w:val="clear" w:color="auto" w:fill="auto"/>
        </w:tcPr>
        <w:p w:rsidR="00820201" w:rsidRPr="00BF1892" w:rsidRDefault="00820201" w:rsidP="00676D61">
          <w:pPr>
            <w:jc w:val="center"/>
            <w:rPr>
              <w:sz w:val="20"/>
              <w:szCs w:val="20"/>
            </w:rPr>
          </w:pPr>
        </w:p>
      </w:tc>
    </w:tr>
    <w:tr w:rsidR="00820201" w:rsidRPr="00D865D7" w:rsidTr="00EA041B">
      <w:trPr>
        <w:trHeight w:val="102"/>
        <w:jc w:val="center"/>
      </w:trPr>
      <w:tc>
        <w:tcPr>
          <w:tcW w:w="1842" w:type="dxa"/>
          <w:tcBorders>
            <w:top w:val="nil"/>
            <w:left w:val="thinThickLargeGap" w:sz="24" w:space="0" w:color="auto"/>
            <w:bottom w:val="thickThinLargeGap" w:sz="24" w:space="0" w:color="auto"/>
            <w:right w:val="thickThinLargeGap" w:sz="24" w:space="0" w:color="auto"/>
          </w:tcBorders>
          <w:shd w:val="clear" w:color="auto" w:fill="auto"/>
        </w:tcPr>
        <w:p w:rsidR="00820201" w:rsidRPr="00D865D7" w:rsidRDefault="00820201" w:rsidP="00676D61">
          <w:pPr>
            <w:rPr>
              <w:sz w:val="20"/>
              <w:szCs w:val="20"/>
            </w:rPr>
          </w:pPr>
        </w:p>
      </w:tc>
      <w:tc>
        <w:tcPr>
          <w:tcW w:w="3900" w:type="dxa"/>
          <w:tcBorders>
            <w:top w:val="single" w:sz="4" w:space="0" w:color="auto"/>
            <w:left w:val="thickThinLargeGap" w:sz="24" w:space="0" w:color="auto"/>
            <w:bottom w:val="thickThinLargeGap" w:sz="24" w:space="0" w:color="auto"/>
            <w:right w:val="nil"/>
          </w:tcBorders>
          <w:shd w:val="clear" w:color="auto" w:fill="auto"/>
          <w:vAlign w:val="bottom"/>
        </w:tcPr>
        <w:p w:rsidR="00820201" w:rsidRPr="00F11BD5" w:rsidRDefault="00820201" w:rsidP="00593540">
          <w:pPr>
            <w:rPr>
              <w:sz w:val="22"/>
              <w:szCs w:val="22"/>
            </w:rPr>
          </w:pPr>
          <w:r w:rsidRPr="00F11BD5">
            <w:rPr>
              <w:sz w:val="22"/>
              <w:szCs w:val="22"/>
            </w:rPr>
            <w:t xml:space="preserve"> Date:</w:t>
          </w:r>
          <w:r w:rsidRPr="002E2D1F">
            <w:rPr>
              <w:color w:val="FF0000"/>
            </w:rPr>
            <w:t xml:space="preserve">  </w:t>
          </w:r>
          <w:r w:rsidR="00E2102B">
            <w:rPr>
              <w:color w:val="FF0000"/>
            </w:rPr>
            <w:t>08/01/16</w:t>
          </w:r>
        </w:p>
      </w:tc>
      <w:tc>
        <w:tcPr>
          <w:tcW w:w="834" w:type="dxa"/>
          <w:tcBorders>
            <w:top w:val="single" w:sz="4" w:space="0" w:color="auto"/>
            <w:left w:val="nil"/>
            <w:bottom w:val="thickThinLargeGap" w:sz="24" w:space="0" w:color="auto"/>
            <w:right w:val="nil"/>
          </w:tcBorders>
          <w:shd w:val="clear" w:color="auto" w:fill="auto"/>
          <w:vAlign w:val="bottom"/>
        </w:tcPr>
        <w:p w:rsidR="00820201" w:rsidRPr="00BF1892" w:rsidRDefault="00820201" w:rsidP="00676D61">
          <w:pPr>
            <w:rPr>
              <w:color w:val="000000"/>
              <w:sz w:val="22"/>
              <w:szCs w:val="22"/>
            </w:rPr>
          </w:pPr>
        </w:p>
      </w:tc>
      <w:tc>
        <w:tcPr>
          <w:tcW w:w="3126" w:type="dxa"/>
          <w:tcBorders>
            <w:top w:val="single" w:sz="4" w:space="0" w:color="auto"/>
            <w:left w:val="nil"/>
            <w:bottom w:val="thickThinLargeGap" w:sz="24" w:space="0" w:color="auto"/>
            <w:right w:val="thinThickLargeGap" w:sz="24" w:space="0" w:color="auto"/>
          </w:tcBorders>
          <w:shd w:val="clear" w:color="auto" w:fill="auto"/>
          <w:vAlign w:val="bottom"/>
        </w:tcPr>
        <w:p w:rsidR="005145F7" w:rsidRPr="005145F7" w:rsidRDefault="00820201" w:rsidP="005145F7">
          <w:pPr>
            <w:rPr>
              <w:color w:val="FF0000"/>
              <w:sz w:val="22"/>
              <w:szCs w:val="22"/>
            </w:rPr>
          </w:pPr>
          <w:r w:rsidRPr="005145F7">
            <w:rPr>
              <w:sz w:val="22"/>
              <w:szCs w:val="22"/>
            </w:rPr>
            <w:t>Page:</w:t>
          </w:r>
          <w:r w:rsidRPr="005145F7">
            <w:rPr>
              <w:color w:val="FF0000"/>
              <w:sz w:val="22"/>
              <w:szCs w:val="22"/>
            </w:rPr>
            <w:t xml:space="preserve">  </w:t>
          </w:r>
          <w:r w:rsidR="005145F7" w:rsidRPr="0017422E">
            <w:rPr>
              <w:color w:val="FF0000"/>
              <w:sz w:val="22"/>
              <w:szCs w:val="22"/>
            </w:rPr>
            <w:fldChar w:fldCharType="begin"/>
          </w:r>
          <w:r w:rsidR="005145F7" w:rsidRPr="0017422E">
            <w:rPr>
              <w:color w:val="FF0000"/>
              <w:sz w:val="22"/>
              <w:szCs w:val="22"/>
            </w:rPr>
            <w:instrText xml:space="preserve"> PAGE </w:instrText>
          </w:r>
          <w:r w:rsidR="005145F7" w:rsidRPr="0017422E">
            <w:rPr>
              <w:color w:val="FF0000"/>
              <w:sz w:val="22"/>
              <w:szCs w:val="22"/>
            </w:rPr>
            <w:fldChar w:fldCharType="separate"/>
          </w:r>
          <w:r w:rsidR="00617AEA">
            <w:rPr>
              <w:noProof/>
              <w:color w:val="FF0000"/>
              <w:sz w:val="22"/>
              <w:szCs w:val="22"/>
            </w:rPr>
            <w:t>1</w:t>
          </w:r>
          <w:r w:rsidR="005145F7" w:rsidRPr="0017422E">
            <w:rPr>
              <w:color w:val="FF0000"/>
              <w:sz w:val="22"/>
              <w:szCs w:val="22"/>
            </w:rPr>
            <w:fldChar w:fldCharType="end"/>
          </w:r>
          <w:r w:rsidR="005145F7" w:rsidRPr="0017422E">
            <w:rPr>
              <w:color w:val="FF0000"/>
              <w:sz w:val="22"/>
              <w:szCs w:val="22"/>
            </w:rPr>
            <w:t xml:space="preserve"> of </w:t>
          </w:r>
          <w:r w:rsidR="005145F7" w:rsidRPr="0017422E">
            <w:rPr>
              <w:rStyle w:val="PageNumber"/>
              <w:color w:val="FF0000"/>
              <w:sz w:val="22"/>
              <w:szCs w:val="22"/>
            </w:rPr>
            <w:fldChar w:fldCharType="begin"/>
          </w:r>
          <w:r w:rsidR="005145F7" w:rsidRPr="0017422E">
            <w:rPr>
              <w:rStyle w:val="PageNumber"/>
              <w:color w:val="FF0000"/>
              <w:sz w:val="22"/>
              <w:szCs w:val="22"/>
            </w:rPr>
            <w:instrText xml:space="preserve"> NUMPAGES </w:instrText>
          </w:r>
          <w:r w:rsidR="005145F7" w:rsidRPr="0017422E">
            <w:rPr>
              <w:rStyle w:val="PageNumber"/>
              <w:color w:val="FF0000"/>
              <w:sz w:val="22"/>
              <w:szCs w:val="22"/>
            </w:rPr>
            <w:fldChar w:fldCharType="separate"/>
          </w:r>
          <w:r w:rsidR="00617AEA">
            <w:rPr>
              <w:rStyle w:val="PageNumber"/>
              <w:noProof/>
              <w:color w:val="FF0000"/>
              <w:sz w:val="22"/>
              <w:szCs w:val="22"/>
            </w:rPr>
            <w:t>1</w:t>
          </w:r>
          <w:r w:rsidR="005145F7" w:rsidRPr="0017422E">
            <w:rPr>
              <w:rStyle w:val="PageNumber"/>
              <w:color w:val="FF0000"/>
              <w:sz w:val="22"/>
              <w:szCs w:val="22"/>
            </w:rPr>
            <w:fldChar w:fldCharType="end"/>
          </w:r>
        </w:p>
      </w:tc>
      <w:tc>
        <w:tcPr>
          <w:tcW w:w="1872" w:type="dxa"/>
          <w:tcBorders>
            <w:top w:val="nil"/>
            <w:left w:val="thinThickLargeGap" w:sz="24" w:space="0" w:color="auto"/>
            <w:bottom w:val="thickThinLargeGap" w:sz="24" w:space="0" w:color="auto"/>
            <w:right w:val="thickThinLargeGap" w:sz="24" w:space="0" w:color="auto"/>
          </w:tcBorders>
          <w:shd w:val="clear" w:color="auto" w:fill="auto"/>
        </w:tcPr>
        <w:p w:rsidR="00820201" w:rsidRPr="00BF1892" w:rsidRDefault="00820201" w:rsidP="00676D61">
          <w:pPr>
            <w:jc w:val="center"/>
            <w:rPr>
              <w:sz w:val="20"/>
              <w:szCs w:val="20"/>
            </w:rPr>
          </w:pPr>
        </w:p>
      </w:tc>
    </w:tr>
  </w:tbl>
  <w:p w:rsidR="00820201" w:rsidRDefault="008202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1BA" w:rsidRDefault="00AA4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F5228"/>
    <w:multiLevelType w:val="hybridMultilevel"/>
    <w:tmpl w:val="1F78AFAC"/>
    <w:lvl w:ilvl="0" w:tplc="DFCE8C8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F2988"/>
    <w:multiLevelType w:val="hybridMultilevel"/>
    <w:tmpl w:val="16DC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A50FD"/>
    <w:multiLevelType w:val="hybridMultilevel"/>
    <w:tmpl w:val="8956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E47B4"/>
    <w:multiLevelType w:val="hybridMultilevel"/>
    <w:tmpl w:val="33129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D353C"/>
    <w:multiLevelType w:val="multilevel"/>
    <w:tmpl w:val="DA54478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93B1A84"/>
    <w:multiLevelType w:val="hybridMultilevel"/>
    <w:tmpl w:val="C10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C7388"/>
    <w:multiLevelType w:val="hybridMultilevel"/>
    <w:tmpl w:val="8B5CBC8C"/>
    <w:lvl w:ilvl="0" w:tplc="D6F2AD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034DF2"/>
    <w:multiLevelType w:val="hybridMultilevel"/>
    <w:tmpl w:val="E89A2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2"/>
  </w:num>
  <w:num w:numId="7">
    <w:abstractNumId w:val="3"/>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4"/>
    <w:rsid w:val="00012BE8"/>
    <w:rsid w:val="000237B4"/>
    <w:rsid w:val="0002421C"/>
    <w:rsid w:val="00055239"/>
    <w:rsid w:val="00063759"/>
    <w:rsid w:val="00065995"/>
    <w:rsid w:val="00066844"/>
    <w:rsid w:val="000B05C1"/>
    <w:rsid w:val="000C4E1C"/>
    <w:rsid w:val="000D0F9B"/>
    <w:rsid w:val="000E0314"/>
    <w:rsid w:val="0014032C"/>
    <w:rsid w:val="001724B9"/>
    <w:rsid w:val="00180046"/>
    <w:rsid w:val="00181E8C"/>
    <w:rsid w:val="00196AB2"/>
    <w:rsid w:val="001B1CC7"/>
    <w:rsid w:val="001B6864"/>
    <w:rsid w:val="001C2FDC"/>
    <w:rsid w:val="001D345D"/>
    <w:rsid w:val="001D6F69"/>
    <w:rsid w:val="001F6FB1"/>
    <w:rsid w:val="00231B38"/>
    <w:rsid w:val="0023339D"/>
    <w:rsid w:val="002351DE"/>
    <w:rsid w:val="00246F9D"/>
    <w:rsid w:val="0025260E"/>
    <w:rsid w:val="00260EEB"/>
    <w:rsid w:val="00296BA6"/>
    <w:rsid w:val="00297A53"/>
    <w:rsid w:val="002B4C16"/>
    <w:rsid w:val="002D3086"/>
    <w:rsid w:val="002E28D0"/>
    <w:rsid w:val="002E2D1F"/>
    <w:rsid w:val="00312CD8"/>
    <w:rsid w:val="00322354"/>
    <w:rsid w:val="00324BD4"/>
    <w:rsid w:val="00340BD6"/>
    <w:rsid w:val="003606C8"/>
    <w:rsid w:val="003A045B"/>
    <w:rsid w:val="003A6E94"/>
    <w:rsid w:val="003B1477"/>
    <w:rsid w:val="003B2250"/>
    <w:rsid w:val="003B6693"/>
    <w:rsid w:val="0040389A"/>
    <w:rsid w:val="004058BD"/>
    <w:rsid w:val="00420C21"/>
    <w:rsid w:val="00435E77"/>
    <w:rsid w:val="004561A7"/>
    <w:rsid w:val="00463DF6"/>
    <w:rsid w:val="004750C0"/>
    <w:rsid w:val="00475153"/>
    <w:rsid w:val="00481662"/>
    <w:rsid w:val="004A592E"/>
    <w:rsid w:val="004D1460"/>
    <w:rsid w:val="004E21A2"/>
    <w:rsid w:val="004E5A72"/>
    <w:rsid w:val="005018F4"/>
    <w:rsid w:val="005104FF"/>
    <w:rsid w:val="0051158D"/>
    <w:rsid w:val="005145F7"/>
    <w:rsid w:val="00540D9A"/>
    <w:rsid w:val="00567561"/>
    <w:rsid w:val="00576143"/>
    <w:rsid w:val="00593540"/>
    <w:rsid w:val="00596C34"/>
    <w:rsid w:val="005B2604"/>
    <w:rsid w:val="005B4111"/>
    <w:rsid w:val="005E3CC8"/>
    <w:rsid w:val="005F4FB4"/>
    <w:rsid w:val="006119FF"/>
    <w:rsid w:val="00617AEA"/>
    <w:rsid w:val="00646569"/>
    <w:rsid w:val="00653594"/>
    <w:rsid w:val="0065400C"/>
    <w:rsid w:val="00661E68"/>
    <w:rsid w:val="00662056"/>
    <w:rsid w:val="00676D61"/>
    <w:rsid w:val="006C488B"/>
    <w:rsid w:val="006E11C1"/>
    <w:rsid w:val="006F2F56"/>
    <w:rsid w:val="0071006E"/>
    <w:rsid w:val="00710110"/>
    <w:rsid w:val="007126A1"/>
    <w:rsid w:val="00742C10"/>
    <w:rsid w:val="00747307"/>
    <w:rsid w:val="00770F6E"/>
    <w:rsid w:val="007818D1"/>
    <w:rsid w:val="00783193"/>
    <w:rsid w:val="007862E6"/>
    <w:rsid w:val="007F1251"/>
    <w:rsid w:val="00820201"/>
    <w:rsid w:val="008460A5"/>
    <w:rsid w:val="00860032"/>
    <w:rsid w:val="00862B2E"/>
    <w:rsid w:val="00862CC3"/>
    <w:rsid w:val="008656B2"/>
    <w:rsid w:val="0087625A"/>
    <w:rsid w:val="00881FA0"/>
    <w:rsid w:val="008876A5"/>
    <w:rsid w:val="008C6CF1"/>
    <w:rsid w:val="008E0111"/>
    <w:rsid w:val="0092574A"/>
    <w:rsid w:val="00926DAF"/>
    <w:rsid w:val="009428F9"/>
    <w:rsid w:val="00945A7F"/>
    <w:rsid w:val="00951F5B"/>
    <w:rsid w:val="009523E5"/>
    <w:rsid w:val="009557EF"/>
    <w:rsid w:val="00964E4C"/>
    <w:rsid w:val="00983468"/>
    <w:rsid w:val="009B01CD"/>
    <w:rsid w:val="009C7F2E"/>
    <w:rsid w:val="009F506D"/>
    <w:rsid w:val="00A1207E"/>
    <w:rsid w:val="00A16E59"/>
    <w:rsid w:val="00A22A27"/>
    <w:rsid w:val="00A256AB"/>
    <w:rsid w:val="00A7467C"/>
    <w:rsid w:val="00A8178A"/>
    <w:rsid w:val="00AA41BA"/>
    <w:rsid w:val="00AA49E7"/>
    <w:rsid w:val="00AC5F19"/>
    <w:rsid w:val="00B11F49"/>
    <w:rsid w:val="00B30CA8"/>
    <w:rsid w:val="00B41671"/>
    <w:rsid w:val="00B51D6E"/>
    <w:rsid w:val="00B532A0"/>
    <w:rsid w:val="00B6620E"/>
    <w:rsid w:val="00B752F7"/>
    <w:rsid w:val="00B83665"/>
    <w:rsid w:val="00B91C7C"/>
    <w:rsid w:val="00BD637D"/>
    <w:rsid w:val="00BE39DF"/>
    <w:rsid w:val="00BF05FC"/>
    <w:rsid w:val="00BF1892"/>
    <w:rsid w:val="00BF2E3E"/>
    <w:rsid w:val="00BF2EBA"/>
    <w:rsid w:val="00C03E09"/>
    <w:rsid w:val="00C07436"/>
    <w:rsid w:val="00C27F13"/>
    <w:rsid w:val="00C37649"/>
    <w:rsid w:val="00C41FFF"/>
    <w:rsid w:val="00C54EDB"/>
    <w:rsid w:val="00C71849"/>
    <w:rsid w:val="00C82E95"/>
    <w:rsid w:val="00C968A4"/>
    <w:rsid w:val="00CA010A"/>
    <w:rsid w:val="00CB130E"/>
    <w:rsid w:val="00CC2E3D"/>
    <w:rsid w:val="00CC4B7B"/>
    <w:rsid w:val="00CD45B3"/>
    <w:rsid w:val="00CE6AFE"/>
    <w:rsid w:val="00D1453D"/>
    <w:rsid w:val="00D47742"/>
    <w:rsid w:val="00D5042D"/>
    <w:rsid w:val="00D53A8F"/>
    <w:rsid w:val="00D55D85"/>
    <w:rsid w:val="00D5723B"/>
    <w:rsid w:val="00D6552F"/>
    <w:rsid w:val="00D656FB"/>
    <w:rsid w:val="00DB4F37"/>
    <w:rsid w:val="00DC178F"/>
    <w:rsid w:val="00DD768D"/>
    <w:rsid w:val="00DE361B"/>
    <w:rsid w:val="00DE5FBA"/>
    <w:rsid w:val="00DE79DB"/>
    <w:rsid w:val="00DF5F6E"/>
    <w:rsid w:val="00E033F4"/>
    <w:rsid w:val="00E0752C"/>
    <w:rsid w:val="00E13A64"/>
    <w:rsid w:val="00E15BB3"/>
    <w:rsid w:val="00E2102B"/>
    <w:rsid w:val="00E243D1"/>
    <w:rsid w:val="00E31977"/>
    <w:rsid w:val="00E43933"/>
    <w:rsid w:val="00E456C0"/>
    <w:rsid w:val="00E62DF7"/>
    <w:rsid w:val="00E74916"/>
    <w:rsid w:val="00E8338F"/>
    <w:rsid w:val="00E83C05"/>
    <w:rsid w:val="00E85D12"/>
    <w:rsid w:val="00EA041B"/>
    <w:rsid w:val="00EA4D94"/>
    <w:rsid w:val="00EB5DDC"/>
    <w:rsid w:val="00EC764C"/>
    <w:rsid w:val="00EE1837"/>
    <w:rsid w:val="00EF761F"/>
    <w:rsid w:val="00F11BD5"/>
    <w:rsid w:val="00F14BB5"/>
    <w:rsid w:val="00F33DF0"/>
    <w:rsid w:val="00F715AE"/>
    <w:rsid w:val="00FB24A7"/>
    <w:rsid w:val="00FC7888"/>
    <w:rsid w:val="00FE7B25"/>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chartTrackingRefBased/>
  <w15:docId w15:val="{5C22FD7E-F126-4A20-BBE9-6251875F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F4"/>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E83C05"/>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lang w:val="x-none" w:eastAsia="x-none"/>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character" w:styleId="Hyperlink">
    <w:name w:val="Hyperlink"/>
    <w:rsid w:val="00DE361B"/>
    <w:rPr>
      <w:color w:val="0000FF"/>
      <w:u w:val="single"/>
    </w:rPr>
  </w:style>
  <w:style w:type="character" w:customStyle="1" w:styleId="Heading2Char">
    <w:name w:val="Heading 2 Char"/>
    <w:link w:val="Heading2"/>
    <w:uiPriority w:val="9"/>
    <w:rsid w:val="00E83C05"/>
    <w:rPr>
      <w:rFonts w:ascii="Cambria" w:eastAsia="Times New Roman" w:hAnsi="Cambria" w:cs="Times New Roman"/>
      <w:b/>
      <w:bCs/>
      <w:i/>
      <w:iCs/>
      <w:sz w:val="28"/>
      <w:szCs w:val="28"/>
    </w:rPr>
  </w:style>
  <w:style w:type="table" w:styleId="TableGrid">
    <w:name w:val="Table Grid"/>
    <w:basedOn w:val="TableNormal"/>
    <w:uiPriority w:val="59"/>
    <w:rsid w:val="00EB5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72714">
      <w:bodyDiv w:val="1"/>
      <w:marLeft w:val="0"/>
      <w:marRight w:val="0"/>
      <w:marTop w:val="0"/>
      <w:marBottom w:val="0"/>
      <w:divBdr>
        <w:top w:val="none" w:sz="0" w:space="0" w:color="auto"/>
        <w:left w:val="none" w:sz="0" w:space="0" w:color="auto"/>
        <w:bottom w:val="none" w:sz="0" w:space="0" w:color="auto"/>
        <w:right w:val="none" w:sz="0" w:space="0" w:color="auto"/>
      </w:divBdr>
    </w:div>
    <w:div w:id="17523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658085-3197-413E-9045-32CA23B1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Rick Hall</cp:lastModifiedBy>
  <cp:revision>5</cp:revision>
  <cp:lastPrinted>2016-08-10T13:22:00Z</cp:lastPrinted>
  <dcterms:created xsi:type="dcterms:W3CDTF">2016-08-04T21:18:00Z</dcterms:created>
  <dcterms:modified xsi:type="dcterms:W3CDTF">2016-08-10T21:20:00Z</dcterms:modified>
</cp:coreProperties>
</file>