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rFonts w:ascii="Heiti SC" w:hAnsi="Heiti SC"/>
          <w:b/>
          <w:color w:val="1E3456"/>
          <w:sz w:val="64"/>
        </w:rPr>
        <w:t>履  历  星  图</w:t>
      </w:r>
    </w:p>
    <w:p>
      <w:pPr>
        <w:jc w:val="center"/>
      </w:pPr>
      <w:r>
        <w:rPr>
          <w:rFonts w:ascii="Heiti SC" w:hAnsi="Heiti SC"/>
          <w:color w:val="17858F"/>
          <w:sz w:val="38"/>
        </w:rPr>
        <w:t>AI 驱动的多模态求职能力平台</w:t>
      </w:r>
    </w:p>
    <w:p>
      <w:r>
        <w:br/>
      </w:r>
    </w:p>
    <w:p>
      <w:pPr>
        <w:pStyle w:val="Title"/>
        <w:jc w:val="center"/>
      </w:pPr>
      <w:r>
        <w:t>项目说明文档 · 竞赛展示版</w:t>
      </w:r>
    </w:p>
    <w:p>
      <w:pPr>
        <w:jc w:val="center"/>
      </w:pPr>
      <w:r>
        <w:t>从智能简历创作到沉浸式语音面试的完整求职闭环</w:t>
      </w:r>
    </w:p>
    <w:p>
      <w:r>
        <w:br/>
        <w:br/>
        <w:br/>
      </w:r>
    </w:p>
    <w:tbl>
      <w:tblPr>
        <w:tblStyle w:val="TableGrid"/>
        <w:tblW w:type="auto" w:w="0"/>
        <w:jc w:val="center"/>
        <w:tblLook w:firstColumn="1" w:firstRow="1" w:lastColumn="0" w:lastRow="0" w:noHBand="0" w:noVBand="1" w:val="04A0"/>
      </w:tblPr>
      <w:tblGrid>
        <w:gridCol w:w="4578"/>
        <w:gridCol w:w="4578"/>
      </w:tblGrid>
      <w:tr>
        <w:trPr>
          <w:cantSplit/>
          <w:tblHeader/>
        </w:trPr>
        <w:tc>
          <w:tcPr>
            <w:tcW w:type="dxa" w:w="2268"/>
            <w:vAlign w:val="center"/>
            <w:shd w:fill="DDEAF6"/>
          </w:tcPr>
          <w:p>
            <w:pPr>
              <w:spacing w:after="40" w:before="40" w:line="278" w:lineRule="auto"/>
            </w:pPr>
            <w:r>
              <w:rPr>
                <w:b/>
                <w:sz w:val="18"/>
              </w:rPr>
              <w:t>项目定位</w:t>
            </w:r>
          </w:p>
        </w:tc>
        <w:tc>
          <w:tcPr>
            <w:tcW w:type="dxa" w:w="6350"/>
            <w:vAlign w:val="center"/>
            <w:shd w:fill="DDEAF6"/>
          </w:tcPr>
          <w:p>
            <w:pPr>
              <w:spacing w:after="40" w:before="40" w:line="278" w:lineRule="auto"/>
            </w:pPr>
            <w:r>
              <w:rPr>
                <w:b/>
                <w:sz w:val="18"/>
              </w:rPr>
              <w:t>技术关键词</w:t>
            </w:r>
          </w:p>
        </w:tc>
      </w:tr>
      <w:tr>
        <w:trPr>
          <w:cantSplit/>
        </w:trPr>
        <w:tc>
          <w:tcPr>
            <w:tcW w:type="dxa" w:w="2268"/>
            <w:vAlign w:val="center"/>
          </w:tcPr>
          <w:p>
            <w:pPr>
              <w:spacing w:after="40" w:before="40" w:line="278" w:lineRule="auto"/>
            </w:pPr>
            <w:r>
              <w:rPr>
                <w:sz w:val="18"/>
              </w:rPr>
              <w:t>智能简历 + AI 面试</w:t>
            </w:r>
          </w:p>
        </w:tc>
        <w:tc>
          <w:tcPr>
            <w:tcW w:type="dxa" w:w="6350"/>
            <w:vAlign w:val="center"/>
          </w:tcPr>
          <w:p>
            <w:pPr>
              <w:spacing w:after="40" w:before="40" w:line="278" w:lineRule="auto"/>
            </w:pPr>
            <w:r>
              <w:rPr>
                <w:sz w:val="18"/>
              </w:rPr>
              <w:t>Vue 3 / Spring Boot / MySQL / 大模型 / Web Audio / ASR / TTS</w:t>
            </w:r>
          </w:p>
        </w:tc>
      </w:tr>
      <w:tr>
        <w:trPr>
          <w:cantSplit/>
        </w:trPr>
        <w:tc>
          <w:tcPr>
            <w:tcW w:type="dxa" w:w="2268"/>
            <w:vAlign w:val="center"/>
          </w:tcPr>
          <w:p>
            <w:pPr>
              <w:spacing w:after="40" w:before="40" w:line="278" w:lineRule="auto"/>
            </w:pPr>
            <w:r>
              <w:rPr>
                <w:sz w:val="18"/>
              </w:rPr>
              <w:t>面向场景</w:t>
            </w:r>
          </w:p>
        </w:tc>
        <w:tc>
          <w:tcPr>
            <w:tcW w:type="dxa" w:w="6350"/>
            <w:vAlign w:val="center"/>
          </w:tcPr>
          <w:p>
            <w:pPr>
              <w:spacing w:after="40" w:before="40" w:line="278" w:lineRule="auto"/>
            </w:pPr>
            <w:r>
              <w:rPr>
                <w:sz w:val="18"/>
              </w:rPr>
              <w:t>求职者简历制作、岗位适配、模拟面试与复盘</w:t>
            </w:r>
          </w:p>
        </w:tc>
      </w:tr>
      <w:tr>
        <w:trPr>
          <w:cantSplit/>
        </w:trPr>
        <w:tc>
          <w:tcPr>
            <w:tcW w:type="dxa" w:w="2268"/>
            <w:vAlign w:val="center"/>
          </w:tcPr>
          <w:p>
            <w:pPr>
              <w:spacing w:after="40" w:before="40" w:line="278" w:lineRule="auto"/>
            </w:pPr>
            <w:r>
              <w:rPr>
                <w:sz w:val="18"/>
              </w:rPr>
              <w:t>文档日期</w:t>
            </w:r>
          </w:p>
        </w:tc>
        <w:tc>
          <w:tcPr>
            <w:tcW w:type="dxa" w:w="6350"/>
            <w:vAlign w:val="center"/>
          </w:tcPr>
          <w:p>
            <w:pPr>
              <w:spacing w:after="40" w:before="40" w:line="278" w:lineRule="auto"/>
            </w:pPr>
            <w:r>
              <w:rPr>
                <w:sz w:val="18"/>
              </w:rPr>
              <w:t>2026 年 9 月 24 日</w:t>
            </w:r>
          </w:p>
        </w:tc>
      </w:tr>
    </w:tbl>
    <w:p/>
    <w:p>
      <w:r>
        <w:br w:type="page"/>
      </w:r>
    </w:p>
    <w:p>
      <w:pPr>
        <w:pStyle w:val="Heading1"/>
      </w:pPr>
      <w:r>
        <w:t>摘要</w:t>
      </w:r>
    </w:p>
    <w:p>
      <w:r>
        <w:t>履历星图面向求职准备过程中“信息分散、反复修改、缺少针对性反馈、口头表达训练成本高”的现实问题，构建集智能简历创作、岗位适配、沉浸式语音模拟面试与求职能力复盘于一体的数字化平台。系统并非单一的在线简历编辑器，而是一条从原始材料导入、可视化重构、AI 内容优化、文档交付，到基于个人简历的面试追问、语音对答及能力报告的连续工作流。</w:t>
      </w:r>
    </w:p>
    <w:p>
      <w:r>
        <w:t>平台以 Vue 3、Vite、Pinia、Element Plus 构建交互界面，以 Spring Boot 3、Spring MVC、JdbcTemplate、MySQL 和 Flyway 承载业务与持久化，结合大模型提示词编排、Web Speech API、Web Audio API、云端 TTS 与讯飞流式 ASR 实现多模态交互。语音面试采用“双引擎识别 + 双通道播报 + 静音自动断句 + 状态编排”的设计：桌面浏览器可使用原生识别，移动端可由麦克风采样、降采样为 16 kHz/16 bit 单声道 PCM 后接入云端识别；面试官播报结束自动进入聆听，候选人停顿后自动提交答案，构成接近真人对话节奏的交互闭环。</w:t>
      </w:r>
    </w:p>
    <w:p>
      <w:r>
        <w:t>平台还提供模板库、版本对比与回滚、PDF/DOCX/TXT 导入、PDF/PNG/Word 文字稿导出、分享、会员额度、社区运营和管理员控制台。当前后端 19 项单元测试通过；完整数据库集成验证、前端构建和真实语音服务效果需在隔离环境继续验证。本文给出需求、技术选型、流程、逻辑 ER 图、实现要点与下一步演进路线，为竞赛展示与后续工程化提供依据。</w:t>
      </w:r>
    </w:p>
    <w:p>
      <w:r>
        <w:t>关键词：多模态求职；智能简历；大模型；语音面试；ASR；TTS；Web Audio；Spring Boot；Vue 3</w:t>
      </w:r>
    </w:p>
    <w:p>
      <w:pPr>
        <w:pStyle w:val="Heading1"/>
      </w:pPr>
      <w:r>
        <w:t>目录</w:t>
      </w:r>
    </w:p>
    <w:p>
      <w:pPr>
        <w:spacing w:line="252" w:lineRule="auto" w:after="20"/>
      </w:pPr>
      <w:r>
        <w:rPr>
          <w:sz w:val="19"/>
        </w:rPr>
        <w:t>1 绪论：问题背景与作品定位</w:t>
      </w:r>
    </w:p>
    <w:p>
      <w:pPr>
        <w:spacing w:line="252" w:lineRule="auto" w:after="20"/>
      </w:pPr>
      <w:r>
        <w:rPr>
          <w:sz w:val="19"/>
        </w:rPr>
        <w:t>2 相关技术：技术选型与协同机制</w:t>
      </w:r>
    </w:p>
    <w:p>
      <w:pPr>
        <w:spacing w:line="252" w:lineRule="auto" w:after="20"/>
      </w:pPr>
      <w:r>
        <w:rPr>
          <w:sz w:val="19"/>
        </w:rPr>
        <w:t>3 需求分析：场景、角色与用例图</w:t>
      </w:r>
    </w:p>
    <w:p>
      <w:pPr>
        <w:spacing w:line="252" w:lineRule="auto" w:after="20"/>
      </w:pPr>
      <w:r>
        <w:rPr>
          <w:sz w:val="19"/>
        </w:rPr>
        <w:t>4 系统设计：架构、流程图、语音闭环与 ER 图</w:t>
      </w:r>
    </w:p>
    <w:p>
      <w:pPr>
        <w:spacing w:line="252" w:lineRule="auto" w:after="20"/>
      </w:pPr>
      <w:r>
        <w:rPr>
          <w:sz w:val="19"/>
        </w:rPr>
        <w:t>5 系统实现：关键模块与技术亮点</w:t>
      </w:r>
    </w:p>
    <w:p>
      <w:pPr>
        <w:spacing w:line="252" w:lineRule="auto" w:after="20"/>
      </w:pPr>
      <w:r>
        <w:rPr>
          <w:sz w:val="19"/>
        </w:rPr>
        <w:t>6 系统测试：证据、边界与验证计划</w:t>
      </w:r>
    </w:p>
    <w:p>
      <w:pPr>
        <w:spacing w:line="252" w:lineRule="auto" w:after="20"/>
      </w:pPr>
      <w:r>
        <w:rPr>
          <w:sz w:val="19"/>
        </w:rPr>
        <w:t>7 总结：创新价值与演进方向</w:t>
      </w:r>
    </w:p>
    <w:p>
      <w:pPr>
        <w:spacing w:line="252" w:lineRule="auto" w:after="20"/>
      </w:pPr>
      <w:r>
        <w:rPr>
          <w:sz w:val="19"/>
        </w:rPr>
        <w:t>附录：源代码依据与展示提纲</w:t>
      </w:r>
    </w:p>
    <w:p>
      <w:r>
        <w:br w:type="page"/>
      </w:r>
    </w:p>
    <w:p>
      <w:pPr>
        <w:pStyle w:val="Heading1"/>
      </w:pPr>
      <w:r>
        <w:t>1 绪论</w:t>
      </w:r>
    </w:p>
    <w:p>
      <w:pPr>
        <w:pStyle w:val="Heading2"/>
      </w:pPr>
      <w:r>
        <w:t>1.1 背景与痛点</w:t>
      </w:r>
    </w:p>
    <w:p>
      <w:r>
        <w:t>简历制作、职位匹配和面试准备通常被拆散在文档工具、在线模板、AI 聊天窗口与录音软件中。用户不仅要重复搬运个人经历，还难以判断简历是否贴合目标岗位，更缺少基于真实简历、可连续追问、可复盘表达表现的练习环境。尤其对于应届生，单纯“生成一份简历”并不能解决“怎样呈现经历”和“怎样讲清经历”这两个关键问题。</w:t>
      </w:r>
    </w:p>
    <w:p>
      <w:pPr>
        <w:pStyle w:val="Heading2"/>
      </w:pPr>
      <w:r>
        <w:t>1.2 项目定位与建设目标</w:t>
      </w:r>
    </w:p>
    <w:p>
      <w:r>
        <w:t>项目定位为“AI 驱动的多模态求职能力平台”。以简历内容作为统一数据入口，将视觉表达、语义优化与口头表达连接起来：结构化简历是资产，AI 优化帮助形成岗位相关叙事，模拟面试围绕简历持续追问，报告反馈帮助用户进一步修改简历与回答策略。竞赛展示主线可概括为“写得好—讲得清—改得准”。</w:t>
      </w:r>
    </w:p>
    <w:tbl>
      <w:tblPr>
        <w:tblStyle w:val="TableGrid"/>
        <w:tblW w:type="auto" w:w="0"/>
        <w:jc w:val="center"/>
        <w:tblLook w:firstColumn="1" w:firstRow="1" w:lastColumn="0" w:lastRow="0" w:noHBand="0" w:noVBand="1" w:val="04A0"/>
      </w:tblPr>
      <w:tblGrid>
        <w:gridCol w:w="3052"/>
        <w:gridCol w:w="3052"/>
        <w:gridCol w:w="3052"/>
      </w:tblGrid>
      <w:tr>
        <w:trPr>
          <w:cantSplit/>
          <w:tblHeader/>
        </w:trPr>
        <w:tc>
          <w:tcPr>
            <w:tcW w:type="dxa" w:w="1814"/>
            <w:vAlign w:val="center"/>
            <w:shd w:fill="DDEAF6"/>
          </w:tcPr>
          <w:p>
            <w:pPr>
              <w:spacing w:after="40" w:before="40" w:line="278" w:lineRule="auto"/>
            </w:pPr>
            <w:r>
              <w:rPr>
                <w:b/>
                <w:sz w:val="18"/>
              </w:rPr>
              <w:t>目标</w:t>
            </w:r>
          </w:p>
        </w:tc>
        <w:tc>
          <w:tcPr>
            <w:tcW w:type="dxa" w:w="3515"/>
            <w:vAlign w:val="center"/>
            <w:shd w:fill="DDEAF6"/>
          </w:tcPr>
          <w:p>
            <w:pPr>
              <w:spacing w:after="40" w:before="40" w:line="278" w:lineRule="auto"/>
            </w:pPr>
            <w:r>
              <w:rPr>
                <w:b/>
                <w:sz w:val="18"/>
              </w:rPr>
              <w:t>实现路径</w:t>
            </w:r>
          </w:p>
        </w:tc>
        <w:tc>
          <w:tcPr>
            <w:tcW w:type="dxa" w:w="3402"/>
            <w:vAlign w:val="center"/>
            <w:shd w:fill="DDEAF6"/>
          </w:tcPr>
          <w:p>
            <w:pPr>
              <w:spacing w:after="40" w:before="40" w:line="278" w:lineRule="auto"/>
            </w:pPr>
            <w:r>
              <w:rPr>
                <w:b/>
                <w:sz w:val="18"/>
              </w:rPr>
              <w:t>用户价值</w:t>
            </w:r>
          </w:p>
        </w:tc>
      </w:tr>
      <w:tr>
        <w:trPr>
          <w:cantSplit/>
        </w:trPr>
        <w:tc>
          <w:tcPr>
            <w:tcW w:type="dxa" w:w="1814"/>
            <w:vAlign w:val="center"/>
          </w:tcPr>
          <w:p>
            <w:pPr>
              <w:spacing w:after="40" w:before="40" w:line="278" w:lineRule="auto"/>
            </w:pPr>
            <w:r>
              <w:rPr>
                <w:sz w:val="18"/>
              </w:rPr>
              <w:t>降低简历制作门槛</w:t>
            </w:r>
          </w:p>
        </w:tc>
        <w:tc>
          <w:tcPr>
            <w:tcW w:type="dxa" w:w="3515"/>
            <w:vAlign w:val="center"/>
          </w:tcPr>
          <w:p>
            <w:pPr>
              <w:spacing w:after="40" w:before="40" w:line="278" w:lineRule="auto"/>
            </w:pPr>
            <w:r>
              <w:rPr>
                <w:sz w:val="18"/>
              </w:rPr>
              <w:t>模板、文件导入、可视化组件画布、实时预览</w:t>
            </w:r>
          </w:p>
        </w:tc>
        <w:tc>
          <w:tcPr>
            <w:tcW w:type="dxa" w:w="3402"/>
            <w:vAlign w:val="center"/>
          </w:tcPr>
          <w:p>
            <w:pPr>
              <w:spacing w:after="40" w:before="40" w:line="278" w:lineRule="auto"/>
            </w:pPr>
            <w:r>
              <w:rPr>
                <w:sz w:val="18"/>
              </w:rPr>
              <w:t>从旧材料快速生成可编辑作品</w:t>
            </w:r>
          </w:p>
        </w:tc>
      </w:tr>
      <w:tr>
        <w:trPr>
          <w:cantSplit/>
        </w:trPr>
        <w:tc>
          <w:tcPr>
            <w:tcW w:type="dxa" w:w="1814"/>
            <w:vAlign w:val="center"/>
          </w:tcPr>
          <w:p>
            <w:pPr>
              <w:spacing w:after="40" w:before="40" w:line="278" w:lineRule="auto"/>
            </w:pPr>
            <w:r>
              <w:rPr>
                <w:sz w:val="18"/>
              </w:rPr>
              <w:t>提升岗位匹配度</w:t>
            </w:r>
          </w:p>
        </w:tc>
        <w:tc>
          <w:tcPr>
            <w:tcW w:type="dxa" w:w="3515"/>
            <w:vAlign w:val="center"/>
          </w:tcPr>
          <w:p>
            <w:pPr>
              <w:spacing w:after="40" w:before="40" w:line="278" w:lineRule="auto"/>
            </w:pPr>
            <w:r>
              <w:rPr>
                <w:sz w:val="18"/>
              </w:rPr>
              <w:t>AI 润色、纠错、评分、岗位适配提示词</w:t>
            </w:r>
          </w:p>
        </w:tc>
        <w:tc>
          <w:tcPr>
            <w:tcW w:type="dxa" w:w="3402"/>
            <w:vAlign w:val="center"/>
          </w:tcPr>
          <w:p>
            <w:pPr>
              <w:spacing w:after="40" w:before="40" w:line="278" w:lineRule="auto"/>
            </w:pPr>
            <w:r>
              <w:rPr>
                <w:sz w:val="18"/>
              </w:rPr>
              <w:t>让经历描述更清晰、更有针对性</w:t>
            </w:r>
          </w:p>
        </w:tc>
      </w:tr>
      <w:tr>
        <w:trPr>
          <w:cantSplit/>
        </w:trPr>
        <w:tc>
          <w:tcPr>
            <w:tcW w:type="dxa" w:w="1814"/>
            <w:vAlign w:val="center"/>
          </w:tcPr>
          <w:p>
            <w:pPr>
              <w:spacing w:after="40" w:before="40" w:line="278" w:lineRule="auto"/>
            </w:pPr>
            <w:r>
              <w:rPr>
                <w:sz w:val="18"/>
              </w:rPr>
              <w:t>训练口头表达</w:t>
            </w:r>
          </w:p>
        </w:tc>
        <w:tc>
          <w:tcPr>
            <w:tcW w:type="dxa" w:w="3515"/>
            <w:vAlign w:val="center"/>
          </w:tcPr>
          <w:p>
            <w:pPr>
              <w:spacing w:after="40" w:before="40" w:line="278" w:lineRule="auto"/>
            </w:pPr>
            <w:r>
              <w:rPr>
                <w:sz w:val="18"/>
              </w:rPr>
              <w:t>AI 追问、语音播报、语音转写、自动断句</w:t>
            </w:r>
          </w:p>
        </w:tc>
        <w:tc>
          <w:tcPr>
            <w:tcW w:type="dxa" w:w="3402"/>
            <w:vAlign w:val="center"/>
          </w:tcPr>
          <w:p>
            <w:pPr>
              <w:spacing w:after="40" w:before="40" w:line="278" w:lineRule="auto"/>
            </w:pPr>
            <w:r>
              <w:rPr>
                <w:sz w:val="18"/>
              </w:rPr>
              <w:t>在连续对话中练习真实面试</w:t>
            </w:r>
          </w:p>
        </w:tc>
      </w:tr>
      <w:tr>
        <w:trPr>
          <w:cantSplit/>
        </w:trPr>
        <w:tc>
          <w:tcPr>
            <w:tcW w:type="dxa" w:w="1814"/>
            <w:vAlign w:val="center"/>
          </w:tcPr>
          <w:p>
            <w:pPr>
              <w:spacing w:after="40" w:before="40" w:line="278" w:lineRule="auto"/>
            </w:pPr>
            <w:r>
              <w:rPr>
                <w:sz w:val="18"/>
              </w:rPr>
              <w:t>提供可复盘反馈</w:t>
            </w:r>
          </w:p>
        </w:tc>
        <w:tc>
          <w:tcPr>
            <w:tcW w:type="dxa" w:w="3515"/>
            <w:vAlign w:val="center"/>
          </w:tcPr>
          <w:p>
            <w:pPr>
              <w:spacing w:after="40" w:before="40" w:line="278" w:lineRule="auto"/>
            </w:pPr>
            <w:r>
              <w:rPr>
                <w:sz w:val="18"/>
              </w:rPr>
              <w:t>版本差异、逐题点评、能力雷达、表达力统计</w:t>
            </w:r>
          </w:p>
        </w:tc>
        <w:tc>
          <w:tcPr>
            <w:tcW w:type="dxa" w:w="3402"/>
            <w:vAlign w:val="center"/>
          </w:tcPr>
          <w:p>
            <w:pPr>
              <w:spacing w:after="40" w:before="40" w:line="278" w:lineRule="auto"/>
            </w:pPr>
            <w:r>
              <w:rPr>
                <w:sz w:val="18"/>
              </w:rPr>
              <w:t>把主观体验转化为可执行改进点</w:t>
            </w:r>
          </w:p>
        </w:tc>
      </w:tr>
      <w:tr>
        <w:trPr>
          <w:cantSplit/>
        </w:trPr>
        <w:tc>
          <w:tcPr>
            <w:tcW w:type="dxa" w:w="1814"/>
            <w:vAlign w:val="center"/>
          </w:tcPr>
          <w:p>
            <w:pPr>
              <w:spacing w:after="40" w:before="40" w:line="278" w:lineRule="auto"/>
            </w:pPr>
            <w:r>
              <w:rPr>
                <w:sz w:val="18"/>
              </w:rPr>
              <w:t>形成运营闭环</w:t>
            </w:r>
          </w:p>
        </w:tc>
        <w:tc>
          <w:tcPr>
            <w:tcW w:type="dxa" w:w="3515"/>
            <w:vAlign w:val="center"/>
          </w:tcPr>
          <w:p>
            <w:pPr>
              <w:spacing w:after="40" w:before="40" w:line="278" w:lineRule="auto"/>
            </w:pPr>
            <w:r>
              <w:rPr>
                <w:sz w:val="18"/>
              </w:rPr>
              <w:t>模板、额度、会员、社区、后台管理</w:t>
            </w:r>
          </w:p>
        </w:tc>
        <w:tc>
          <w:tcPr>
            <w:tcW w:type="dxa" w:w="3402"/>
            <w:vAlign w:val="center"/>
          </w:tcPr>
          <w:p>
            <w:pPr>
              <w:spacing w:after="40" w:before="40" w:line="278" w:lineRule="auto"/>
            </w:pPr>
            <w:r>
              <w:rPr>
                <w:sz w:val="18"/>
              </w:rPr>
              <w:t>支持内容供给与可持续运营</w:t>
            </w:r>
          </w:p>
        </w:tc>
      </w:tr>
    </w:tbl>
    <w:p/>
    <w:p>
      <w:pPr>
        <w:pStyle w:val="Heading2"/>
      </w:pPr>
      <w:r>
        <w:t>1.3 系统范围与展示口径</w:t>
      </w:r>
    </w:p>
    <w:p>
      <w:r>
        <w:t>代码中已经具备前后端主体、数据库迁移脚本、语音交互链路和关键业务接口。项目展示可重点讲述技术方案及交互体验；实际性能收益、跨端识别率、真实服务可用率以及支付闭环等指标，在完成部署和实测前作为后续目标展示，不以未测数字作结论。</w:t>
      </w:r>
    </w:p>
    <w:p>
      <w:pPr>
        <w:pStyle w:val="Heading1"/>
      </w:pPr>
      <w:r>
        <w:t>2 相关技术</w:t>
      </w:r>
    </w:p>
    <w:p>
      <w:pPr>
        <w:pStyle w:val="Heading2"/>
      </w:pPr>
      <w:r>
        <w:t>2.1 技术栈全景</w:t>
      </w:r>
    </w:p>
    <w:tbl>
      <w:tblPr>
        <w:tblStyle w:val="TableGrid"/>
        <w:tblW w:type="auto" w:w="0"/>
        <w:jc w:val="center"/>
        <w:tblLook w:firstColumn="1" w:firstRow="1" w:lastColumn="0" w:lastRow="0" w:noHBand="0" w:noVBand="1" w:val="04A0"/>
      </w:tblPr>
      <w:tblGrid>
        <w:gridCol w:w="3052"/>
        <w:gridCol w:w="3052"/>
        <w:gridCol w:w="3052"/>
      </w:tblGrid>
      <w:tr>
        <w:trPr>
          <w:cantSplit/>
          <w:tblHeader/>
        </w:trPr>
        <w:tc>
          <w:tcPr>
            <w:tcW w:type="dxa" w:w="1587"/>
            <w:vAlign w:val="center"/>
            <w:shd w:fill="DDEAF6"/>
          </w:tcPr>
          <w:p>
            <w:pPr>
              <w:spacing w:after="40" w:before="40" w:line="278" w:lineRule="auto"/>
            </w:pPr>
            <w:r>
              <w:rPr>
                <w:b/>
                <w:sz w:val="18"/>
              </w:rPr>
              <w:t>技术领域</w:t>
            </w:r>
          </w:p>
        </w:tc>
        <w:tc>
          <w:tcPr>
            <w:tcW w:type="dxa" w:w="3288"/>
            <w:vAlign w:val="center"/>
            <w:shd w:fill="DDEAF6"/>
          </w:tcPr>
          <w:p>
            <w:pPr>
              <w:spacing w:after="40" w:before="40" w:line="278" w:lineRule="auto"/>
            </w:pPr>
            <w:r>
              <w:rPr>
                <w:b/>
                <w:sz w:val="18"/>
              </w:rPr>
              <w:t>项目采用的技术</w:t>
            </w:r>
          </w:p>
        </w:tc>
        <w:tc>
          <w:tcPr>
            <w:tcW w:type="dxa" w:w="3855"/>
            <w:vAlign w:val="center"/>
            <w:shd w:fill="DDEAF6"/>
          </w:tcPr>
          <w:p>
            <w:pPr>
              <w:spacing w:after="40" w:before="40" w:line="278" w:lineRule="auto"/>
            </w:pPr>
            <w:r>
              <w:rPr>
                <w:b/>
                <w:sz w:val="18"/>
              </w:rPr>
              <w:t>作用与亮点</w:t>
            </w:r>
          </w:p>
        </w:tc>
      </w:tr>
      <w:tr>
        <w:trPr>
          <w:cantSplit/>
        </w:trPr>
        <w:tc>
          <w:tcPr>
            <w:tcW w:type="dxa" w:w="1587"/>
            <w:vAlign w:val="center"/>
          </w:tcPr>
          <w:p>
            <w:pPr>
              <w:spacing w:after="40" w:before="40" w:line="278" w:lineRule="auto"/>
            </w:pPr>
            <w:r>
              <w:rPr>
                <w:sz w:val="18"/>
              </w:rPr>
              <w:t>交互框架</w:t>
            </w:r>
          </w:p>
        </w:tc>
        <w:tc>
          <w:tcPr>
            <w:tcW w:type="dxa" w:w="3288"/>
            <w:vAlign w:val="center"/>
          </w:tcPr>
          <w:p>
            <w:pPr>
              <w:spacing w:after="40" w:before="40" w:line="278" w:lineRule="auto"/>
            </w:pPr>
            <w:r>
              <w:rPr>
                <w:sz w:val="18"/>
              </w:rPr>
              <w:t>Vue 3、Composition API、Vite</w:t>
            </w:r>
          </w:p>
        </w:tc>
        <w:tc>
          <w:tcPr>
            <w:tcW w:type="dxa" w:w="3855"/>
            <w:vAlign w:val="center"/>
          </w:tcPr>
          <w:p>
            <w:pPr>
              <w:spacing w:after="40" w:before="40" w:line="278" w:lineRule="auto"/>
            </w:pPr>
            <w:r>
              <w:rPr>
                <w:sz w:val="18"/>
              </w:rPr>
              <w:t>组件化开发、交互状态组合、路由级懒加载</w:t>
            </w:r>
          </w:p>
        </w:tc>
      </w:tr>
      <w:tr>
        <w:trPr>
          <w:cantSplit/>
        </w:trPr>
        <w:tc>
          <w:tcPr>
            <w:tcW w:type="dxa" w:w="1587"/>
            <w:vAlign w:val="center"/>
          </w:tcPr>
          <w:p>
            <w:pPr>
              <w:spacing w:after="40" w:before="40" w:line="278" w:lineRule="auto"/>
            </w:pPr>
            <w:r>
              <w:rPr>
                <w:sz w:val="18"/>
              </w:rPr>
              <w:t>UI / 可视化</w:t>
            </w:r>
          </w:p>
        </w:tc>
        <w:tc>
          <w:tcPr>
            <w:tcW w:type="dxa" w:w="3288"/>
            <w:vAlign w:val="center"/>
          </w:tcPr>
          <w:p>
            <w:pPr>
              <w:spacing w:after="40" w:before="40" w:line="278" w:lineRule="auto"/>
            </w:pPr>
            <w:r>
              <w:rPr>
                <w:sz w:val="18"/>
              </w:rPr>
              <w:t>Element Plus、ECharts、HTML/SVG、四套主题</w:t>
            </w:r>
          </w:p>
        </w:tc>
        <w:tc>
          <w:tcPr>
            <w:tcW w:type="dxa" w:w="3855"/>
            <w:vAlign w:val="center"/>
          </w:tcPr>
          <w:p>
            <w:pPr>
              <w:spacing w:after="40" w:before="40" w:line="278" w:lineRule="auto"/>
            </w:pPr>
            <w:r>
              <w:rPr>
                <w:sz w:val="18"/>
              </w:rPr>
              <w:t>编辑器、运营台、能力雷达、响应式与可访问性</w:t>
            </w:r>
          </w:p>
        </w:tc>
      </w:tr>
      <w:tr>
        <w:trPr>
          <w:cantSplit/>
        </w:trPr>
        <w:tc>
          <w:tcPr>
            <w:tcW w:type="dxa" w:w="1587"/>
            <w:vAlign w:val="center"/>
          </w:tcPr>
          <w:p>
            <w:pPr>
              <w:spacing w:after="40" w:before="40" w:line="278" w:lineRule="auto"/>
            </w:pPr>
            <w:r>
              <w:rPr>
                <w:sz w:val="18"/>
              </w:rPr>
              <w:t>前端工程</w:t>
            </w:r>
          </w:p>
        </w:tc>
        <w:tc>
          <w:tcPr>
            <w:tcW w:type="dxa" w:w="3288"/>
            <w:vAlign w:val="center"/>
          </w:tcPr>
          <w:p>
            <w:pPr>
              <w:spacing w:after="40" w:before="40" w:line="278" w:lineRule="auto"/>
            </w:pPr>
            <w:r>
              <w:rPr>
                <w:sz w:val="18"/>
              </w:rPr>
              <w:t>Vue Router、Pinia、Axios</w:t>
            </w:r>
          </w:p>
        </w:tc>
        <w:tc>
          <w:tcPr>
            <w:tcW w:type="dxa" w:w="3855"/>
            <w:vAlign w:val="center"/>
          </w:tcPr>
          <w:p>
            <w:pPr>
              <w:spacing w:after="40" w:before="40" w:line="278" w:lineRule="auto"/>
            </w:pPr>
            <w:r>
              <w:rPr>
                <w:sz w:val="18"/>
              </w:rPr>
              <w:t>角色路由守卫、状态同步、统一请求封装</w:t>
            </w:r>
          </w:p>
        </w:tc>
      </w:tr>
      <w:tr>
        <w:trPr>
          <w:cantSplit/>
        </w:trPr>
        <w:tc>
          <w:tcPr>
            <w:tcW w:type="dxa" w:w="1587"/>
            <w:vAlign w:val="center"/>
          </w:tcPr>
          <w:p>
            <w:pPr>
              <w:spacing w:after="40" w:before="40" w:line="278" w:lineRule="auto"/>
            </w:pPr>
            <w:r>
              <w:rPr>
                <w:sz w:val="18"/>
              </w:rPr>
              <w:t>文件理解</w:t>
            </w:r>
          </w:p>
        </w:tc>
        <w:tc>
          <w:tcPr>
            <w:tcW w:type="dxa" w:w="3288"/>
            <w:vAlign w:val="center"/>
          </w:tcPr>
          <w:p>
            <w:pPr>
              <w:spacing w:after="40" w:before="40" w:line="278" w:lineRule="auto"/>
            </w:pPr>
            <w:r>
              <w:rPr>
                <w:sz w:val="18"/>
              </w:rPr>
              <w:t>pdfjs-dist、mammoth</w:t>
            </w:r>
          </w:p>
        </w:tc>
        <w:tc>
          <w:tcPr>
            <w:tcW w:type="dxa" w:w="3855"/>
            <w:vAlign w:val="center"/>
          </w:tcPr>
          <w:p>
            <w:pPr>
              <w:spacing w:after="40" w:before="40" w:line="278" w:lineRule="auto"/>
            </w:pPr>
            <w:r>
              <w:rPr>
                <w:sz w:val="18"/>
              </w:rPr>
              <w:t>从可选中文字 PDF 与 DOCX 中抽取内容；TXT 直接导入</w:t>
            </w:r>
          </w:p>
        </w:tc>
      </w:tr>
      <w:tr>
        <w:trPr>
          <w:cantSplit/>
        </w:trPr>
        <w:tc>
          <w:tcPr>
            <w:tcW w:type="dxa" w:w="1587"/>
            <w:vAlign w:val="center"/>
          </w:tcPr>
          <w:p>
            <w:pPr>
              <w:spacing w:after="40" w:before="40" w:line="278" w:lineRule="auto"/>
            </w:pPr>
            <w:r>
              <w:rPr>
                <w:sz w:val="18"/>
              </w:rPr>
              <w:t>文档交付</w:t>
            </w:r>
          </w:p>
        </w:tc>
        <w:tc>
          <w:tcPr>
            <w:tcW w:type="dxa" w:w="3288"/>
            <w:vAlign w:val="center"/>
          </w:tcPr>
          <w:p>
            <w:pPr>
              <w:spacing w:after="40" w:before="40" w:line="278" w:lineRule="auto"/>
            </w:pPr>
            <w:r>
              <w:rPr>
                <w:sz w:val="18"/>
              </w:rPr>
              <w:t>pdf-lib、@pdf-lib/fontkit、jsPDF、html-to-image</w:t>
            </w:r>
          </w:p>
        </w:tc>
        <w:tc>
          <w:tcPr>
            <w:tcW w:type="dxa" w:w="3855"/>
            <w:vAlign w:val="center"/>
          </w:tcPr>
          <w:p>
            <w:pPr>
              <w:spacing w:after="40" w:before="40" w:line="278" w:lineRule="auto"/>
            </w:pPr>
            <w:r>
              <w:rPr>
                <w:sz w:val="18"/>
              </w:rPr>
              <w:t>可选中文本 PDF、视觉 PDF/PNG、中文字体嵌入</w:t>
            </w:r>
          </w:p>
        </w:tc>
      </w:tr>
      <w:tr>
        <w:trPr>
          <w:cantSplit/>
        </w:trPr>
        <w:tc>
          <w:tcPr>
            <w:tcW w:type="dxa" w:w="1587"/>
            <w:vAlign w:val="center"/>
          </w:tcPr>
          <w:p>
            <w:pPr>
              <w:spacing w:after="40" w:before="40" w:line="278" w:lineRule="auto"/>
            </w:pPr>
            <w:r>
              <w:rPr>
                <w:sz w:val="18"/>
              </w:rPr>
              <w:t>浏览器语音</w:t>
            </w:r>
          </w:p>
        </w:tc>
        <w:tc>
          <w:tcPr>
            <w:tcW w:type="dxa" w:w="3288"/>
            <w:vAlign w:val="center"/>
          </w:tcPr>
          <w:p>
            <w:pPr>
              <w:spacing w:after="40" w:before="40" w:line="278" w:lineRule="auto"/>
            </w:pPr>
            <w:r>
              <w:rPr>
                <w:sz w:val="18"/>
              </w:rPr>
              <w:t>Web Speech API、SpeechSynthesis、SpeechRecognition</w:t>
            </w:r>
          </w:p>
        </w:tc>
        <w:tc>
          <w:tcPr>
            <w:tcW w:type="dxa" w:w="3855"/>
            <w:vAlign w:val="center"/>
          </w:tcPr>
          <w:p>
            <w:pPr>
              <w:spacing w:after="40" w:before="40" w:line="278" w:lineRule="auto"/>
            </w:pPr>
            <w:r>
              <w:rPr>
                <w:sz w:val="18"/>
              </w:rPr>
              <w:t>本地/浏览器语音播报与实时转写</w:t>
            </w:r>
          </w:p>
        </w:tc>
      </w:tr>
      <w:tr>
        <w:trPr>
          <w:cantSplit/>
        </w:trPr>
        <w:tc>
          <w:tcPr>
            <w:tcW w:type="dxa" w:w="1587"/>
            <w:vAlign w:val="center"/>
          </w:tcPr>
          <w:p>
            <w:pPr>
              <w:spacing w:after="40" w:before="40" w:line="278" w:lineRule="auto"/>
            </w:pPr>
            <w:r>
              <w:rPr>
                <w:sz w:val="18"/>
              </w:rPr>
              <w:t>音频采集</w:t>
            </w:r>
          </w:p>
        </w:tc>
        <w:tc>
          <w:tcPr>
            <w:tcW w:type="dxa" w:w="3288"/>
            <w:vAlign w:val="center"/>
          </w:tcPr>
          <w:p>
            <w:pPr>
              <w:spacing w:after="40" w:before="40" w:line="278" w:lineRule="auto"/>
            </w:pPr>
            <w:r>
              <w:rPr>
                <w:sz w:val="18"/>
              </w:rPr>
              <w:t>getUserMedia、Web Audio API、AudioContext</w:t>
            </w:r>
          </w:p>
        </w:tc>
        <w:tc>
          <w:tcPr>
            <w:tcW w:type="dxa" w:w="3855"/>
            <w:vAlign w:val="center"/>
          </w:tcPr>
          <w:p>
            <w:pPr>
              <w:spacing w:after="40" w:before="40" w:line="278" w:lineRule="auto"/>
            </w:pPr>
            <w:r>
              <w:rPr>
                <w:sz w:val="18"/>
              </w:rPr>
              <w:t>采音、音量计算、静音断句、PCM 编码</w:t>
            </w:r>
          </w:p>
        </w:tc>
      </w:tr>
      <w:tr>
        <w:trPr>
          <w:cantSplit/>
        </w:trPr>
        <w:tc>
          <w:tcPr>
            <w:tcW w:type="dxa" w:w="1587"/>
            <w:vAlign w:val="center"/>
          </w:tcPr>
          <w:p>
            <w:pPr>
              <w:spacing w:after="40" w:before="40" w:line="278" w:lineRule="auto"/>
            </w:pPr>
            <w:r>
              <w:rPr>
                <w:sz w:val="18"/>
              </w:rPr>
              <w:t>云端语音</w:t>
            </w:r>
          </w:p>
        </w:tc>
        <w:tc>
          <w:tcPr>
            <w:tcW w:type="dxa" w:w="3288"/>
            <w:vAlign w:val="center"/>
          </w:tcPr>
          <w:p>
            <w:pPr>
              <w:spacing w:after="40" w:before="40" w:line="278" w:lineRule="auto"/>
            </w:pPr>
            <w:r>
              <w:rPr>
                <w:sz w:val="18"/>
              </w:rPr>
              <w:t>讯飞流式 ASR、云端神经音色 TTS</w:t>
            </w:r>
          </w:p>
        </w:tc>
        <w:tc>
          <w:tcPr>
            <w:tcW w:type="dxa" w:w="3855"/>
            <w:vAlign w:val="center"/>
          </w:tcPr>
          <w:p>
            <w:pPr>
              <w:spacing w:after="40" w:before="40" w:line="278" w:lineRule="auto"/>
            </w:pPr>
            <w:r>
              <w:rPr>
                <w:sz w:val="18"/>
              </w:rPr>
              <w:t>移动端识别补位、自然语音播报</w:t>
            </w:r>
          </w:p>
        </w:tc>
      </w:tr>
      <w:tr>
        <w:trPr>
          <w:cantSplit/>
        </w:trPr>
        <w:tc>
          <w:tcPr>
            <w:tcW w:type="dxa" w:w="1587"/>
            <w:vAlign w:val="center"/>
          </w:tcPr>
          <w:p>
            <w:pPr>
              <w:spacing w:after="40" w:before="40" w:line="278" w:lineRule="auto"/>
            </w:pPr>
            <w:r>
              <w:rPr>
                <w:sz w:val="18"/>
              </w:rPr>
              <w:t>服务端</w:t>
            </w:r>
          </w:p>
        </w:tc>
        <w:tc>
          <w:tcPr>
            <w:tcW w:type="dxa" w:w="3288"/>
            <w:vAlign w:val="center"/>
          </w:tcPr>
          <w:p>
            <w:pPr>
              <w:spacing w:after="40" w:before="40" w:line="278" w:lineRule="auto"/>
            </w:pPr>
            <w:r>
              <w:rPr>
                <w:sz w:val="18"/>
              </w:rPr>
              <w:t>Java 17、Spring Boot 3.3.5、Spring MVC</w:t>
            </w:r>
          </w:p>
        </w:tc>
        <w:tc>
          <w:tcPr>
            <w:tcW w:type="dxa" w:w="3855"/>
            <w:vAlign w:val="center"/>
          </w:tcPr>
          <w:p>
            <w:pPr>
              <w:spacing w:after="40" w:before="40" w:line="278" w:lineRule="auto"/>
            </w:pPr>
            <w:r>
              <w:rPr>
                <w:sz w:val="18"/>
              </w:rPr>
              <w:t>REST API、服务编排、校验与会话管理</w:t>
            </w:r>
          </w:p>
        </w:tc>
      </w:tr>
      <w:tr>
        <w:trPr>
          <w:cantSplit/>
        </w:trPr>
        <w:tc>
          <w:tcPr>
            <w:tcW w:type="dxa" w:w="1587"/>
            <w:vAlign w:val="center"/>
          </w:tcPr>
          <w:p>
            <w:pPr>
              <w:spacing w:after="40" w:before="40" w:line="278" w:lineRule="auto"/>
            </w:pPr>
            <w:r>
              <w:rPr>
                <w:sz w:val="18"/>
              </w:rPr>
              <w:t>数据与迁移</w:t>
            </w:r>
          </w:p>
        </w:tc>
        <w:tc>
          <w:tcPr>
            <w:tcW w:type="dxa" w:w="3288"/>
            <w:vAlign w:val="center"/>
          </w:tcPr>
          <w:p>
            <w:pPr>
              <w:spacing w:after="40" w:before="40" w:line="278" w:lineRule="auto"/>
            </w:pPr>
            <w:r>
              <w:rPr>
                <w:sz w:val="18"/>
              </w:rPr>
              <w:t>MySQL、JdbcTemplate、Flyway、HikariCP</w:t>
            </w:r>
          </w:p>
        </w:tc>
        <w:tc>
          <w:tcPr>
            <w:tcW w:type="dxa" w:w="3855"/>
            <w:vAlign w:val="center"/>
          </w:tcPr>
          <w:p>
            <w:pPr>
              <w:spacing w:after="40" w:before="40" w:line="278" w:lineRule="auto"/>
            </w:pPr>
            <w:r>
              <w:rPr>
                <w:sz w:val="18"/>
              </w:rPr>
              <w:t>版本化建表、业务数据持久化与连接池</w:t>
            </w:r>
          </w:p>
        </w:tc>
      </w:tr>
      <w:tr>
        <w:trPr>
          <w:cantSplit/>
        </w:trPr>
        <w:tc>
          <w:tcPr>
            <w:tcW w:type="dxa" w:w="1587"/>
            <w:vAlign w:val="center"/>
          </w:tcPr>
          <w:p>
            <w:pPr>
              <w:spacing w:after="40" w:before="40" w:line="278" w:lineRule="auto"/>
            </w:pPr>
            <w:r>
              <w:rPr>
                <w:sz w:val="18"/>
              </w:rPr>
              <w:t>安全与文档</w:t>
            </w:r>
          </w:p>
        </w:tc>
        <w:tc>
          <w:tcPr>
            <w:tcW w:type="dxa" w:w="3288"/>
            <w:vAlign w:val="center"/>
          </w:tcPr>
          <w:p>
            <w:pPr>
              <w:spacing w:after="40" w:before="40" w:line="278" w:lineRule="auto"/>
            </w:pPr>
            <w:r>
              <w:rPr>
                <w:sz w:val="18"/>
              </w:rPr>
              <w:t>BCrypt、Session、拦截器、限流、Springdoc OpenAPI</w:t>
            </w:r>
          </w:p>
        </w:tc>
        <w:tc>
          <w:tcPr>
            <w:tcW w:type="dxa" w:w="3855"/>
            <w:vAlign w:val="center"/>
          </w:tcPr>
          <w:p>
            <w:pPr>
              <w:spacing w:after="40" w:before="40" w:line="278" w:lineRule="auto"/>
            </w:pPr>
            <w:r>
              <w:rPr>
                <w:sz w:val="18"/>
              </w:rPr>
              <w:t>账号安全、权限控制、接口治理与文档</w:t>
            </w:r>
          </w:p>
        </w:tc>
      </w:tr>
      <w:tr>
        <w:trPr>
          <w:cantSplit/>
        </w:trPr>
        <w:tc>
          <w:tcPr>
            <w:tcW w:type="dxa" w:w="1587"/>
            <w:vAlign w:val="center"/>
          </w:tcPr>
          <w:p>
            <w:pPr>
              <w:spacing w:after="40" w:before="40" w:line="278" w:lineRule="auto"/>
            </w:pPr>
            <w:r>
              <w:rPr>
                <w:sz w:val="18"/>
              </w:rPr>
              <w:t>部署与交付</w:t>
            </w:r>
          </w:p>
        </w:tc>
        <w:tc>
          <w:tcPr>
            <w:tcW w:type="dxa" w:w="3288"/>
            <w:vAlign w:val="center"/>
          </w:tcPr>
          <w:p>
            <w:pPr>
              <w:spacing w:after="40" w:before="40" w:line="278" w:lineRule="auto"/>
            </w:pPr>
            <w:r>
              <w:rPr>
                <w:sz w:val="18"/>
              </w:rPr>
              <w:t>Docker Compose、Nginx、SMTP</w:t>
            </w:r>
          </w:p>
        </w:tc>
        <w:tc>
          <w:tcPr>
            <w:tcW w:type="dxa" w:w="3855"/>
            <w:vAlign w:val="center"/>
          </w:tcPr>
          <w:p>
            <w:pPr>
              <w:spacing w:after="40" w:before="40" w:line="278" w:lineRule="auto"/>
            </w:pPr>
            <w:r>
              <w:rPr>
                <w:sz w:val="18"/>
              </w:rPr>
              <w:t>一体化容器部署、反向代理、邮件验证</w:t>
            </w:r>
          </w:p>
        </w:tc>
      </w:tr>
    </w:tbl>
    <w:p/>
    <w:p>
      <w:r>
        <w:t>Maven 依赖中还声明 MyBatis-Plus；当前启动类排除其自动配置，实际持久化路径使用 JdbcTemplate。此处明确区分“声明依赖”和“正在使用”，避免架构描述与代码不一致。</w:t>
      </w:r>
    </w:p>
    <w:p>
      <w:pPr>
        <w:pStyle w:val="Heading2"/>
      </w:pPr>
      <w:r>
        <w:t>2.2 大模型与提示词编排</w:t>
      </w:r>
    </w:p>
    <w:p>
      <w:r>
        <w:t>后端通过 AiPromptFactory 根据润色、纠错、评分、岗位适配等功能组织提示词，AiHttpClient 将请求发送到可配置模型端点。面试模块进一步把简历摘要、方向标签与前几轮问答组织成上下文，让问题从固定题库转为对候选人经历的动态追问；评估阶段要求结构化 JSON，生成逐题点评、综合分与能力分布。异常场景下采用本地问题和评估兜底，保证交互流程可继续。</w:t>
      </w:r>
    </w:p>
    <w:p>
      <w:pPr>
        <w:pStyle w:val="Heading2"/>
      </w:pPr>
      <w:r>
        <w:t>2.3 多模态语音交互</w:t>
      </w:r>
    </w:p>
    <w:p>
      <w:r>
        <w:t>语音输入使用浏览器原生识别和云端讯飞识别两套路径：前者延迟低、接入轻；后者覆盖部分移动端和内置浏览器的兼容性缺口。语音输出使用云端神经网络音色与浏览器 SpeechSynthesis 两种通道。前端将文本、音频采集、模型返回与播报状态统一编排，避免播报与录音相互抢占或重复朗读。</w:t>
      </w:r>
    </w:p>
    <w:p>
      <w:pPr>
        <w:pStyle w:val="Heading2"/>
      </w:pPr>
      <w:r>
        <w:t>2.4 数据与工程化</w:t>
      </w:r>
    </w:p>
    <w:p>
      <w:r>
        <w:t>Flyway 对业务 schema 做版本控制，JdbcTemplate 承担实际 SQL 访问；部分高频对象通过内存状态与请求结束后的同步快照落库协作，简历、版本、分享、兑换码、流水和日志等则按行直接读写。Docker/Nginx 用于部署单页应用和 API 反代，Springdoc 生成接口文档，JUnit 5 为关键业务规则提供回归验证。</w:t>
      </w:r>
    </w:p>
    <w:p>
      <w:r>
        <w:br w:type="page"/>
      </w:r>
    </w:p>
    <w:p>
      <w:pPr>
        <w:pStyle w:val="Heading2"/>
      </w:pPr>
      <w:r>
        <w:t>2.5 下一阶段技术布局（规划）</w:t>
      </w:r>
    </w:p>
    <w:p>
      <w:r>
        <w:t>围绕“让个人经历成为可计算、可追问、可验证的能力资产”，下一阶段拟在现有多模态基础上形成更完整的智能体与数据增强体系。以下为竞赛展示中的技术演进设计，尚未计入当前已实现能力。</w:t>
      </w:r>
    </w:p>
    <w:tbl>
      <w:tblPr>
        <w:tblStyle w:val="TableGrid"/>
        <w:tblW w:type="auto" w:w="0"/>
        <w:jc w:val="center"/>
        <w:tblLook w:firstColumn="1" w:firstRow="1" w:lastColumn="0" w:lastRow="0" w:noHBand="0" w:noVBand="1" w:val="04A0"/>
      </w:tblPr>
      <w:tblGrid>
        <w:gridCol w:w="3052"/>
        <w:gridCol w:w="3052"/>
        <w:gridCol w:w="3052"/>
      </w:tblGrid>
      <w:tr>
        <w:trPr>
          <w:cantSplit/>
          <w:tblHeader/>
        </w:trPr>
        <w:tc>
          <w:tcPr>
            <w:tcW w:type="dxa" w:w="1701"/>
            <w:vAlign w:val="center"/>
            <w:shd w:fill="DDEAF6"/>
          </w:tcPr>
          <w:p>
            <w:pPr>
              <w:spacing w:after="40" w:before="40" w:line="278" w:lineRule="auto"/>
            </w:pPr>
            <w:r>
              <w:rPr>
                <w:b/>
                <w:sz w:val="18"/>
              </w:rPr>
              <w:t>技术方向</w:t>
            </w:r>
          </w:p>
        </w:tc>
        <w:tc>
          <w:tcPr>
            <w:tcW w:type="dxa" w:w="3288"/>
            <w:vAlign w:val="center"/>
            <w:shd w:fill="DDEAF6"/>
          </w:tcPr>
          <w:p>
            <w:pPr>
              <w:spacing w:after="40" w:before="40" w:line="278" w:lineRule="auto"/>
            </w:pPr>
            <w:r>
              <w:rPr>
                <w:b/>
                <w:sz w:val="18"/>
              </w:rPr>
              <w:t>拟引入的技术</w:t>
            </w:r>
          </w:p>
        </w:tc>
        <w:tc>
          <w:tcPr>
            <w:tcW w:type="dxa" w:w="3742"/>
            <w:vAlign w:val="center"/>
            <w:shd w:fill="DDEAF6"/>
          </w:tcPr>
          <w:p>
            <w:pPr>
              <w:spacing w:after="40" w:before="40" w:line="278" w:lineRule="auto"/>
            </w:pPr>
            <w:r>
              <w:rPr>
                <w:b/>
                <w:sz w:val="18"/>
              </w:rPr>
              <w:t>预期解决的问题</w:t>
            </w:r>
          </w:p>
        </w:tc>
      </w:tr>
      <w:tr>
        <w:trPr>
          <w:cantSplit/>
        </w:trPr>
        <w:tc>
          <w:tcPr>
            <w:tcW w:type="dxa" w:w="1701"/>
            <w:vAlign w:val="center"/>
          </w:tcPr>
          <w:p>
            <w:pPr>
              <w:spacing w:after="40" w:before="40" w:line="278" w:lineRule="auto"/>
            </w:pPr>
            <w:r>
              <w:rPr>
                <w:sz w:val="18"/>
              </w:rPr>
              <w:t>检索增强生成</w:t>
            </w:r>
          </w:p>
        </w:tc>
        <w:tc>
          <w:tcPr>
            <w:tcW w:type="dxa" w:w="3288"/>
            <w:vAlign w:val="center"/>
          </w:tcPr>
          <w:p>
            <w:pPr>
              <w:spacing w:after="40" w:before="40" w:line="278" w:lineRule="auto"/>
            </w:pPr>
            <w:r>
              <w:rPr>
                <w:sz w:val="18"/>
              </w:rPr>
              <w:t>向量化嵌入、向量检索（pgvector / Milvus）、RAG</w:t>
            </w:r>
          </w:p>
        </w:tc>
        <w:tc>
          <w:tcPr>
            <w:tcW w:type="dxa" w:w="3742"/>
            <w:vAlign w:val="center"/>
          </w:tcPr>
          <w:p>
            <w:pPr>
              <w:spacing w:after="40" w:before="40" w:line="278" w:lineRule="auto"/>
            </w:pPr>
            <w:r>
              <w:rPr>
                <w:sz w:val="18"/>
              </w:rPr>
              <w:t>把个人经历、岗位要求与面试知识进行证据级检索，降低泛化回答</w:t>
            </w:r>
          </w:p>
        </w:tc>
      </w:tr>
      <w:tr>
        <w:trPr>
          <w:cantSplit/>
        </w:trPr>
        <w:tc>
          <w:tcPr>
            <w:tcW w:type="dxa" w:w="1701"/>
            <w:vAlign w:val="center"/>
          </w:tcPr>
          <w:p>
            <w:pPr>
              <w:spacing w:after="40" w:before="40" w:line="278" w:lineRule="auto"/>
            </w:pPr>
            <w:r>
              <w:rPr>
                <w:sz w:val="18"/>
              </w:rPr>
              <w:t>任务型智能体</w:t>
            </w:r>
          </w:p>
        </w:tc>
        <w:tc>
          <w:tcPr>
            <w:tcW w:type="dxa" w:w="3288"/>
            <w:vAlign w:val="center"/>
          </w:tcPr>
          <w:p>
            <w:pPr>
              <w:spacing w:after="40" w:before="40" w:line="278" w:lineRule="auto"/>
            </w:pPr>
            <w:r>
              <w:rPr>
                <w:sz w:val="18"/>
              </w:rPr>
              <w:t>工具调用、工作流编排、结构化输出与校验</w:t>
            </w:r>
          </w:p>
        </w:tc>
        <w:tc>
          <w:tcPr>
            <w:tcW w:type="dxa" w:w="3742"/>
            <w:vAlign w:val="center"/>
          </w:tcPr>
          <w:p>
            <w:pPr>
              <w:spacing w:after="40" w:before="40" w:line="278" w:lineRule="auto"/>
            </w:pPr>
            <w:r>
              <w:rPr>
                <w:sz w:val="18"/>
              </w:rPr>
              <w:t>串联岗位解析、经历提取、简历优化、追问与复盘，保留人工确认节点</w:t>
            </w:r>
          </w:p>
        </w:tc>
      </w:tr>
      <w:tr>
        <w:trPr>
          <w:cantSplit/>
        </w:trPr>
        <w:tc>
          <w:tcPr>
            <w:tcW w:type="dxa" w:w="1701"/>
            <w:vAlign w:val="center"/>
          </w:tcPr>
          <w:p>
            <w:pPr>
              <w:spacing w:after="40" w:before="40" w:line="278" w:lineRule="auto"/>
            </w:pPr>
            <w:r>
              <w:rPr>
                <w:sz w:val="18"/>
              </w:rPr>
              <w:t>多模态资料理解</w:t>
            </w:r>
          </w:p>
        </w:tc>
        <w:tc>
          <w:tcPr>
            <w:tcW w:type="dxa" w:w="3288"/>
            <w:vAlign w:val="center"/>
          </w:tcPr>
          <w:p>
            <w:pPr>
              <w:spacing w:after="40" w:before="40" w:line="278" w:lineRule="auto"/>
            </w:pPr>
            <w:r>
              <w:rPr>
                <w:sz w:val="18"/>
              </w:rPr>
              <w:t>OCR、文档版面分析、字段归一化</w:t>
            </w:r>
          </w:p>
        </w:tc>
        <w:tc>
          <w:tcPr>
            <w:tcW w:type="dxa" w:w="3742"/>
            <w:vAlign w:val="center"/>
          </w:tcPr>
          <w:p>
            <w:pPr>
              <w:spacing w:after="40" w:before="40" w:line="278" w:lineRule="auto"/>
            </w:pPr>
            <w:r>
              <w:rPr>
                <w:sz w:val="18"/>
              </w:rPr>
              <w:t>支持扫描版简历与非标准排版资料的结构化导入</w:t>
            </w:r>
          </w:p>
        </w:tc>
      </w:tr>
      <w:tr>
        <w:trPr>
          <w:cantSplit/>
        </w:trPr>
        <w:tc>
          <w:tcPr>
            <w:tcW w:type="dxa" w:w="1701"/>
            <w:vAlign w:val="center"/>
          </w:tcPr>
          <w:p>
            <w:pPr>
              <w:spacing w:after="40" w:before="40" w:line="278" w:lineRule="auto"/>
            </w:pPr>
            <w:r>
              <w:rPr>
                <w:sz w:val="18"/>
              </w:rPr>
              <w:t>实时语音增强</w:t>
            </w:r>
          </w:p>
        </w:tc>
        <w:tc>
          <w:tcPr>
            <w:tcW w:type="dxa" w:w="3288"/>
            <w:vAlign w:val="center"/>
          </w:tcPr>
          <w:p>
            <w:pPr>
              <w:spacing w:after="40" w:before="40" w:line="278" w:lineRule="auto"/>
            </w:pPr>
            <w:r>
              <w:rPr>
                <w:sz w:val="18"/>
              </w:rPr>
              <w:t>流式 ASR/TTS、WebSocket、语音活动检测与可打断播报</w:t>
            </w:r>
          </w:p>
        </w:tc>
        <w:tc>
          <w:tcPr>
            <w:tcW w:type="dxa" w:w="3742"/>
            <w:vAlign w:val="center"/>
          </w:tcPr>
          <w:p>
            <w:pPr>
              <w:spacing w:after="40" w:before="40" w:line="278" w:lineRule="auto"/>
            </w:pPr>
            <w:r>
              <w:rPr>
                <w:sz w:val="18"/>
              </w:rPr>
              <w:t>缩短轮次等待并实现更自然的双向语音交互</w:t>
            </w:r>
          </w:p>
        </w:tc>
      </w:tr>
      <w:tr>
        <w:trPr>
          <w:cantSplit/>
        </w:trPr>
        <w:tc>
          <w:tcPr>
            <w:tcW w:type="dxa" w:w="1701"/>
            <w:vAlign w:val="center"/>
          </w:tcPr>
          <w:p>
            <w:pPr>
              <w:spacing w:after="40" w:before="40" w:line="278" w:lineRule="auto"/>
            </w:pPr>
            <w:r>
              <w:rPr>
                <w:sz w:val="18"/>
              </w:rPr>
              <w:t>质量与可观测性</w:t>
            </w:r>
          </w:p>
        </w:tc>
        <w:tc>
          <w:tcPr>
            <w:tcW w:type="dxa" w:w="3288"/>
            <w:vAlign w:val="center"/>
          </w:tcPr>
          <w:p>
            <w:pPr>
              <w:spacing w:after="40" w:before="40" w:line="278" w:lineRule="auto"/>
            </w:pPr>
            <w:r>
              <w:rPr>
                <w:sz w:val="18"/>
              </w:rPr>
              <w:t>OpenTelemetry、Prometheus / Grafana、自动化评估集</w:t>
            </w:r>
          </w:p>
        </w:tc>
        <w:tc>
          <w:tcPr>
            <w:tcW w:type="dxa" w:w="3742"/>
            <w:vAlign w:val="center"/>
          </w:tcPr>
          <w:p>
            <w:pPr>
              <w:spacing w:after="40" w:before="40" w:line="278" w:lineRule="auto"/>
            </w:pPr>
            <w:r>
              <w:rPr>
                <w:sz w:val="18"/>
              </w:rPr>
              <w:t>追踪模型耗时、识别错误、链路成功率及版本回归</w:t>
            </w:r>
          </w:p>
        </w:tc>
      </w:tr>
      <w:tr>
        <w:trPr>
          <w:cantSplit/>
        </w:trPr>
        <w:tc>
          <w:tcPr>
            <w:tcW w:type="dxa" w:w="1701"/>
            <w:vAlign w:val="center"/>
          </w:tcPr>
          <w:p>
            <w:pPr>
              <w:spacing w:after="40" w:before="40" w:line="278" w:lineRule="auto"/>
            </w:pPr>
            <w:r>
              <w:rPr>
                <w:sz w:val="18"/>
              </w:rPr>
              <w:t>弹性与持续交付</w:t>
            </w:r>
          </w:p>
        </w:tc>
        <w:tc>
          <w:tcPr>
            <w:tcW w:type="dxa" w:w="3288"/>
            <w:vAlign w:val="center"/>
          </w:tcPr>
          <w:p>
            <w:pPr>
              <w:spacing w:after="40" w:before="40" w:line="278" w:lineRule="auto"/>
            </w:pPr>
            <w:r>
              <w:rPr>
                <w:sz w:val="18"/>
              </w:rPr>
              <w:t>Redis 缓存/限流、消息队列、CI/CD、容器编排</w:t>
            </w:r>
          </w:p>
        </w:tc>
        <w:tc>
          <w:tcPr>
            <w:tcW w:type="dxa" w:w="3742"/>
            <w:vAlign w:val="center"/>
          </w:tcPr>
          <w:p>
            <w:pPr>
              <w:spacing w:after="40" w:before="40" w:line="278" w:lineRule="auto"/>
            </w:pPr>
            <w:r>
              <w:rPr>
                <w:sz w:val="18"/>
              </w:rPr>
              <w:t>为异步报告、峰值流量与多环境部署建立工程基础</w:t>
            </w:r>
          </w:p>
        </w:tc>
      </w:tr>
    </w:tbl>
    <w:p/>
    <w:p>
      <w:r>
        <w:t>竞赛路演可将现有“语音驱动的简历—面试闭环”作为现场实证，将 RAG、智能体、OCR 与可观测性作为清晰的扩展架构：既展示当前作品的技术深度，也给出继续开发的具体落点。</w:t>
      </w:r>
    </w:p>
    <w:p>
      <w:pPr>
        <w:pStyle w:val="Heading1"/>
      </w:pPr>
      <w:r>
        <w:t>3 需求分析</w:t>
      </w:r>
    </w:p>
    <w:p>
      <w:pPr>
        <w:pStyle w:val="Heading2"/>
      </w:pPr>
      <w:r>
        <w:t>3.1 目标用户与典型场景</w:t>
      </w:r>
    </w:p>
    <w:p>
      <w:r>
        <w:t>访客浏览模板和社区案例，了解产品后注册；求职者导入旧简历或选模板，编辑画布、优化与导出，随后围绕该简历开始文字或语音面试，并结合报告继续修改；管理员维护内容、用户、权益、面试规则和 AI 配置。由此形成“创建—投递—练习—反馈—迭代”的连续使用场景。</w:t>
      </w:r>
    </w:p>
    <w:p>
      <w:pPr>
        <w:pStyle w:val="Heading2"/>
      </w:pPr>
      <w:r>
        <w:t>3.2 功能需求</w:t>
      </w:r>
    </w:p>
    <w:tbl>
      <w:tblPr>
        <w:tblStyle w:val="TableGrid"/>
        <w:tblW w:type="auto" w:w="0"/>
        <w:jc w:val="center"/>
        <w:tblLook w:firstColumn="1" w:firstRow="1" w:lastColumn="0" w:lastRow="0" w:noHBand="0" w:noVBand="1" w:val="04A0"/>
      </w:tblPr>
      <w:tblGrid>
        <w:gridCol w:w="3052"/>
        <w:gridCol w:w="3052"/>
        <w:gridCol w:w="3052"/>
      </w:tblGrid>
      <w:tr>
        <w:trPr>
          <w:cantSplit/>
          <w:tblHeader/>
        </w:trPr>
        <w:tc>
          <w:tcPr>
            <w:tcW w:type="dxa" w:w="1814"/>
            <w:vAlign w:val="center"/>
            <w:shd w:fill="DDEAF6"/>
          </w:tcPr>
          <w:p>
            <w:pPr>
              <w:spacing w:after="40" w:before="40" w:line="278" w:lineRule="auto"/>
            </w:pPr>
            <w:r>
              <w:rPr>
                <w:b/>
                <w:sz w:val="18"/>
              </w:rPr>
              <w:t>子系统</w:t>
            </w:r>
          </w:p>
        </w:tc>
        <w:tc>
          <w:tcPr>
            <w:tcW w:type="dxa" w:w="4649"/>
            <w:vAlign w:val="center"/>
            <w:shd w:fill="DDEAF6"/>
          </w:tcPr>
          <w:p>
            <w:pPr>
              <w:spacing w:after="40" w:before="40" w:line="278" w:lineRule="auto"/>
            </w:pPr>
            <w:r>
              <w:rPr>
                <w:b/>
                <w:sz w:val="18"/>
              </w:rPr>
              <w:t>具体需求</w:t>
            </w:r>
          </w:p>
        </w:tc>
        <w:tc>
          <w:tcPr>
            <w:tcW w:type="dxa" w:w="2268"/>
            <w:vAlign w:val="center"/>
            <w:shd w:fill="DDEAF6"/>
          </w:tcPr>
          <w:p>
            <w:pPr>
              <w:spacing w:after="40" w:before="40" w:line="278" w:lineRule="auto"/>
            </w:pPr>
            <w:r>
              <w:rPr>
                <w:b/>
                <w:sz w:val="18"/>
              </w:rPr>
              <w:t>输出</w:t>
            </w:r>
          </w:p>
        </w:tc>
      </w:tr>
      <w:tr>
        <w:trPr>
          <w:cantSplit/>
        </w:trPr>
        <w:tc>
          <w:tcPr>
            <w:tcW w:type="dxa" w:w="1814"/>
            <w:vAlign w:val="center"/>
          </w:tcPr>
          <w:p>
            <w:pPr>
              <w:spacing w:after="40" w:before="40" w:line="278" w:lineRule="auto"/>
            </w:pPr>
            <w:r>
              <w:rPr>
                <w:sz w:val="18"/>
              </w:rPr>
              <w:t>简历工坊</w:t>
            </w:r>
          </w:p>
        </w:tc>
        <w:tc>
          <w:tcPr>
            <w:tcW w:type="dxa" w:w="4649"/>
            <w:vAlign w:val="center"/>
          </w:tcPr>
          <w:p>
            <w:pPr>
              <w:spacing w:after="40" w:before="40" w:line="278" w:lineRule="auto"/>
            </w:pPr>
            <w:r>
              <w:rPr>
                <w:sz w:val="18"/>
              </w:rPr>
              <w:t>空白/模板/导入起步；拖拽组件；样式调整；草稿、发布、复制、版本对比与回滚</w:t>
            </w:r>
          </w:p>
        </w:tc>
        <w:tc>
          <w:tcPr>
            <w:tcW w:type="dxa" w:w="2268"/>
            <w:vAlign w:val="center"/>
          </w:tcPr>
          <w:p>
            <w:pPr>
              <w:spacing w:after="40" w:before="40" w:line="278" w:lineRule="auto"/>
            </w:pPr>
            <w:r>
              <w:rPr>
                <w:sz w:val="18"/>
              </w:rPr>
              <w:t>可持续编辑的简历资产</w:t>
            </w:r>
          </w:p>
        </w:tc>
      </w:tr>
      <w:tr>
        <w:trPr>
          <w:cantSplit/>
        </w:trPr>
        <w:tc>
          <w:tcPr>
            <w:tcW w:type="dxa" w:w="1814"/>
            <w:vAlign w:val="center"/>
          </w:tcPr>
          <w:p>
            <w:pPr>
              <w:spacing w:after="40" w:before="40" w:line="278" w:lineRule="auto"/>
            </w:pPr>
            <w:r>
              <w:rPr>
                <w:sz w:val="18"/>
              </w:rPr>
              <w:t>智能优化</w:t>
            </w:r>
          </w:p>
        </w:tc>
        <w:tc>
          <w:tcPr>
            <w:tcW w:type="dxa" w:w="4649"/>
            <w:vAlign w:val="center"/>
          </w:tcPr>
          <w:p>
            <w:pPr>
              <w:spacing w:after="40" w:before="40" w:line="278" w:lineRule="auto"/>
            </w:pPr>
            <w:r>
              <w:rPr>
                <w:sz w:val="18"/>
              </w:rPr>
              <w:t>润色、纠错、评分、经历优化、岗位适配；额度校验与日志</w:t>
            </w:r>
          </w:p>
        </w:tc>
        <w:tc>
          <w:tcPr>
            <w:tcW w:type="dxa" w:w="2268"/>
            <w:vAlign w:val="center"/>
          </w:tcPr>
          <w:p>
            <w:pPr>
              <w:spacing w:after="40" w:before="40" w:line="278" w:lineRule="auto"/>
            </w:pPr>
            <w:r>
              <w:rPr>
                <w:sz w:val="18"/>
              </w:rPr>
              <w:t>针对岗位的文本建议</w:t>
            </w:r>
          </w:p>
        </w:tc>
      </w:tr>
      <w:tr>
        <w:trPr>
          <w:cantSplit/>
        </w:trPr>
        <w:tc>
          <w:tcPr>
            <w:tcW w:type="dxa" w:w="1814"/>
            <w:vAlign w:val="center"/>
          </w:tcPr>
          <w:p>
            <w:pPr>
              <w:spacing w:after="40" w:before="40" w:line="278" w:lineRule="auto"/>
            </w:pPr>
            <w:r>
              <w:rPr>
                <w:sz w:val="18"/>
              </w:rPr>
              <w:t>沉浸式面试</w:t>
            </w:r>
          </w:p>
        </w:tc>
        <w:tc>
          <w:tcPr>
            <w:tcW w:type="dxa" w:w="4649"/>
            <w:vAlign w:val="center"/>
          </w:tcPr>
          <w:p>
            <w:pPr>
              <w:spacing w:after="40" w:before="40" w:line="278" w:lineRule="auto"/>
            </w:pPr>
            <w:r>
              <w:rPr>
                <w:sz w:val="18"/>
              </w:rPr>
              <w:t>简历驱动追问、语音/文字双模式、自动聆听、静音自动提交</w:t>
            </w:r>
          </w:p>
        </w:tc>
        <w:tc>
          <w:tcPr>
            <w:tcW w:type="dxa" w:w="2268"/>
            <w:vAlign w:val="center"/>
          </w:tcPr>
          <w:p>
            <w:pPr>
              <w:spacing w:after="40" w:before="40" w:line="278" w:lineRule="auto"/>
            </w:pPr>
            <w:r>
              <w:rPr>
                <w:sz w:val="18"/>
              </w:rPr>
              <w:t>连续对话及问答记录</w:t>
            </w:r>
          </w:p>
        </w:tc>
      </w:tr>
      <w:tr>
        <w:trPr>
          <w:cantSplit/>
        </w:trPr>
        <w:tc>
          <w:tcPr>
            <w:tcW w:type="dxa" w:w="1814"/>
            <w:vAlign w:val="center"/>
          </w:tcPr>
          <w:p>
            <w:pPr>
              <w:spacing w:after="40" w:before="40" w:line="278" w:lineRule="auto"/>
            </w:pPr>
            <w:r>
              <w:rPr>
                <w:sz w:val="18"/>
              </w:rPr>
              <w:t>报告与复盘</w:t>
            </w:r>
          </w:p>
        </w:tc>
        <w:tc>
          <w:tcPr>
            <w:tcW w:type="dxa" w:w="4649"/>
            <w:vAlign w:val="center"/>
          </w:tcPr>
          <w:p>
            <w:pPr>
              <w:spacing w:after="40" w:before="40" w:line="278" w:lineRule="auto"/>
            </w:pPr>
            <w:r>
              <w:rPr>
                <w:sz w:val="18"/>
              </w:rPr>
              <w:t>综合评分、逐题建议、能力雷达、表达节奏与口头禅统计</w:t>
            </w:r>
          </w:p>
        </w:tc>
        <w:tc>
          <w:tcPr>
            <w:tcW w:type="dxa" w:w="2268"/>
            <w:vAlign w:val="center"/>
          </w:tcPr>
          <w:p>
            <w:pPr>
              <w:spacing w:after="40" w:before="40" w:line="278" w:lineRule="auto"/>
            </w:pPr>
            <w:r>
              <w:rPr>
                <w:sz w:val="18"/>
              </w:rPr>
              <w:t>可视化能力诊断</w:t>
            </w:r>
          </w:p>
        </w:tc>
      </w:tr>
      <w:tr>
        <w:trPr>
          <w:cantSplit/>
        </w:trPr>
        <w:tc>
          <w:tcPr>
            <w:tcW w:type="dxa" w:w="1814"/>
            <w:vAlign w:val="center"/>
          </w:tcPr>
          <w:p>
            <w:pPr>
              <w:spacing w:after="40" w:before="40" w:line="278" w:lineRule="auto"/>
            </w:pPr>
            <w:r>
              <w:rPr>
                <w:sz w:val="18"/>
              </w:rPr>
              <w:t>模板与社区</w:t>
            </w:r>
          </w:p>
        </w:tc>
        <w:tc>
          <w:tcPr>
            <w:tcW w:type="dxa" w:w="4649"/>
            <w:vAlign w:val="center"/>
          </w:tcPr>
          <w:p>
            <w:pPr>
              <w:spacing w:after="40" w:before="40" w:line="278" w:lineRule="auto"/>
            </w:pPr>
            <w:r>
              <w:rPr>
                <w:sz w:val="18"/>
              </w:rPr>
              <w:t>模板分类/收藏、案例、文章、投稿、点赞与审核</w:t>
            </w:r>
          </w:p>
        </w:tc>
        <w:tc>
          <w:tcPr>
            <w:tcW w:type="dxa" w:w="2268"/>
            <w:vAlign w:val="center"/>
          </w:tcPr>
          <w:p>
            <w:pPr>
              <w:spacing w:after="40" w:before="40" w:line="278" w:lineRule="auto"/>
            </w:pPr>
            <w:r>
              <w:rPr>
                <w:sz w:val="18"/>
              </w:rPr>
              <w:t>内容供给与交流</w:t>
            </w:r>
          </w:p>
        </w:tc>
      </w:tr>
      <w:tr>
        <w:trPr>
          <w:cantSplit/>
        </w:trPr>
        <w:tc>
          <w:tcPr>
            <w:tcW w:type="dxa" w:w="1814"/>
            <w:vAlign w:val="center"/>
          </w:tcPr>
          <w:p>
            <w:pPr>
              <w:spacing w:after="40" w:before="40" w:line="278" w:lineRule="auto"/>
            </w:pPr>
            <w:r>
              <w:rPr>
                <w:sz w:val="18"/>
              </w:rPr>
              <w:t>会员与额度</w:t>
            </w:r>
          </w:p>
        </w:tc>
        <w:tc>
          <w:tcPr>
            <w:tcW w:type="dxa" w:w="4649"/>
            <w:vAlign w:val="center"/>
          </w:tcPr>
          <w:p>
            <w:pPr>
              <w:spacing w:after="40" w:before="40" w:line="278" w:lineRule="auto"/>
            </w:pPr>
            <w:r>
              <w:rPr>
                <w:sz w:val="18"/>
              </w:rPr>
              <w:t>套餐、兑换码、额度余额与使用流水</w:t>
            </w:r>
          </w:p>
        </w:tc>
        <w:tc>
          <w:tcPr>
            <w:tcW w:type="dxa" w:w="2268"/>
            <w:vAlign w:val="center"/>
          </w:tcPr>
          <w:p>
            <w:pPr>
              <w:spacing w:after="40" w:before="40" w:line="278" w:lineRule="auto"/>
            </w:pPr>
            <w:r>
              <w:rPr>
                <w:sz w:val="18"/>
              </w:rPr>
              <w:t>受控的增值能力</w:t>
            </w:r>
          </w:p>
        </w:tc>
      </w:tr>
      <w:tr>
        <w:trPr>
          <w:cantSplit/>
        </w:trPr>
        <w:tc>
          <w:tcPr>
            <w:tcW w:type="dxa" w:w="1814"/>
            <w:vAlign w:val="center"/>
          </w:tcPr>
          <w:p>
            <w:pPr>
              <w:spacing w:after="40" w:before="40" w:line="278" w:lineRule="auto"/>
            </w:pPr>
            <w:r>
              <w:rPr>
                <w:sz w:val="18"/>
              </w:rPr>
              <w:t>后台运营</w:t>
            </w:r>
          </w:p>
        </w:tc>
        <w:tc>
          <w:tcPr>
            <w:tcW w:type="dxa" w:w="4649"/>
            <w:vAlign w:val="center"/>
          </w:tcPr>
          <w:p>
            <w:pPr>
              <w:spacing w:after="40" w:before="40" w:line="278" w:lineRule="auto"/>
            </w:pPr>
            <w:r>
              <w:rPr>
                <w:sz w:val="18"/>
              </w:rPr>
              <w:t>用户、模板、公告、面试、AI、日志与系统配置</w:t>
            </w:r>
          </w:p>
        </w:tc>
        <w:tc>
          <w:tcPr>
            <w:tcW w:type="dxa" w:w="2268"/>
            <w:vAlign w:val="center"/>
          </w:tcPr>
          <w:p>
            <w:pPr>
              <w:spacing w:after="40" w:before="40" w:line="278" w:lineRule="auto"/>
            </w:pPr>
            <w:r>
              <w:rPr>
                <w:sz w:val="18"/>
              </w:rPr>
              <w:t>可配置的平台管理</w:t>
            </w:r>
          </w:p>
        </w:tc>
      </w:tr>
    </w:tbl>
    <w:p/>
    <w:p>
      <w:pPr>
        <w:pStyle w:val="Heading2"/>
      </w:pPr>
      <w:r>
        <w:t>3.3 用例图</w:t>
      </w:r>
    </w:p>
    <w:p>
      <w:pPr>
        <w:jc w:val="center"/>
      </w:pPr>
      <w:r>
        <w:drawing>
          <wp:inline xmlns:a="http://schemas.openxmlformats.org/drawingml/2006/main" xmlns:pic="http://schemas.openxmlformats.org/drawingml/2006/picture">
            <wp:extent cx="5634000" cy="3113526"/>
            <wp:docPr id="1" name="Picture 1"/>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634000" cy="3113526"/>
                    </a:xfrm>
                    <a:prstGeom prst="rect"/>
                  </pic:spPr>
                </pic:pic>
              </a:graphicData>
            </a:graphic>
          </wp:inline>
        </w:drawing>
      </w:r>
    </w:p>
    <w:p>
      <w:pPr>
        <w:spacing w:after="200"/>
        <w:jc w:val="center"/>
      </w:pPr>
      <w:r>
        <w:rPr>
          <w:color w:val="5F6D7F"/>
          <w:sz w:val="18"/>
        </w:rPr>
        <w:t>图 3-1  履历星图系统主要用例图</w:t>
      </w:r>
    </w:p>
    <w:p>
      <w:r>
        <w:t>访客可访问公开内容，用户在登录后完成持久化简历和面试操作，管理员通过独立会话进入运营功能。访问编辑器介绍页与执行保存动作是不同权限级别：关键数据操作由服务端校验。</w:t>
      </w:r>
    </w:p>
    <w:p>
      <w:pPr>
        <w:pStyle w:val="Heading2"/>
      </w:pPr>
      <w:r>
        <w:t>3.4 非功能需求与约束</w:t>
      </w:r>
    </w:p>
    <w:p>
      <w:pPr>
        <w:pStyle w:val="ListNumber"/>
      </w:pPr>
      <w:r>
        <w:t>安全：账号密码哈希保存；AI 和语音供应商密钥放在服务端；受保护接口检查 Session、资源归属、调用频率与额度。</w:t>
      </w:r>
    </w:p>
    <w:p>
      <w:pPr>
        <w:pStyle w:val="ListNumber"/>
      </w:pPr>
      <w:r>
        <w:t>兼容：桌面优先提供完整拖拽排版，移动端支持改稿和语音面试；音频能力依赖安全上下文、麦克风授权与浏览器支持。</w:t>
      </w:r>
    </w:p>
    <w:p>
      <w:pPr>
        <w:pStyle w:val="ListNumber"/>
      </w:pPr>
      <w:r>
        <w:t>可恢复：草稿与版本快照支持迭代，云端 TTS 失败时切换本地语音，AI 提问或评估失败时使用本地兜底，语音输入不可用时保留文字作答。</w:t>
      </w:r>
    </w:p>
    <w:p>
      <w:pPr>
        <w:pStyle w:val="ListNumber"/>
      </w:pPr>
      <w:r>
        <w:t>可扩展：通过后台配置控制面试时长、题目、额度和语音能力；外部模型端点可配置；表结构通过 Flyway 迁移。</w:t>
      </w:r>
    </w:p>
    <w:p>
      <w:pPr>
        <w:pStyle w:val="Heading1"/>
      </w:pPr>
      <w:r>
        <w:t>4 系统设计</w:t>
      </w:r>
    </w:p>
    <w:p>
      <w:pPr>
        <w:pStyle w:val="Heading2"/>
      </w:pPr>
      <w:r>
        <w:t>4.1 总体架构</w:t>
      </w:r>
    </w:p>
    <w:p>
      <w:pPr>
        <w:jc w:val="center"/>
      </w:pPr>
      <w:r>
        <w:drawing>
          <wp:inline xmlns:a="http://schemas.openxmlformats.org/drawingml/2006/main" xmlns:pic="http://schemas.openxmlformats.org/drawingml/2006/picture">
            <wp:extent cx="5634000" cy="332406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634000" cy="3324060"/>
                    </a:xfrm>
                    <a:prstGeom prst="rect"/>
                  </pic:spPr>
                </pic:pic>
              </a:graphicData>
            </a:graphic>
          </wp:inline>
        </w:drawing>
      </w:r>
    </w:p>
    <w:p>
      <w:pPr>
        <w:spacing w:after="200"/>
        <w:jc w:val="center"/>
      </w:pPr>
      <w:r>
        <w:rPr>
          <w:color w:val="5F6D7F"/>
          <w:sz w:val="18"/>
        </w:rPr>
        <w:t>图 4-1  平台技术架构与能力闭环</w:t>
      </w:r>
    </w:p>
    <w:p>
      <w:r>
        <w:t>前端将编辑器、面试舱、模板库和管理员页面按路由组织，路由层维护页面进入条件，Axios 连接后端 API。后端以 Controller—Service—Repository 分层承载规则，通过 Spring MVC 拦截器实现会话保护和限流，并在 MySQL 中保存用户、简历、面试、模板、权益和日志。大模型与语音服务以适配器方式接入，密钥不下发浏览器。</w:t>
      </w:r>
    </w:p>
    <w:p>
      <w:pPr>
        <w:pStyle w:val="Heading2"/>
      </w:pPr>
      <w:r>
        <w:t>4.2 简历创作流程图</w:t>
      </w:r>
    </w:p>
    <w:p>
      <w:pPr>
        <w:jc w:val="center"/>
      </w:pPr>
      <w:r>
        <w:drawing>
          <wp:inline xmlns:a="http://schemas.openxmlformats.org/drawingml/2006/main" xmlns:pic="http://schemas.openxmlformats.org/drawingml/2006/picture">
            <wp:extent cx="5634000" cy="4538500"/>
            <wp:docPr id="3" name="Picture 3"/>
            <wp:cNvGraphicFramePr>
              <a:graphicFrameLocks noChangeAspect="1"/>
            </wp:cNvGraphicFramePr>
            <a:graphic>
              <a:graphicData uri="http://schemas.openxmlformats.org/drawingml/2006/picture">
                <pic:pic>
                  <pic:nvPicPr>
                    <pic:cNvPr id="0" name="flow.png"/>
                    <pic:cNvPicPr/>
                  </pic:nvPicPr>
                  <pic:blipFill>
                    <a:blip r:embed="rId13"/>
                    <a:stretch>
                      <a:fillRect/>
                    </a:stretch>
                  </pic:blipFill>
                  <pic:spPr>
                    <a:xfrm>
                      <a:off x="0" y="0"/>
                      <a:ext cx="5634000" cy="4538500"/>
                    </a:xfrm>
                    <a:prstGeom prst="rect"/>
                  </pic:spPr>
                </pic:pic>
              </a:graphicData>
            </a:graphic>
          </wp:inline>
        </w:drawing>
      </w:r>
    </w:p>
    <w:p>
      <w:pPr>
        <w:spacing w:after="200"/>
        <w:jc w:val="center"/>
      </w:pPr>
      <w:r>
        <w:rPr>
          <w:color w:val="5F6D7F"/>
          <w:sz w:val="18"/>
        </w:rPr>
        <w:t>图 4-2  简历制作、AI 优化与导出主流程</w:t>
      </w:r>
    </w:p>
    <w:p>
      <w:r>
        <w:t>从空白、模板或文件导入进入编辑器，组件内容与布局实时预览。选择 AI 优化时，后端先检查配额，再根据内容与岗位说明生成建议；用户可修改后保存。保存动作记录简历归属并生成历史版本；导出主要由浏览器本地生成，后端记录导出行为与额度。分享令牌由服务端维护并支持公开访问。</w:t>
      </w:r>
    </w:p>
    <w:p>
      <w:pPr>
        <w:pStyle w:val="Heading2"/>
      </w:pPr>
      <w:r>
        <w:t>4.3 沉浸式语音面试闭环</w:t>
      </w:r>
    </w:p>
    <w:p>
      <w:pPr>
        <w:jc w:val="center"/>
      </w:pPr>
      <w:r>
        <w:drawing>
          <wp:inline xmlns:a="http://schemas.openxmlformats.org/drawingml/2006/main" xmlns:pic="http://schemas.openxmlformats.org/drawingml/2006/picture">
            <wp:extent cx="5634000" cy="3242985"/>
            <wp:docPr id="4" name="Picture 4"/>
            <wp:cNvGraphicFramePr>
              <a:graphicFrameLocks noChangeAspect="1"/>
            </wp:cNvGraphicFramePr>
            <a:graphic>
              <a:graphicData uri="http://schemas.openxmlformats.org/drawingml/2006/picture">
                <pic:pic>
                  <pic:nvPicPr>
                    <pic:cNvPr id="0" name="voice.png"/>
                    <pic:cNvPicPr/>
                  </pic:nvPicPr>
                  <pic:blipFill>
                    <a:blip r:embed="rId14"/>
                    <a:stretch>
                      <a:fillRect/>
                    </a:stretch>
                  </pic:blipFill>
                  <pic:spPr>
                    <a:xfrm>
                      <a:off x="0" y="0"/>
                      <a:ext cx="5634000" cy="3242985"/>
                    </a:xfrm>
                    <a:prstGeom prst="rect"/>
                  </pic:spPr>
                </pic:pic>
              </a:graphicData>
            </a:graphic>
          </wp:inline>
        </w:drawing>
      </w:r>
    </w:p>
    <w:p>
      <w:pPr>
        <w:spacing w:after="200"/>
        <w:jc w:val="center"/>
      </w:pPr>
      <w:r>
        <w:rPr>
          <w:color w:val="5F6D7F"/>
          <w:sz w:val="18"/>
        </w:rPr>
        <w:t>图 4-3  语音面试的多模态交互闭环</w:t>
      </w:r>
    </w:p>
    <w:p>
      <w:r>
        <w:t>面试官的提问进入串行 TTS 队列，播报结束且仍处于待回答状态时自动开麦。浏览器识别引擎直接得到实时转写；云端路径则采集 Float32 音频块，计算 RMS 音量进行简易 VAD，在检测到开口后持续静音达到阈值时断句，把音频降采样并编码为 16 kHz/16 bit 单声道 PCM，经 /interview/asr 转写。文本可手动修正，也可在免手操模式中自动提交，生成下一题；总时长或手动结束后输出报告。</w:t>
      </w:r>
    </w:p>
    <w:p>
      <w:r>
        <w:t>语音输出采用队列与代次标识：重听、切换音色或结束时，代次递增使旧的在途播报失效，避免多路声音叠加。云端 TTS 返回音频地址供浏览器播放，失败时转为 SpeechSynthesis。云端识别在服务端通过 HMAC-SHA256 鉴权的 WebSocket 流式接口发送音频帧并处理动态修正结果。</w:t>
      </w:r>
    </w:p>
    <w:p>
      <w:pPr>
        <w:pStyle w:val="Heading2"/>
      </w:pPr>
      <w:r>
        <w:t>4.4 数据库与逻辑 ER 图</w:t>
      </w:r>
    </w:p>
    <w:p>
      <w:pPr>
        <w:jc w:val="center"/>
      </w:pPr>
      <w:r>
        <w:drawing>
          <wp:inline xmlns:a="http://schemas.openxmlformats.org/drawingml/2006/main" xmlns:pic="http://schemas.openxmlformats.org/drawingml/2006/picture">
            <wp:extent cx="5634000" cy="3710195"/>
            <wp:docPr id="5" name="Picture 5"/>
            <wp:cNvGraphicFramePr>
              <a:graphicFrameLocks noChangeAspect="1"/>
            </wp:cNvGraphicFramePr>
            <a:graphic>
              <a:graphicData uri="http://schemas.openxmlformats.org/drawingml/2006/picture">
                <pic:pic>
                  <pic:nvPicPr>
                    <pic:cNvPr id="0" name="er.png"/>
                    <pic:cNvPicPr/>
                  </pic:nvPicPr>
                  <pic:blipFill>
                    <a:blip r:embed="rId15"/>
                    <a:stretch>
                      <a:fillRect/>
                    </a:stretch>
                  </pic:blipFill>
                  <pic:spPr>
                    <a:xfrm>
                      <a:off x="0" y="0"/>
                      <a:ext cx="5634000" cy="3710195"/>
                    </a:xfrm>
                    <a:prstGeom prst="rect"/>
                  </pic:spPr>
                </pic:pic>
              </a:graphicData>
            </a:graphic>
          </wp:inline>
        </w:drawing>
      </w:r>
    </w:p>
    <w:p>
      <w:pPr>
        <w:spacing w:after="200"/>
        <w:jc w:val="center"/>
      </w:pPr>
      <w:r>
        <w:rPr>
          <w:color w:val="5F6D7F"/>
          <w:sz w:val="18"/>
        </w:rPr>
        <w:t>图 4-4  核心业务对象逻辑 ER 图</w:t>
      </w:r>
    </w:p>
    <w:p>
      <w:r>
        <w:t>用户对简历是一对多关系；简历对历史版本为一对多；简历可以拥有分享入口，面试记录关联用户并可关联所用简历。模板与简历存在可选引用关系。数据库脚本以 rl_ 命名，常用字段独立建列，复杂内容保存为 JSON 快照。图中的连线属于业务关联；当前 V1 建表脚本未声明数据库 FOREIGN KEY 约束。</w:t>
      </w:r>
    </w:p>
    <w:tbl>
      <w:tblPr>
        <w:tblStyle w:val="TableGrid"/>
        <w:tblW w:type="auto" w:w="0"/>
        <w:jc w:val="center"/>
        <w:tblLook w:firstColumn="1" w:firstRow="1" w:lastColumn="0" w:lastRow="0" w:noHBand="0" w:noVBand="1" w:val="04A0"/>
      </w:tblPr>
      <w:tblGrid>
        <w:gridCol w:w="3052"/>
        <w:gridCol w:w="3052"/>
        <w:gridCol w:w="3052"/>
      </w:tblGrid>
      <w:tr>
        <w:trPr>
          <w:cantSplit/>
          <w:tblHeader/>
        </w:trPr>
        <w:tc>
          <w:tcPr>
            <w:tcW w:type="dxa" w:w="2835"/>
            <w:vAlign w:val="center"/>
            <w:shd w:fill="DDEAF6"/>
          </w:tcPr>
          <w:p>
            <w:pPr>
              <w:spacing w:after="40" w:before="40" w:line="278" w:lineRule="auto"/>
            </w:pPr>
            <w:r>
              <w:rPr>
                <w:b/>
                <w:sz w:val="18"/>
              </w:rPr>
              <w:t>核心实体</w:t>
            </w:r>
          </w:p>
        </w:tc>
        <w:tc>
          <w:tcPr>
            <w:tcW w:type="dxa" w:w="2948"/>
            <w:vAlign w:val="center"/>
            <w:shd w:fill="DDEAF6"/>
          </w:tcPr>
          <w:p>
            <w:pPr>
              <w:spacing w:after="40" w:before="40" w:line="278" w:lineRule="auto"/>
            </w:pPr>
            <w:r>
              <w:rPr>
                <w:b/>
                <w:sz w:val="18"/>
              </w:rPr>
              <w:t>关键字段</w:t>
            </w:r>
          </w:p>
        </w:tc>
        <w:tc>
          <w:tcPr>
            <w:tcW w:type="dxa" w:w="2948"/>
            <w:vAlign w:val="center"/>
            <w:shd w:fill="DDEAF6"/>
          </w:tcPr>
          <w:p>
            <w:pPr>
              <w:spacing w:after="40" w:before="40" w:line="278" w:lineRule="auto"/>
            </w:pPr>
            <w:r>
              <w:rPr>
                <w:b/>
                <w:sz w:val="18"/>
              </w:rPr>
              <w:t>业务作用</w:t>
            </w:r>
          </w:p>
        </w:tc>
      </w:tr>
      <w:tr>
        <w:trPr>
          <w:cantSplit/>
        </w:trPr>
        <w:tc>
          <w:tcPr>
            <w:tcW w:type="dxa" w:w="2835"/>
            <w:vAlign w:val="center"/>
          </w:tcPr>
          <w:p>
            <w:pPr>
              <w:spacing w:after="40" w:before="40" w:line="278" w:lineRule="auto"/>
            </w:pPr>
            <w:r>
              <w:rPr>
                <w:sz w:val="18"/>
              </w:rPr>
              <w:t>rl_user</w:t>
            </w:r>
          </w:p>
        </w:tc>
        <w:tc>
          <w:tcPr>
            <w:tcW w:type="dxa" w:w="2948"/>
            <w:vAlign w:val="center"/>
          </w:tcPr>
          <w:p>
            <w:pPr>
              <w:spacing w:after="40" w:before="40" w:line="278" w:lineRule="auto"/>
            </w:pPr>
            <w:r>
              <w:rPr>
                <w:sz w:val="18"/>
              </w:rPr>
              <w:t>id、username、email、vip_level、data</w:t>
            </w:r>
          </w:p>
        </w:tc>
        <w:tc>
          <w:tcPr>
            <w:tcW w:type="dxa" w:w="2948"/>
            <w:vAlign w:val="center"/>
          </w:tcPr>
          <w:p>
            <w:pPr>
              <w:spacing w:after="40" w:before="40" w:line="278" w:lineRule="auto"/>
            </w:pPr>
            <w:r>
              <w:rPr>
                <w:sz w:val="18"/>
              </w:rPr>
              <w:t>身份、资料与会员状态</w:t>
            </w:r>
          </w:p>
        </w:tc>
      </w:tr>
      <w:tr>
        <w:trPr>
          <w:cantSplit/>
        </w:trPr>
        <w:tc>
          <w:tcPr>
            <w:tcW w:type="dxa" w:w="2835"/>
            <w:vAlign w:val="center"/>
          </w:tcPr>
          <w:p>
            <w:pPr>
              <w:spacing w:after="40" w:before="40" w:line="278" w:lineRule="auto"/>
            </w:pPr>
            <w:r>
              <w:rPr>
                <w:sz w:val="18"/>
              </w:rPr>
              <w:t>rl_resume</w:t>
            </w:r>
          </w:p>
        </w:tc>
        <w:tc>
          <w:tcPr>
            <w:tcW w:type="dxa" w:w="2948"/>
            <w:vAlign w:val="center"/>
          </w:tcPr>
          <w:p>
            <w:pPr>
              <w:spacing w:after="40" w:before="40" w:line="278" w:lineRule="auto"/>
            </w:pPr>
            <w:r>
              <w:rPr>
                <w:sz w:val="18"/>
              </w:rPr>
              <w:t>id、owner_id、title、data</w:t>
            </w:r>
          </w:p>
        </w:tc>
        <w:tc>
          <w:tcPr>
            <w:tcW w:type="dxa" w:w="2948"/>
            <w:vAlign w:val="center"/>
          </w:tcPr>
          <w:p>
            <w:pPr>
              <w:spacing w:after="40" w:before="40" w:line="278" w:lineRule="auto"/>
            </w:pPr>
            <w:r>
              <w:rPr>
                <w:sz w:val="18"/>
              </w:rPr>
              <w:t>个人简历与组件画布</w:t>
            </w:r>
          </w:p>
        </w:tc>
      </w:tr>
      <w:tr>
        <w:trPr>
          <w:cantSplit/>
        </w:trPr>
        <w:tc>
          <w:tcPr>
            <w:tcW w:type="dxa" w:w="2835"/>
            <w:vAlign w:val="center"/>
          </w:tcPr>
          <w:p>
            <w:pPr>
              <w:spacing w:after="40" w:before="40" w:line="278" w:lineRule="auto"/>
            </w:pPr>
            <w:r>
              <w:rPr>
                <w:sz w:val="18"/>
              </w:rPr>
              <w:t>rl_resume_version / rl_resume_share</w:t>
            </w:r>
          </w:p>
        </w:tc>
        <w:tc>
          <w:tcPr>
            <w:tcW w:type="dxa" w:w="2948"/>
            <w:vAlign w:val="center"/>
          </w:tcPr>
          <w:p>
            <w:pPr>
              <w:spacing w:after="40" w:before="40" w:line="278" w:lineRule="auto"/>
            </w:pPr>
            <w:r>
              <w:rPr>
                <w:sz w:val="18"/>
              </w:rPr>
              <w:t>resume_id / token</w:t>
            </w:r>
          </w:p>
        </w:tc>
        <w:tc>
          <w:tcPr>
            <w:tcW w:type="dxa" w:w="2948"/>
            <w:vAlign w:val="center"/>
          </w:tcPr>
          <w:p>
            <w:pPr>
              <w:spacing w:after="40" w:before="40" w:line="278" w:lineRule="auto"/>
            </w:pPr>
            <w:r>
              <w:rPr>
                <w:sz w:val="18"/>
              </w:rPr>
              <w:t>版本回滚与令牌分享</w:t>
            </w:r>
          </w:p>
        </w:tc>
      </w:tr>
      <w:tr>
        <w:trPr>
          <w:cantSplit/>
        </w:trPr>
        <w:tc>
          <w:tcPr>
            <w:tcW w:type="dxa" w:w="2835"/>
            <w:vAlign w:val="center"/>
          </w:tcPr>
          <w:p>
            <w:pPr>
              <w:spacing w:after="40" w:before="40" w:line="278" w:lineRule="auto"/>
            </w:pPr>
            <w:r>
              <w:rPr>
                <w:sz w:val="18"/>
              </w:rPr>
              <w:t>rl_resume_template / rl_template_category</w:t>
            </w:r>
          </w:p>
        </w:tc>
        <w:tc>
          <w:tcPr>
            <w:tcW w:type="dxa" w:w="2948"/>
            <w:vAlign w:val="center"/>
          </w:tcPr>
          <w:p>
            <w:pPr>
              <w:spacing w:after="40" w:before="40" w:line="278" w:lineRule="auto"/>
            </w:pPr>
            <w:r>
              <w:rPr>
                <w:sz w:val="18"/>
              </w:rPr>
              <w:t>id、name、vip_template / code</w:t>
            </w:r>
          </w:p>
        </w:tc>
        <w:tc>
          <w:tcPr>
            <w:tcW w:type="dxa" w:w="2948"/>
            <w:vAlign w:val="center"/>
          </w:tcPr>
          <w:p>
            <w:pPr>
              <w:spacing w:after="40" w:before="40" w:line="278" w:lineRule="auto"/>
            </w:pPr>
            <w:r>
              <w:rPr>
                <w:sz w:val="18"/>
              </w:rPr>
              <w:t>模板及分类</w:t>
            </w:r>
          </w:p>
        </w:tc>
      </w:tr>
      <w:tr>
        <w:trPr>
          <w:cantSplit/>
        </w:trPr>
        <w:tc>
          <w:tcPr>
            <w:tcW w:type="dxa" w:w="2835"/>
            <w:vAlign w:val="center"/>
          </w:tcPr>
          <w:p>
            <w:pPr>
              <w:spacing w:after="40" w:before="40" w:line="278" w:lineRule="auto"/>
            </w:pPr>
            <w:r>
              <w:rPr>
                <w:sz w:val="18"/>
              </w:rPr>
              <w:t>rl_interview_record / rl_interview_category</w:t>
            </w:r>
          </w:p>
        </w:tc>
        <w:tc>
          <w:tcPr>
            <w:tcW w:type="dxa" w:w="2948"/>
            <w:vAlign w:val="center"/>
          </w:tcPr>
          <w:p>
            <w:pPr>
              <w:spacing w:after="40" w:before="40" w:line="278" w:lineRule="auto"/>
            </w:pPr>
            <w:r>
              <w:rPr>
                <w:sz w:val="18"/>
              </w:rPr>
              <w:t>user_id、resume_id、total_score / code</w:t>
            </w:r>
          </w:p>
        </w:tc>
        <w:tc>
          <w:tcPr>
            <w:tcW w:type="dxa" w:w="2948"/>
            <w:vAlign w:val="center"/>
          </w:tcPr>
          <w:p>
            <w:pPr>
              <w:spacing w:after="40" w:before="40" w:line="278" w:lineRule="auto"/>
            </w:pPr>
            <w:r>
              <w:rPr>
                <w:sz w:val="18"/>
              </w:rPr>
              <w:t>面试记录、报告和分类</w:t>
            </w:r>
          </w:p>
        </w:tc>
      </w:tr>
      <w:tr>
        <w:trPr>
          <w:cantSplit/>
        </w:trPr>
        <w:tc>
          <w:tcPr>
            <w:tcW w:type="dxa" w:w="2835"/>
            <w:vAlign w:val="center"/>
          </w:tcPr>
          <w:p>
            <w:pPr>
              <w:spacing w:after="40" w:before="40" w:line="278" w:lineRule="auto"/>
            </w:pPr>
            <w:r>
              <w:rPr>
                <w:sz w:val="18"/>
              </w:rPr>
              <w:t>rl_ai_call_log / rl_export_record</w:t>
            </w:r>
          </w:p>
        </w:tc>
        <w:tc>
          <w:tcPr>
            <w:tcW w:type="dxa" w:w="2948"/>
            <w:vAlign w:val="center"/>
          </w:tcPr>
          <w:p>
            <w:pPr>
              <w:spacing w:after="40" w:before="40" w:line="278" w:lineRule="auto"/>
            </w:pPr>
            <w:r>
              <w:rPr>
                <w:sz w:val="18"/>
              </w:rPr>
              <w:t>user_id、feature_type / export_type</w:t>
            </w:r>
          </w:p>
        </w:tc>
        <w:tc>
          <w:tcPr>
            <w:tcW w:type="dxa" w:w="2948"/>
            <w:vAlign w:val="center"/>
          </w:tcPr>
          <w:p>
            <w:pPr>
              <w:spacing w:after="40" w:before="40" w:line="278" w:lineRule="auto"/>
            </w:pPr>
            <w:r>
              <w:rPr>
                <w:sz w:val="18"/>
              </w:rPr>
              <w:t>可追溯调用与导出行为</w:t>
            </w:r>
          </w:p>
        </w:tc>
      </w:tr>
      <w:tr>
        <w:trPr>
          <w:cantSplit/>
        </w:trPr>
        <w:tc>
          <w:tcPr>
            <w:tcW w:type="dxa" w:w="2835"/>
            <w:vAlign w:val="center"/>
          </w:tcPr>
          <w:p>
            <w:pPr>
              <w:spacing w:after="40" w:before="40" w:line="278" w:lineRule="auto"/>
            </w:pPr>
            <w:r>
              <w:rPr>
                <w:sz w:val="18"/>
              </w:rPr>
              <w:t>rl_member_package / rl_redeem_code</w:t>
            </w:r>
          </w:p>
        </w:tc>
        <w:tc>
          <w:tcPr>
            <w:tcW w:type="dxa" w:w="2948"/>
            <w:vAlign w:val="center"/>
          </w:tcPr>
          <w:p>
            <w:pPr>
              <w:spacing w:after="40" w:before="40" w:line="278" w:lineRule="auto"/>
            </w:pPr>
            <w:r>
              <w:rPr>
                <w:sz w:val="18"/>
              </w:rPr>
              <w:t>level_code / package_id、code</w:t>
            </w:r>
          </w:p>
        </w:tc>
        <w:tc>
          <w:tcPr>
            <w:tcW w:type="dxa" w:w="2948"/>
            <w:vAlign w:val="center"/>
          </w:tcPr>
          <w:p>
            <w:pPr>
              <w:spacing w:after="40" w:before="40" w:line="278" w:lineRule="auto"/>
            </w:pPr>
            <w:r>
              <w:rPr>
                <w:sz w:val="18"/>
              </w:rPr>
              <w:t>套餐与兑换权益</w:t>
            </w:r>
          </w:p>
        </w:tc>
      </w:tr>
    </w:tbl>
    <w:p/>
    <w:p>
      <w:pPr>
        <w:pStyle w:val="Heading2"/>
      </w:pPr>
      <w:r>
        <w:t>4.5 接口、安全与可靠性设计</w:t>
      </w:r>
    </w:p>
    <w:p>
      <w:r>
        <w:t>统一接口前缀为 /api。用户端包括 /user、/resumes、/ai/optimize、/interview、/member 等资源；后台接口位于 /admin。用户 Session 与管理员 Session 分开管理，后端拦截器执行访问控制，@CurrentUserId 从 Session 注入身份以减少客户端伪造 userId 的风险；简历资源进一步校验归属。登录、注册和验证码按 IP 限流，AI 调用按用户限流。额度服务统一裁决日配额与余额。</w:t>
      </w:r>
    </w:p>
    <w:p>
      <w:r>
        <w:t>需要继续重点关注的工程边界包括：内存状态与直写数据库路径的并发一致性；文件上传与语音服务的容量限制；外部 CDN、ASR 与大模型服务的超时和异常恢复。比赛演示可展示降级机制，稳定性指标需通过隔离环境压力测试验证。</w:t>
      </w:r>
    </w:p>
    <w:p>
      <w:pPr>
        <w:pStyle w:val="Heading1"/>
      </w:pPr>
      <w:r>
        <w:t>5 系统实现</w:t>
      </w:r>
    </w:p>
    <w:p>
      <w:pPr>
        <w:pStyle w:val="Heading2"/>
      </w:pPr>
      <w:r>
        <w:t>5.1 可视化简历引擎</w:t>
      </w:r>
    </w:p>
    <w:p>
      <w:r>
        <w:t>工坊以组件化画布组织文字、联系方式、进度、图片、分隔等元素，支持位置与样式编辑、实时预览、模板一键套用。旧简历导入用 pdfjs-dist 解析可选中文字 PDF，用 mammoth 提取 DOCX 原始文本，再按章节重构为可编辑组件。多格式交付包含文字版 PDF（pdf-lib 与字体嵌入，便于复制与检索）、视觉 PDF/PNG（画布图像化）及 Word 可打开的 HTML 文字稿。对于扫描 PDF，没有 OCR 前置处理时无法直接提取文字。</w:t>
      </w:r>
    </w:p>
    <w:p>
      <w:pPr>
        <w:pStyle w:val="Heading2"/>
      </w:pPr>
      <w:r>
        <w:t>5.2 版本化资产与岗位适配</w:t>
      </w:r>
    </w:p>
    <w:p>
      <w:r>
        <w:t>保存时按登录用户确认归属，组件列表与样式作为快照写库；历史版本可对照当前内容做增删改比较并恢复。AI 模块按润色、纠错、评分和岗位适配等类型构建提示词，把岗位说明与简历内容一并输入模型端点；用户拥有最终采纳和编辑权。模板类别、VIP 标识与收藏机制支持内容复用。</w:t>
      </w:r>
    </w:p>
    <w:p>
      <w:pPr>
        <w:pStyle w:val="Heading2"/>
      </w:pPr>
      <w:r>
        <w:t>5.3 双引擎 ASR 与音频前处理</w:t>
      </w:r>
    </w:p>
    <w:p>
      <w:r>
        <w:t>useSpeech 封装浏览器 SpeechRecognition / webkitSpeechRecognition；useRecorder 封装 getUserMedia、AudioContext 与音频块采样。录音器计算 RMS 音量，记录“已开口”和连续静音区间；免手操模式下静音约 2600 ms 后触发自动收音，单段录音有约 55 秒上限。停止时通过线性插值降采样到 16 kHz，再将 Float32 样本编码成 16 bit PCM，以 octet-stream 上传服务端。</w:t>
      </w:r>
    </w:p>
    <w:p>
      <w:r>
        <w:t>移动端默认优先云端 ASR，桌面默认优先浏览器原生识别；管理员开启云端能力且密钥齐备时，用户可在两种引擎间切换。XfyunAsrClient 在服务端完成 HMAC-SHA256 WebSocket 鉴权，以约 40 ms/帧发送音频，并聚合讯飞 wpgs 动态修正输出。这样的设计减少浏览器差异对面试流程的影响，但识别效果仍取决于网络、噪声和第三方服务。</w:t>
      </w:r>
    </w:p>
    <w:p>
      <w:pPr>
        <w:pStyle w:val="Heading2"/>
      </w:pPr>
      <w:r>
        <w:t>5.4 双通道 TTS 与免手操状态机</w:t>
      </w:r>
    </w:p>
    <w:p>
      <w:r>
        <w:t>云端 TTS 解析音频地址，前端浏览器直接播放；浏览器内置 SpeechSynthesis 作为可用的本地通道。前端在同一队列中串行处理开场白、追问、重听和报告播报，通过代次取消过期请求；播报结束后、待答且未在提交/思考/识别阶段时才重新开麦。这一状态机避免 AI 回答、TTS 播报与 ASR 聆听之间产生竞态，形成“问—听—答—评”的自然节奏。</w:t>
      </w:r>
    </w:p>
    <w:p>
      <w:pPr>
        <w:pStyle w:val="Heading2"/>
      </w:pPr>
      <w:r>
        <w:t>5.5 个性化提问与面试报告</w:t>
      </w:r>
    </w:p>
    <w:p>
      <w:r>
        <w:t>生成下一道题目时，后端综合面试方向、简历摘要、已有问答和管理员可配置的人设提示词；提交后组织完整问答向模型索取结构化评估结果。报告包含综合分、逐题反馈、薄弱点、建议与能力分布，ECharts 绘制雷达图。前端额外统计每题用时、字数和“嗯、那个、就是”等填充词，估计语速与表达节奏，并给出短建议。指标属于辅助练习反馈，不应视为正式招聘评价。</w:t>
      </w:r>
    </w:p>
    <w:p>
      <w:pPr>
        <w:pStyle w:val="Heading2"/>
      </w:pPr>
      <w:r>
        <w:t>5.6 会员额度、社区运营与后台</w:t>
      </w:r>
    </w:p>
    <w:p>
      <w:r>
        <w:t>QuotaService 统一管理 AI、导出和面试配额；会员兑换码和额度兑换码提供可配置权益，消耗结果记录流水。社区支持案例与文章投稿、点赞和审核；管理员控制台覆盖用户、模板、会员、订单、公告、面试分类、系统配置、AI 配置及审计日志。通过参数化配置实现内容供给、运营治理与技术能力的联动。</w:t>
      </w:r>
    </w:p>
    <w:p>
      <w:pPr>
        <w:pStyle w:val="Heading2"/>
      </w:pPr>
      <w:r>
        <w:t>5.7 关键接口清单</w:t>
      </w:r>
    </w:p>
    <w:tbl>
      <w:tblPr>
        <w:tblStyle w:val="TableGrid"/>
        <w:tblW w:type="auto" w:w="0"/>
        <w:jc w:val="center"/>
        <w:tblLook w:firstColumn="1" w:firstRow="1" w:lastColumn="0" w:lastRow="0" w:noHBand="0" w:noVBand="1" w:val="04A0"/>
      </w:tblPr>
      <w:tblGrid>
        <w:gridCol w:w="3052"/>
        <w:gridCol w:w="3052"/>
        <w:gridCol w:w="3052"/>
      </w:tblGrid>
      <w:tr>
        <w:trPr>
          <w:cantSplit/>
          <w:tblHeader/>
        </w:trPr>
        <w:tc>
          <w:tcPr>
            <w:tcW w:type="dxa" w:w="1701"/>
            <w:vAlign w:val="center"/>
            <w:shd w:fill="DDEAF6"/>
          </w:tcPr>
          <w:p>
            <w:pPr>
              <w:spacing w:after="40" w:before="40" w:line="278" w:lineRule="auto"/>
            </w:pPr>
            <w:r>
              <w:rPr>
                <w:b/>
                <w:sz w:val="18"/>
              </w:rPr>
              <w:t>能力</w:t>
            </w:r>
          </w:p>
        </w:tc>
        <w:tc>
          <w:tcPr>
            <w:tcW w:type="dxa" w:w="4139"/>
            <w:vAlign w:val="center"/>
            <w:shd w:fill="DDEAF6"/>
          </w:tcPr>
          <w:p>
            <w:pPr>
              <w:spacing w:after="40" w:before="40" w:line="278" w:lineRule="auto"/>
            </w:pPr>
            <w:r>
              <w:rPr>
                <w:b/>
                <w:sz w:val="18"/>
              </w:rPr>
              <w:t>典型接口</w:t>
            </w:r>
          </w:p>
        </w:tc>
        <w:tc>
          <w:tcPr>
            <w:tcW w:type="dxa" w:w="2835"/>
            <w:vAlign w:val="center"/>
            <w:shd w:fill="DDEAF6"/>
          </w:tcPr>
          <w:p>
            <w:pPr>
              <w:spacing w:after="40" w:before="40" w:line="278" w:lineRule="auto"/>
            </w:pPr>
            <w:r>
              <w:rPr>
                <w:b/>
                <w:sz w:val="18"/>
              </w:rPr>
              <w:t>关键处理</w:t>
            </w:r>
          </w:p>
        </w:tc>
      </w:tr>
      <w:tr>
        <w:trPr>
          <w:cantSplit/>
        </w:trPr>
        <w:tc>
          <w:tcPr>
            <w:tcW w:type="dxa" w:w="1701"/>
            <w:vAlign w:val="center"/>
          </w:tcPr>
          <w:p>
            <w:pPr>
              <w:spacing w:after="40" w:before="40" w:line="278" w:lineRule="auto"/>
            </w:pPr>
            <w:r>
              <w:rPr>
                <w:sz w:val="18"/>
              </w:rPr>
              <w:t>用户认证</w:t>
            </w:r>
          </w:p>
        </w:tc>
        <w:tc>
          <w:tcPr>
            <w:tcW w:type="dxa" w:w="4139"/>
            <w:vAlign w:val="center"/>
          </w:tcPr>
          <w:p>
            <w:pPr>
              <w:spacing w:after="40" w:before="40" w:line="278" w:lineRule="auto"/>
            </w:pPr>
            <w:r>
              <w:rPr>
                <w:sz w:val="18"/>
              </w:rPr>
              <w:t>POST /user/register；POST /user/login</w:t>
            </w:r>
          </w:p>
        </w:tc>
        <w:tc>
          <w:tcPr>
            <w:tcW w:type="dxa" w:w="2835"/>
            <w:vAlign w:val="center"/>
          </w:tcPr>
          <w:p>
            <w:pPr>
              <w:spacing w:after="40" w:before="40" w:line="278" w:lineRule="auto"/>
            </w:pPr>
            <w:r>
              <w:rPr>
                <w:sz w:val="18"/>
              </w:rPr>
              <w:t>BCrypt、Session、登录限流</w:t>
            </w:r>
          </w:p>
        </w:tc>
      </w:tr>
      <w:tr>
        <w:trPr>
          <w:cantSplit/>
        </w:trPr>
        <w:tc>
          <w:tcPr>
            <w:tcW w:type="dxa" w:w="1701"/>
            <w:vAlign w:val="center"/>
          </w:tcPr>
          <w:p>
            <w:pPr>
              <w:spacing w:after="40" w:before="40" w:line="278" w:lineRule="auto"/>
            </w:pPr>
            <w:r>
              <w:rPr>
                <w:sz w:val="18"/>
              </w:rPr>
              <w:t>简历资产</w:t>
            </w:r>
          </w:p>
        </w:tc>
        <w:tc>
          <w:tcPr>
            <w:tcW w:type="dxa" w:w="4139"/>
            <w:vAlign w:val="center"/>
          </w:tcPr>
          <w:p>
            <w:pPr>
              <w:spacing w:after="40" w:before="40" w:line="278" w:lineRule="auto"/>
            </w:pPr>
            <w:r>
              <w:rPr>
                <w:sz w:val="18"/>
              </w:rPr>
              <w:t>POST /resumes；GET /resumes/{id}；版本/分享子路径</w:t>
            </w:r>
          </w:p>
        </w:tc>
        <w:tc>
          <w:tcPr>
            <w:tcW w:type="dxa" w:w="2835"/>
            <w:vAlign w:val="center"/>
          </w:tcPr>
          <w:p>
            <w:pPr>
              <w:spacing w:after="40" w:before="40" w:line="278" w:lineRule="auto"/>
            </w:pPr>
            <w:r>
              <w:rPr>
                <w:sz w:val="18"/>
              </w:rPr>
              <w:t>归属校验、快照、版本和令牌</w:t>
            </w:r>
          </w:p>
        </w:tc>
      </w:tr>
      <w:tr>
        <w:trPr>
          <w:cantSplit/>
        </w:trPr>
        <w:tc>
          <w:tcPr>
            <w:tcW w:type="dxa" w:w="1701"/>
            <w:vAlign w:val="center"/>
          </w:tcPr>
          <w:p>
            <w:pPr>
              <w:spacing w:after="40" w:before="40" w:line="278" w:lineRule="auto"/>
            </w:pPr>
            <w:r>
              <w:rPr>
                <w:sz w:val="18"/>
              </w:rPr>
              <w:t>AI 优化</w:t>
            </w:r>
          </w:p>
        </w:tc>
        <w:tc>
          <w:tcPr>
            <w:tcW w:type="dxa" w:w="4139"/>
            <w:vAlign w:val="center"/>
          </w:tcPr>
          <w:p>
            <w:pPr>
              <w:spacing w:after="40" w:before="40" w:line="278" w:lineRule="auto"/>
            </w:pPr>
            <w:r>
              <w:rPr>
                <w:sz w:val="18"/>
              </w:rPr>
              <w:t>POST /ai/optimize</w:t>
            </w:r>
          </w:p>
        </w:tc>
        <w:tc>
          <w:tcPr>
            <w:tcW w:type="dxa" w:w="2835"/>
            <w:vAlign w:val="center"/>
          </w:tcPr>
          <w:p>
            <w:pPr>
              <w:spacing w:after="40" w:before="40" w:line="278" w:lineRule="auto"/>
            </w:pPr>
            <w:r>
              <w:rPr>
                <w:sz w:val="18"/>
              </w:rPr>
              <w:t>提示词、模型调用、额度与日志</w:t>
            </w:r>
          </w:p>
        </w:tc>
      </w:tr>
      <w:tr>
        <w:trPr>
          <w:cantSplit/>
        </w:trPr>
        <w:tc>
          <w:tcPr>
            <w:tcW w:type="dxa" w:w="1701"/>
            <w:vAlign w:val="center"/>
          </w:tcPr>
          <w:p>
            <w:pPr>
              <w:spacing w:after="40" w:before="40" w:line="278" w:lineRule="auto"/>
            </w:pPr>
            <w:r>
              <w:rPr>
                <w:sz w:val="18"/>
              </w:rPr>
              <w:t>面试与语音</w:t>
            </w:r>
          </w:p>
        </w:tc>
        <w:tc>
          <w:tcPr>
            <w:tcW w:type="dxa" w:w="4139"/>
            <w:vAlign w:val="center"/>
          </w:tcPr>
          <w:p>
            <w:pPr>
              <w:spacing w:after="40" w:before="40" w:line="278" w:lineRule="auto"/>
            </w:pPr>
            <w:r>
              <w:rPr>
                <w:sz w:val="18"/>
              </w:rPr>
              <w:t>POST /interview/question、/submit、/asr；GET /interview/tts</w:t>
            </w:r>
          </w:p>
        </w:tc>
        <w:tc>
          <w:tcPr>
            <w:tcW w:type="dxa" w:w="2835"/>
            <w:vAlign w:val="center"/>
          </w:tcPr>
          <w:p>
            <w:pPr>
              <w:spacing w:after="40" w:before="40" w:line="278" w:lineRule="auto"/>
            </w:pPr>
            <w:r>
              <w:rPr>
                <w:sz w:val="18"/>
              </w:rPr>
              <w:t>上下文追问、评估、PCM 转写与语音播报</w:t>
            </w:r>
          </w:p>
        </w:tc>
      </w:tr>
      <w:tr>
        <w:trPr>
          <w:cantSplit/>
        </w:trPr>
        <w:tc>
          <w:tcPr>
            <w:tcW w:type="dxa" w:w="1701"/>
            <w:vAlign w:val="center"/>
          </w:tcPr>
          <w:p>
            <w:pPr>
              <w:spacing w:after="40" w:before="40" w:line="278" w:lineRule="auto"/>
            </w:pPr>
            <w:r>
              <w:rPr>
                <w:sz w:val="18"/>
              </w:rPr>
              <w:t>会员权益</w:t>
            </w:r>
          </w:p>
        </w:tc>
        <w:tc>
          <w:tcPr>
            <w:tcW w:type="dxa" w:w="4139"/>
            <w:vAlign w:val="center"/>
          </w:tcPr>
          <w:p>
            <w:pPr>
              <w:spacing w:after="40" w:before="40" w:line="278" w:lineRule="auto"/>
            </w:pPr>
            <w:r>
              <w:rPr>
                <w:sz w:val="18"/>
              </w:rPr>
              <w:t>POST /member/redeem；GET /member/quota-ledger</w:t>
            </w:r>
          </w:p>
        </w:tc>
        <w:tc>
          <w:tcPr>
            <w:tcW w:type="dxa" w:w="2835"/>
            <w:vAlign w:val="center"/>
          </w:tcPr>
          <w:p>
            <w:pPr>
              <w:spacing w:after="40" w:before="40" w:line="278" w:lineRule="auto"/>
            </w:pPr>
            <w:r>
              <w:rPr>
                <w:sz w:val="18"/>
              </w:rPr>
              <w:t>兑换校验与额度流水</w:t>
            </w:r>
          </w:p>
        </w:tc>
      </w:tr>
      <w:tr>
        <w:trPr>
          <w:cantSplit/>
        </w:trPr>
        <w:tc>
          <w:tcPr>
            <w:tcW w:type="dxa" w:w="1701"/>
            <w:vAlign w:val="center"/>
          </w:tcPr>
          <w:p>
            <w:pPr>
              <w:spacing w:after="40" w:before="40" w:line="278" w:lineRule="auto"/>
            </w:pPr>
            <w:r>
              <w:rPr>
                <w:sz w:val="18"/>
              </w:rPr>
              <w:t>运营管理</w:t>
            </w:r>
          </w:p>
        </w:tc>
        <w:tc>
          <w:tcPr>
            <w:tcW w:type="dxa" w:w="4139"/>
            <w:vAlign w:val="center"/>
          </w:tcPr>
          <w:p>
            <w:pPr>
              <w:spacing w:after="40" w:before="40" w:line="278" w:lineRule="auto"/>
            </w:pPr>
            <w:r>
              <w:rPr>
                <w:sz w:val="18"/>
              </w:rPr>
              <w:t>/admin/**</w:t>
            </w:r>
          </w:p>
        </w:tc>
        <w:tc>
          <w:tcPr>
            <w:tcW w:type="dxa" w:w="2835"/>
            <w:vAlign w:val="center"/>
          </w:tcPr>
          <w:p>
            <w:pPr>
              <w:spacing w:after="40" w:before="40" w:line="278" w:lineRule="auto"/>
            </w:pPr>
            <w:r>
              <w:rPr>
                <w:sz w:val="18"/>
              </w:rPr>
              <w:t>独立管理员会话和运营配置</w:t>
            </w:r>
          </w:p>
        </w:tc>
      </w:tr>
    </w:tbl>
    <w:p/>
    <w:p>
      <w:pPr>
        <w:pStyle w:val="Heading1"/>
      </w:pPr>
      <w:r>
        <w:t>6 系统测试</w:t>
      </w:r>
    </w:p>
    <w:p>
      <w:pPr>
        <w:pStyle w:val="Heading2"/>
      </w:pPr>
      <w:r>
        <w:t>6.1 自动化测试结果</w:t>
      </w:r>
    </w:p>
    <w:p>
      <w:r>
        <w:t>在 2026 年 9 月 24 日的当前工作区执行 backend/mvn test -q，并核对 Surefire XML 报告：共发现 24 个测试，其中 19 个通过、5 个跳过、0 个失败。跳过的 5 项来自 SecurityChainIntegrationTest：其 @Disabled 注解用于防止默认配置连接真实 MySQL 时误写生产数据。因此“所有集成测试均通过”不是当前证据能支持的结论。</w:t>
      </w:r>
    </w:p>
    <w:tbl>
      <w:tblPr>
        <w:tblStyle w:val="TableGrid"/>
        <w:tblW w:type="auto" w:w="0"/>
        <w:jc w:val="center"/>
        <w:tblLook w:firstColumn="1" w:firstRow="1" w:lastColumn="0" w:lastRow="0" w:noHBand="0" w:noVBand="1" w:val="04A0"/>
      </w:tblPr>
      <w:tblGrid>
        <w:gridCol w:w="3052"/>
        <w:gridCol w:w="3052"/>
        <w:gridCol w:w="3052"/>
      </w:tblGrid>
      <w:tr>
        <w:trPr>
          <w:cantSplit/>
          <w:tblHeader/>
        </w:trPr>
        <w:tc>
          <w:tcPr>
            <w:tcW w:type="dxa" w:w="2835"/>
            <w:vAlign w:val="center"/>
            <w:shd w:fill="DDEAF6"/>
          </w:tcPr>
          <w:p>
            <w:pPr>
              <w:spacing w:after="40" w:before="40" w:line="278" w:lineRule="auto"/>
            </w:pPr>
            <w:r>
              <w:rPr>
                <w:b/>
                <w:sz w:val="18"/>
              </w:rPr>
              <w:t>测试类</w:t>
            </w:r>
          </w:p>
        </w:tc>
        <w:tc>
          <w:tcPr>
            <w:tcW w:type="dxa" w:w="4819"/>
            <w:vAlign w:val="center"/>
            <w:shd w:fill="DDEAF6"/>
          </w:tcPr>
          <w:p>
            <w:pPr>
              <w:spacing w:after="40" w:before="40" w:line="278" w:lineRule="auto"/>
            </w:pPr>
            <w:r>
              <w:rPr>
                <w:b/>
                <w:sz w:val="18"/>
              </w:rPr>
              <w:t>覆盖范围</w:t>
            </w:r>
          </w:p>
        </w:tc>
        <w:tc>
          <w:tcPr>
            <w:tcW w:type="dxa" w:w="1134"/>
            <w:vAlign w:val="center"/>
            <w:shd w:fill="DDEAF6"/>
          </w:tcPr>
          <w:p>
            <w:pPr>
              <w:spacing w:after="40" w:before="40" w:line="278" w:lineRule="auto"/>
            </w:pPr>
            <w:r>
              <w:rPr>
                <w:b/>
                <w:sz w:val="18"/>
              </w:rPr>
              <w:t>结果</w:t>
            </w:r>
          </w:p>
        </w:tc>
      </w:tr>
      <w:tr>
        <w:trPr>
          <w:cantSplit/>
        </w:trPr>
        <w:tc>
          <w:tcPr>
            <w:tcW w:type="dxa" w:w="2835"/>
            <w:vAlign w:val="center"/>
          </w:tcPr>
          <w:p>
            <w:pPr>
              <w:spacing w:after="40" w:before="40" w:line="278" w:lineRule="auto"/>
            </w:pPr>
            <w:r>
              <w:rPr>
                <w:sz w:val="18"/>
              </w:rPr>
              <w:t>AuthServiceImplTest</w:t>
            </w:r>
          </w:p>
        </w:tc>
        <w:tc>
          <w:tcPr>
            <w:tcW w:type="dxa" w:w="4819"/>
            <w:vAlign w:val="center"/>
          </w:tcPr>
          <w:p>
            <w:pPr>
              <w:spacing w:after="40" w:before="40" w:line="278" w:lineRule="auto"/>
            </w:pPr>
            <w:r>
              <w:rPr>
                <w:sz w:val="18"/>
              </w:rPr>
              <w:t>注册、重复账号、密码哈希、登录/退出、改密</w:t>
            </w:r>
          </w:p>
        </w:tc>
        <w:tc>
          <w:tcPr>
            <w:tcW w:type="dxa" w:w="1134"/>
            <w:vAlign w:val="center"/>
          </w:tcPr>
          <w:p>
            <w:pPr>
              <w:spacing w:after="40" w:before="40" w:line="278" w:lineRule="auto"/>
            </w:pPr>
            <w:r>
              <w:rPr>
                <w:sz w:val="18"/>
              </w:rPr>
              <w:t>6 通过</w:t>
            </w:r>
          </w:p>
        </w:tc>
      </w:tr>
      <w:tr>
        <w:trPr>
          <w:cantSplit/>
        </w:trPr>
        <w:tc>
          <w:tcPr>
            <w:tcW w:type="dxa" w:w="2835"/>
            <w:vAlign w:val="center"/>
          </w:tcPr>
          <w:p>
            <w:pPr>
              <w:spacing w:after="40" w:before="40" w:line="278" w:lineRule="auto"/>
            </w:pPr>
            <w:r>
              <w:rPr>
                <w:sz w:val="18"/>
              </w:rPr>
              <w:t>ResumeOwnershipTest</w:t>
            </w:r>
          </w:p>
        </w:tc>
        <w:tc>
          <w:tcPr>
            <w:tcW w:type="dxa" w:w="4819"/>
            <w:vAlign w:val="center"/>
          </w:tcPr>
          <w:p>
            <w:pPr>
              <w:spacing w:after="40" w:before="40" w:line="278" w:lineRule="auto"/>
            </w:pPr>
            <w:r>
              <w:rPr>
                <w:sz w:val="18"/>
              </w:rPr>
              <w:t>用户简历读写、复制、删除与列表隔离</w:t>
            </w:r>
          </w:p>
        </w:tc>
        <w:tc>
          <w:tcPr>
            <w:tcW w:type="dxa" w:w="1134"/>
            <w:vAlign w:val="center"/>
          </w:tcPr>
          <w:p>
            <w:pPr>
              <w:spacing w:after="40" w:before="40" w:line="278" w:lineRule="auto"/>
            </w:pPr>
            <w:r>
              <w:rPr>
                <w:sz w:val="18"/>
              </w:rPr>
              <w:t>5 通过</w:t>
            </w:r>
          </w:p>
        </w:tc>
      </w:tr>
      <w:tr>
        <w:trPr>
          <w:cantSplit/>
        </w:trPr>
        <w:tc>
          <w:tcPr>
            <w:tcW w:type="dxa" w:w="2835"/>
            <w:vAlign w:val="center"/>
          </w:tcPr>
          <w:p>
            <w:pPr>
              <w:spacing w:after="40" w:before="40" w:line="278" w:lineRule="auto"/>
            </w:pPr>
            <w:r>
              <w:rPr>
                <w:sz w:val="18"/>
              </w:rPr>
              <w:t>QuotaServiceImplTest</w:t>
            </w:r>
          </w:p>
        </w:tc>
        <w:tc>
          <w:tcPr>
            <w:tcW w:type="dxa" w:w="4819"/>
            <w:vAlign w:val="center"/>
          </w:tcPr>
          <w:p>
            <w:pPr>
              <w:spacing w:after="40" w:before="40" w:line="278" w:lineRule="auto"/>
            </w:pPr>
            <w:r>
              <w:rPr>
                <w:sz w:val="18"/>
              </w:rPr>
              <w:t>AI / 导出额度耗尽、余额兜底、不限量</w:t>
            </w:r>
          </w:p>
        </w:tc>
        <w:tc>
          <w:tcPr>
            <w:tcW w:type="dxa" w:w="1134"/>
            <w:vAlign w:val="center"/>
          </w:tcPr>
          <w:p>
            <w:pPr>
              <w:spacing w:after="40" w:before="40" w:line="278" w:lineRule="auto"/>
            </w:pPr>
            <w:r>
              <w:rPr>
                <w:sz w:val="18"/>
              </w:rPr>
              <w:t>4 通过</w:t>
            </w:r>
          </w:p>
        </w:tc>
      </w:tr>
      <w:tr>
        <w:trPr>
          <w:cantSplit/>
        </w:trPr>
        <w:tc>
          <w:tcPr>
            <w:tcW w:type="dxa" w:w="2835"/>
            <w:vAlign w:val="center"/>
          </w:tcPr>
          <w:p>
            <w:pPr>
              <w:spacing w:after="40" w:before="40" w:line="278" w:lineRule="auto"/>
            </w:pPr>
            <w:r>
              <w:rPr>
                <w:sz w:val="18"/>
              </w:rPr>
              <w:t>RedeemCodeTest</w:t>
            </w:r>
          </w:p>
        </w:tc>
        <w:tc>
          <w:tcPr>
            <w:tcW w:type="dxa" w:w="4819"/>
            <w:vAlign w:val="center"/>
          </w:tcPr>
          <w:p>
            <w:pPr>
              <w:spacing w:after="40" w:before="40" w:line="278" w:lineRule="auto"/>
            </w:pPr>
            <w:r>
              <w:rPr>
                <w:sz w:val="18"/>
              </w:rPr>
              <w:t>会员兑换、重复兑换、无效码、额度余额</w:t>
            </w:r>
          </w:p>
        </w:tc>
        <w:tc>
          <w:tcPr>
            <w:tcW w:type="dxa" w:w="1134"/>
            <w:vAlign w:val="center"/>
          </w:tcPr>
          <w:p>
            <w:pPr>
              <w:spacing w:after="40" w:before="40" w:line="278" w:lineRule="auto"/>
            </w:pPr>
            <w:r>
              <w:rPr>
                <w:sz w:val="18"/>
              </w:rPr>
              <w:t>4 通过</w:t>
            </w:r>
          </w:p>
        </w:tc>
      </w:tr>
      <w:tr>
        <w:trPr>
          <w:cantSplit/>
        </w:trPr>
        <w:tc>
          <w:tcPr>
            <w:tcW w:type="dxa" w:w="2835"/>
            <w:vAlign w:val="center"/>
          </w:tcPr>
          <w:p>
            <w:pPr>
              <w:spacing w:after="40" w:before="40" w:line="278" w:lineRule="auto"/>
            </w:pPr>
            <w:r>
              <w:rPr>
                <w:sz w:val="18"/>
              </w:rPr>
              <w:t>SecurityChainIntegrationTest</w:t>
            </w:r>
          </w:p>
        </w:tc>
        <w:tc>
          <w:tcPr>
            <w:tcW w:type="dxa" w:w="4819"/>
            <w:vAlign w:val="center"/>
          </w:tcPr>
          <w:p>
            <w:pPr>
              <w:spacing w:after="40" w:before="40" w:line="278" w:lineRule="auto"/>
            </w:pPr>
            <w:r>
              <w:rPr>
                <w:sz w:val="18"/>
              </w:rPr>
              <w:t>MockMvc 会话拦截、公开接口、归属与登录限流</w:t>
            </w:r>
          </w:p>
        </w:tc>
        <w:tc>
          <w:tcPr>
            <w:tcW w:type="dxa" w:w="1134"/>
            <w:vAlign w:val="center"/>
          </w:tcPr>
          <w:p>
            <w:pPr>
              <w:spacing w:after="40" w:before="40" w:line="278" w:lineRule="auto"/>
            </w:pPr>
            <w:r>
              <w:rPr>
                <w:sz w:val="18"/>
              </w:rPr>
              <w:t>5 跳过</w:t>
            </w:r>
          </w:p>
        </w:tc>
      </w:tr>
    </w:tbl>
    <w:p/>
    <w:p>
      <w:pPr>
        <w:pStyle w:val="Heading2"/>
      </w:pPr>
      <w:r>
        <w:t>6.2 当前验证边界</w:t>
      </w:r>
    </w:p>
    <w:p>
      <w:r>
        <w:t>本次没有连接隔离 MySQL 运行完整后端集成测试；当前前端未安装 node_modules，故未运行 npm run build；未使用真实 AI/TTS/ASR 密钥进行跨浏览器、弱网、噪声环境和麦克风权限测试。上述事项作为赛前验收清单，而非已完成的现场测试。</w:t>
      </w:r>
    </w:p>
    <w:p>
      <w:pPr>
        <w:pStyle w:val="Heading2"/>
      </w:pPr>
      <w:r>
        <w:t>6.3 赛前验收用例与评价指标</w:t>
      </w:r>
    </w:p>
    <w:tbl>
      <w:tblPr>
        <w:tblStyle w:val="TableGrid"/>
        <w:tblW w:type="auto" w:w="0"/>
        <w:jc w:val="center"/>
        <w:tblLook w:firstColumn="1" w:firstRow="1" w:lastColumn="0" w:lastRow="0" w:noHBand="0" w:noVBand="1" w:val="04A0"/>
      </w:tblPr>
      <w:tblGrid>
        <w:gridCol w:w="3052"/>
        <w:gridCol w:w="3052"/>
        <w:gridCol w:w="3052"/>
      </w:tblGrid>
      <w:tr>
        <w:trPr>
          <w:cantSplit/>
          <w:tblHeader/>
        </w:trPr>
        <w:tc>
          <w:tcPr>
            <w:tcW w:type="dxa" w:w="2041"/>
            <w:vAlign w:val="center"/>
            <w:shd w:fill="DDEAF6"/>
          </w:tcPr>
          <w:p>
            <w:pPr>
              <w:spacing w:after="40" w:before="40" w:line="278" w:lineRule="auto"/>
            </w:pPr>
            <w:r>
              <w:rPr>
                <w:b/>
                <w:sz w:val="18"/>
              </w:rPr>
              <w:t>验收场景</w:t>
            </w:r>
          </w:p>
        </w:tc>
        <w:tc>
          <w:tcPr>
            <w:tcW w:type="dxa" w:w="4876"/>
            <w:vAlign w:val="center"/>
            <w:shd w:fill="DDEAF6"/>
          </w:tcPr>
          <w:p>
            <w:pPr>
              <w:spacing w:after="40" w:before="40" w:line="278" w:lineRule="auto"/>
            </w:pPr>
            <w:r>
              <w:rPr>
                <w:b/>
                <w:sz w:val="18"/>
              </w:rPr>
              <w:t>方法与成功条件</w:t>
            </w:r>
          </w:p>
        </w:tc>
        <w:tc>
          <w:tcPr>
            <w:tcW w:type="dxa" w:w="1757"/>
            <w:vAlign w:val="center"/>
            <w:shd w:fill="DDEAF6"/>
          </w:tcPr>
          <w:p>
            <w:pPr>
              <w:spacing w:after="40" w:before="40" w:line="278" w:lineRule="auto"/>
            </w:pPr>
            <w:r>
              <w:rPr>
                <w:b/>
                <w:sz w:val="18"/>
              </w:rPr>
              <w:t>拟记录的指标</w:t>
            </w:r>
          </w:p>
        </w:tc>
      </w:tr>
      <w:tr>
        <w:trPr>
          <w:cantSplit/>
        </w:trPr>
        <w:tc>
          <w:tcPr>
            <w:tcW w:type="dxa" w:w="2041"/>
            <w:vAlign w:val="center"/>
          </w:tcPr>
          <w:p>
            <w:pPr>
              <w:spacing w:after="40" w:before="40" w:line="278" w:lineRule="auto"/>
            </w:pPr>
            <w:r>
              <w:rPr>
                <w:sz w:val="18"/>
              </w:rPr>
              <w:t>简历全流程</w:t>
            </w:r>
          </w:p>
        </w:tc>
        <w:tc>
          <w:tcPr>
            <w:tcW w:type="dxa" w:w="4876"/>
            <w:vAlign w:val="center"/>
          </w:tcPr>
          <w:p>
            <w:pPr>
              <w:spacing w:after="40" w:before="40" w:line="278" w:lineRule="auto"/>
            </w:pPr>
            <w:r>
              <w:rPr>
                <w:sz w:val="18"/>
              </w:rPr>
              <w:t>导入 DOCX/PDF → 编辑 → AI 优化 → 保存 → 导出/分享</w:t>
            </w:r>
          </w:p>
        </w:tc>
        <w:tc>
          <w:tcPr>
            <w:tcW w:type="dxa" w:w="1757"/>
            <w:vAlign w:val="center"/>
          </w:tcPr>
          <w:p>
            <w:pPr>
              <w:spacing w:after="40" w:before="40" w:line="278" w:lineRule="auto"/>
            </w:pPr>
            <w:r>
              <w:rPr>
                <w:sz w:val="18"/>
              </w:rPr>
              <w:t>导入成功率、导出可读性、流程耗时</w:t>
            </w:r>
          </w:p>
        </w:tc>
      </w:tr>
      <w:tr>
        <w:trPr>
          <w:cantSplit/>
        </w:trPr>
        <w:tc>
          <w:tcPr>
            <w:tcW w:type="dxa" w:w="2041"/>
            <w:vAlign w:val="center"/>
          </w:tcPr>
          <w:p>
            <w:pPr>
              <w:spacing w:after="40" w:before="40" w:line="278" w:lineRule="auto"/>
            </w:pPr>
            <w:r>
              <w:rPr>
                <w:sz w:val="18"/>
              </w:rPr>
              <w:t>语音闭环</w:t>
            </w:r>
          </w:p>
        </w:tc>
        <w:tc>
          <w:tcPr>
            <w:tcW w:type="dxa" w:w="4876"/>
            <w:vAlign w:val="center"/>
          </w:tcPr>
          <w:p>
            <w:pPr>
              <w:spacing w:after="40" w:before="40" w:line="278" w:lineRule="auto"/>
            </w:pPr>
            <w:r>
              <w:rPr>
                <w:sz w:val="18"/>
              </w:rPr>
              <w:t>浏览器/云端 ASR 各完成多轮问答，切换 TTS 并回退</w:t>
            </w:r>
          </w:p>
        </w:tc>
        <w:tc>
          <w:tcPr>
            <w:tcW w:type="dxa" w:w="1757"/>
            <w:vAlign w:val="center"/>
          </w:tcPr>
          <w:p>
            <w:pPr>
              <w:spacing w:after="40" w:before="40" w:line="278" w:lineRule="auto"/>
            </w:pPr>
            <w:r>
              <w:rPr>
                <w:sz w:val="18"/>
              </w:rPr>
              <w:t>端到端延迟、断句准确度、异常恢复率</w:t>
            </w:r>
          </w:p>
        </w:tc>
      </w:tr>
      <w:tr>
        <w:trPr>
          <w:cantSplit/>
        </w:trPr>
        <w:tc>
          <w:tcPr>
            <w:tcW w:type="dxa" w:w="2041"/>
            <w:vAlign w:val="center"/>
          </w:tcPr>
          <w:p>
            <w:pPr>
              <w:spacing w:after="40" w:before="40" w:line="278" w:lineRule="auto"/>
            </w:pPr>
            <w:r>
              <w:rPr>
                <w:sz w:val="18"/>
              </w:rPr>
              <w:t>权限与安全</w:t>
            </w:r>
          </w:p>
        </w:tc>
        <w:tc>
          <w:tcPr>
            <w:tcW w:type="dxa" w:w="4876"/>
            <w:vAlign w:val="center"/>
          </w:tcPr>
          <w:p>
            <w:pPr>
              <w:spacing w:after="40" w:before="40" w:line="278" w:lineRule="auto"/>
            </w:pPr>
            <w:r>
              <w:rPr>
                <w:sz w:val="18"/>
              </w:rPr>
              <w:t>双用户交叉访问简历；未登录请求保护路径</w:t>
            </w:r>
          </w:p>
        </w:tc>
        <w:tc>
          <w:tcPr>
            <w:tcW w:type="dxa" w:w="1757"/>
            <w:vAlign w:val="center"/>
          </w:tcPr>
          <w:p>
            <w:pPr>
              <w:spacing w:after="40" w:before="40" w:line="278" w:lineRule="auto"/>
            </w:pPr>
            <w:r>
              <w:rPr>
                <w:sz w:val="18"/>
              </w:rPr>
              <w:t>越权阻断、401/业务失败比例</w:t>
            </w:r>
          </w:p>
        </w:tc>
      </w:tr>
      <w:tr>
        <w:trPr>
          <w:cantSplit/>
        </w:trPr>
        <w:tc>
          <w:tcPr>
            <w:tcW w:type="dxa" w:w="2041"/>
            <w:vAlign w:val="center"/>
          </w:tcPr>
          <w:p>
            <w:pPr>
              <w:spacing w:after="40" w:before="40" w:line="278" w:lineRule="auto"/>
            </w:pPr>
            <w:r>
              <w:rPr>
                <w:sz w:val="18"/>
              </w:rPr>
              <w:t>数据可靠性</w:t>
            </w:r>
          </w:p>
        </w:tc>
        <w:tc>
          <w:tcPr>
            <w:tcW w:type="dxa" w:w="4876"/>
            <w:vAlign w:val="center"/>
          </w:tcPr>
          <w:p>
            <w:pPr>
              <w:spacing w:after="40" w:before="40" w:line="278" w:lineRule="auto"/>
            </w:pPr>
            <w:r>
              <w:rPr>
                <w:sz w:val="18"/>
              </w:rPr>
              <w:t>隔离库中保存、恢复版本、重启后读取</w:t>
            </w:r>
          </w:p>
        </w:tc>
        <w:tc>
          <w:tcPr>
            <w:tcW w:type="dxa" w:w="1757"/>
            <w:vAlign w:val="center"/>
          </w:tcPr>
          <w:p>
            <w:pPr>
              <w:spacing w:after="40" w:before="40" w:line="278" w:lineRule="auto"/>
            </w:pPr>
            <w:r>
              <w:rPr>
                <w:sz w:val="18"/>
              </w:rPr>
              <w:t>恢复正确率、数据一致性</w:t>
            </w:r>
          </w:p>
        </w:tc>
      </w:tr>
      <w:tr>
        <w:trPr>
          <w:cantSplit/>
        </w:trPr>
        <w:tc>
          <w:tcPr>
            <w:tcW w:type="dxa" w:w="2041"/>
            <w:vAlign w:val="center"/>
          </w:tcPr>
          <w:p>
            <w:pPr>
              <w:spacing w:after="40" w:before="40" w:line="278" w:lineRule="auto"/>
            </w:pPr>
            <w:r>
              <w:rPr>
                <w:sz w:val="18"/>
              </w:rPr>
              <w:t>移动端体验</w:t>
            </w:r>
          </w:p>
        </w:tc>
        <w:tc>
          <w:tcPr>
            <w:tcW w:type="dxa" w:w="4876"/>
            <w:vAlign w:val="center"/>
          </w:tcPr>
          <w:p>
            <w:pPr>
              <w:spacing w:after="40" w:before="40" w:line="278" w:lineRule="auto"/>
            </w:pPr>
            <w:r>
              <w:rPr>
                <w:sz w:val="18"/>
              </w:rPr>
              <w:t>手机浏览器和内置浏览器授权麦克风、录音与文字兜底</w:t>
            </w:r>
          </w:p>
        </w:tc>
        <w:tc>
          <w:tcPr>
            <w:tcW w:type="dxa" w:w="1757"/>
            <w:vAlign w:val="center"/>
          </w:tcPr>
          <w:p>
            <w:pPr>
              <w:spacing w:after="40" w:before="40" w:line="278" w:lineRule="auto"/>
            </w:pPr>
            <w:r>
              <w:rPr>
                <w:sz w:val="18"/>
              </w:rPr>
              <w:t>适配率、交互完成率</w:t>
            </w:r>
          </w:p>
        </w:tc>
      </w:tr>
      <w:tr>
        <w:trPr>
          <w:cantSplit/>
        </w:trPr>
        <w:tc>
          <w:tcPr>
            <w:tcW w:type="dxa" w:w="2041"/>
            <w:vAlign w:val="center"/>
          </w:tcPr>
          <w:p>
            <w:pPr>
              <w:spacing w:after="40" w:before="40" w:line="278" w:lineRule="auto"/>
            </w:pPr>
            <w:r>
              <w:rPr>
                <w:sz w:val="18"/>
              </w:rPr>
              <w:t>并发与容量</w:t>
            </w:r>
          </w:p>
        </w:tc>
        <w:tc>
          <w:tcPr>
            <w:tcW w:type="dxa" w:w="4876"/>
            <w:vAlign w:val="center"/>
          </w:tcPr>
          <w:p>
            <w:pPr>
              <w:spacing w:after="40" w:before="40" w:line="278" w:lineRule="auto"/>
            </w:pPr>
            <w:r>
              <w:rPr>
                <w:sz w:val="18"/>
              </w:rPr>
              <w:t>隔离环境针对关键接口压力测试</w:t>
            </w:r>
          </w:p>
        </w:tc>
        <w:tc>
          <w:tcPr>
            <w:tcW w:type="dxa" w:w="1757"/>
            <w:vAlign w:val="center"/>
          </w:tcPr>
          <w:p>
            <w:pPr>
              <w:spacing w:after="40" w:before="40" w:line="278" w:lineRule="auto"/>
            </w:pPr>
            <w:r>
              <w:rPr>
                <w:sz w:val="18"/>
              </w:rPr>
              <w:t>P95 延迟、错误率、吞吐量</w:t>
            </w:r>
          </w:p>
        </w:tc>
      </w:tr>
    </w:tbl>
    <w:p/>
    <w:p>
      <w:r>
        <w:t>竞赛展示若引用量化数字，应由这一组测试实测后填写。已有代码支持描述实现方式，但没有测试数据时不预设“毫秒级”“行业领先”等不可验证的性能结论。</w:t>
      </w:r>
    </w:p>
    <w:p>
      <w:pPr>
        <w:pStyle w:val="Heading1"/>
      </w:pPr>
      <w:r>
        <w:t>7 总结</w:t>
      </w:r>
    </w:p>
    <w:p>
      <w:pPr>
        <w:pStyle w:val="Heading2"/>
      </w:pPr>
      <w:r>
        <w:t>7.1 核心亮点与竞赛价值</w:t>
      </w:r>
    </w:p>
    <w:p>
      <w:pPr>
        <w:pStyle w:val="ListNumber"/>
      </w:pPr>
      <w:r>
        <w:t>简历资产贯穿创作与面试：同一份可版本化简历既是投递作品，也是 AI 追问上下文，使不同阶段共享材料。</w:t>
      </w:r>
    </w:p>
    <w:p>
      <w:pPr>
        <w:pStyle w:val="ListNumber"/>
      </w:pPr>
      <w:r>
        <w:t>多模态交互形成完整闭环：双 ASR 引擎、双 TTS 通道、音量 VAD、自动断句、队列取消和语音评估让“模拟面试”具备接近自然对话的节奏。</w:t>
      </w:r>
    </w:p>
    <w:p>
      <w:pPr>
        <w:pStyle w:val="ListNumber"/>
      </w:pPr>
      <w:r>
        <w:t>交付链路完整：从 PDF/DOCX/TXT 导入到文字/视觉 PDF、PNG、Word 文字稿输出，覆盖制作、编辑、分享和投递。</w:t>
      </w:r>
    </w:p>
    <w:p>
      <w:pPr>
        <w:pStyle w:val="ListNumber"/>
      </w:pPr>
      <w:r>
        <w:t>平台具备运营支撑：模板、会员额度、社区审核、后台配置、调用日志与版本化数据库迁移共同支撑可持续迭代。</w:t>
      </w:r>
    </w:p>
    <w:p>
      <w:pPr>
        <w:pStyle w:val="Heading2"/>
      </w:pPr>
      <w:r>
        <w:t>7.2 后续演进路线</w:t>
      </w:r>
    </w:p>
    <w:p>
      <w:r>
        <w:t>下一阶段以三个里程碑推进：第一，完成隔离 MySQL 集成测试、前端构建、跨端语音验收与链路监控；第二，将岗位解析与个人经历证据点接入 RAG 检索、智能体工作流和结构化评估；第三，拓展 OCR 扫描件导入、可打断的流式语音和弹性部署。每个阶段以可复现的演示、测试数据和用户反馈验收，形成从作品原型到可扩展平台的演进路径。</w:t>
      </w:r>
    </w:p>
    <w:p>
      <w:r>
        <w:t>履历星图当前已经把可视化简历、AI 优化和语音面试连为可演示系统。其竞赛价值不只是技术名词的叠加，而在于通过真实代码实现“材料输入—能力训练—反馈迭代”的统一体验；成果展示宜以功能演示、测试证据和清晰的升级路线共同呈现。</w:t>
      </w:r>
    </w:p>
    <w:p>
      <w:pPr>
        <w:pStyle w:val="Heading1"/>
      </w:pPr>
      <w:r>
        <w:t>附录：源代码依据与展示提纲</w:t>
      </w:r>
    </w:p>
    <w:p>
      <w:pPr>
        <w:pStyle w:val="Heading2"/>
      </w:pPr>
      <w:r>
        <w:t>A.1 主要代码依据</w:t>
      </w:r>
    </w:p>
    <w:p>
      <w:r>
        <w:t>前端：frontend/package.json；src/router/index.js；src/views/EditorView.vue、InterviewView.vue；src/composables/useSpeech.js、useRecorder.js；src/utils/resumeImport.js、resumePdf.js、resumeDocument.js；src/components/editor/VersionDiffDialog.vue。后端：backend/pom.xml；src/main/java/com/resume/controller/InterviewController.java、ResumeController.java、AiController.java；src/main/java/com/resume/ai/XfyunAsrClient.java、CloudTtsClient.java；src/main/java/com/resume/service/impl/InterviewServiceImpl.java、AiServiceImpl.java、QuotaServiceImpl.java；src/main/java/com/resume/repository/PersistenceStore.java、PersistenceScheduler.java；src/main/resources/application.yml 与 db/migration/V1__init_schema.sql。</w:t>
      </w:r>
    </w:p>
    <w:p>
      <w:pPr>
        <w:pStyle w:val="Heading2"/>
      </w:pPr>
      <w:r>
        <w:t>A.2 推荐演示顺序</w:t>
      </w:r>
    </w:p>
    <w:p>
      <w:r>
        <w:t>① 从 PDF/DOCX 或模板生成简历；② 调整画布并触发 AI 岗位适配；③ 展示版本对比、导出和分享；④ 使用同一简历启动沉浸式语音面试，演示自动播报、收音、静音断句及追问；⑤ 展示能力雷达与表达力分析；⑥ 从管理员后台调整面试时长、模板、额度或语音开关。</w:t>
      </w:r>
    </w:p>
    <w:p>
      <w:pPr>
        <w:pStyle w:val="Heading2"/>
      </w:pPr>
      <w:r>
        <w:t>A.3 运行与测试条件</w:t>
      </w:r>
    </w:p>
    <w:p>
      <w:r>
        <w:t>前端依赖 Node.js 18+；后端使用 JDK 17 与 Maven；部署需 MySQL，并通过环境变量提供 MYSQL_PASSWORD。Docker Compose 默认将前端映射到 9998、后端映射到 9999；真实 AI 与云端语音能力还需对应服务商端点/密钥。后端单测可在 backend 目录运行 mvn test -q；前端依赖安装后运行 npm run build。</w:t>
      </w:r>
    </w:p>
    <w:sectPr w:rsidR="00FC693F" w:rsidRPr="0006063C" w:rsidSect="00034616">
      <w:headerReference w:type="default" r:id="rId9"/>
      <w:footerReference w:type="default" r:id="rId10"/>
      <w:pgSz w:w="11906" w:h="16838"/>
      <w:pgMar w:top="1219" w:right="1332"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97787"/>
        <w:sz w:val="16"/>
      </w:rPr>
      <w:t>履历星图 · 项目说明文档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Songti SC" w:hAnsi="Songti SC" w:eastAsia="Songti SC"/>
      <w:color w:val="2834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Heiti SC" w:hAnsi="Heiti SC" w:eastAsia="Heiti SC"/>
      <w:b/>
      <w:bCs/>
      <w:color w:val="1E345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Heiti SC" w:hAnsi="Heiti SC" w:eastAsia="Heiti SC"/>
      <w:b/>
      <w:bCs/>
      <w:color w:val="1E345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Heiti SC" w:hAnsi="Heiti SC" w:eastAsia="Heiti SC"/>
      <w:b/>
      <w:bCs/>
      <w:color w:val="1E34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Heiti SC" w:hAnsi="Heiti SC" w:eastAsia="Heiti SC"/>
      <w:b/>
      <w:color w:val="1E34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履历星图：AI 驱动的多模态求职能力平台—项目说明文档</dc:title>
  <dc:subject>竞赛展示版：技术栈、语音面试、系统设计与测试</dc:subject>
  <dc:creator>履历星图项目组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