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11 - Alteração programática da saturação em HSV.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Resultados: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Saturação a 0% do valor original.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Saturação a 50% do valor original.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- Saturação a 150% do valor original, com saturação limitada a 255.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fator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"""Multiplica somente o canal S do espaço HSV pelo fator informado."""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COLOR_BGR2HSV)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Converte temporariamente para float32 para evitar estouro de uint8.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astype(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float32)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Saturação deve permanecer no intervalo de 0 a 255.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clip(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[:, :,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hsv_alterado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hsv_float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astype(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uint8)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hsv_alterado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COLOR_HSV2BGR)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alterar_saturacao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[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"Saturacao: 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"Saturacao: 50%"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sat_150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"Saturacao: 150%"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imagens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"Observe que 0% remove as cores e 150% intensifica as cores."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Q ou Esc para fechar."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2A - variacao da saturacao"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