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Exemplo 13 - Sharpening manual com cv2.filter2D.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 kernel destaca o pixel central e subtrai informações dos vizinhos,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reforçando transições rápidas de intensidade, como bordas e detalhes.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nome_arquivo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"imagem_base.png"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"""Carrega a imagem-base ou abre a câmera para capturar uma nova imagem.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A função torna o exemplo independente: se o arquivo ainda não existir,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o estudante pode pressionar S para fotografar diretamente pela webcam.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nome_arquivo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Tenta carregar uma fotografia já existente.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IMREAD_COLOR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"Imagem carregada de: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a imagem não exista, abre a câmera principal.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VideoCapture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isOpened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"Arquivo imagem_base.png não encontrado."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S para capturar uma imagem ou Q para cancelar."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"S: capturar | Q: cancelar"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"Captura da imagem-base"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 captura foi cancelada pelo usuário."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Garante dimensões mínimas de 480 x 480 pixels.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INTER_CUBIC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"Imagem salva em: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imagem_capturada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"""Escreve um título na parte superior de uma cópia da imagem."""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.copy()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.shape[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saida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"""Converte um canal de uma dimensão para três canais BGR."""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COLOR_GRAY2BGR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"""Redimensiona a imagem para facilitar a montagem de painéis didáticos."""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INTER_AREA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kernel_sharpen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nitida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filter2D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ddepth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kernel_sharpen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nitida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"Kernel manual"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"Kernel utilizado:"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kernel_sharpen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Q ou Esc para fechar."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"Sharpening manual"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