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F416DF">
        <w:rPr>
          <w:rFonts w:asciiTheme="minorHAnsi" w:hAnsiTheme="minorHAnsi" w:cstheme="minorHAnsi"/>
          <w:b/>
          <w:bCs/>
          <w:sz w:val="32"/>
          <w:szCs w:val="28"/>
        </w:rPr>
        <w:t>MODEL</w:t>
      </w:r>
    </w:p>
    <w:p w:rsidR="0061707A" w:rsidRPr="00F416DF" w:rsidRDefault="00A47057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Tecnico.php</w:t>
      </w:r>
      <w:proofErr w:type="spellEnd"/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61707A" w:rsidRPr="001C5EA8" w:rsidRDefault="0061707A" w:rsidP="00B97DCF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61707A" w:rsidRDefault="0061707A" w:rsidP="00B97DCF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61707A" w:rsidRPr="00AB062B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732"/>
        <w:gridCol w:w="1985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73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A47057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Tecnico</w:t>
            </w:r>
            <w:proofErr w:type="spellEnd"/>
          </w:p>
        </w:tc>
        <w:tc>
          <w:tcPr>
            <w:tcW w:w="3732" w:type="dxa"/>
          </w:tcPr>
          <w:p w:rsidR="0061707A" w:rsidRDefault="00A47057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7057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  <w:r w:rsidRPr="00A47057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contains th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e attributes,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 w:rsidRPr="00A47057">
              <w:rPr>
                <w:rFonts w:cstheme="minorHAnsi"/>
                <w:bCs/>
                <w:sz w:val="24"/>
                <w:szCs w:val="24"/>
                <w:lang w:val="en-US"/>
              </w:rPr>
              <w:t>and constructors of a coach. The coach mus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 contains </w:t>
            </w:r>
            <w:proofErr w:type="spellStart"/>
            <w:r w:rsidRPr="00A470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idTecnico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470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470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A470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A47057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  <w:p w:rsidR="00CC2C35" w:rsidRPr="00A47057" w:rsidRDefault="00CC2C35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:rsidR="0061707A" w:rsidRPr="00A47057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A47057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61707A" w:rsidRPr="00AB062B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3066"/>
        <w:gridCol w:w="2490"/>
        <w:gridCol w:w="1249"/>
      </w:tblGrid>
      <w:tr w:rsidR="0061707A" w:rsidTr="00F82FDA">
        <w:trPr>
          <w:jc w:val="center"/>
        </w:trPr>
        <w:tc>
          <w:tcPr>
            <w:tcW w:w="1722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562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F82FDA">
        <w:trPr>
          <w:jc w:val="center"/>
        </w:trPr>
        <w:tc>
          <w:tcPr>
            <w:tcW w:w="172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A4705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A470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</w:p>
        </w:tc>
        <w:tc>
          <w:tcPr>
            <w:tcW w:w="3159" w:type="dxa"/>
          </w:tcPr>
          <w:p w:rsidR="0061707A" w:rsidRPr="00436448" w:rsidRDefault="0061707A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A47057">
              <w:rPr>
                <w:rFonts w:cstheme="minorHAnsi"/>
                <w:bCs/>
                <w:sz w:val="24"/>
                <w:szCs w:val="24"/>
                <w:lang w:val="en-US"/>
              </w:rPr>
              <w:t>coach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data in the database.</w:t>
            </w:r>
          </w:p>
        </w:tc>
        <w:tc>
          <w:tcPr>
            <w:tcW w:w="2562" w:type="dxa"/>
          </w:tcPr>
          <w:p w:rsidR="0061707A" w:rsidRPr="00436448" w:rsidRDefault="0061707A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A470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A47057" w:rsidRPr="000C563C" w:rsidTr="00F82FDA">
        <w:trPr>
          <w:jc w:val="center"/>
        </w:trPr>
        <w:tc>
          <w:tcPr>
            <w:tcW w:w="1722" w:type="dxa"/>
          </w:tcPr>
          <w:p w:rsidR="00A47057" w:rsidRPr="00077AE8" w:rsidRDefault="00A47057" w:rsidP="00A4705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A47057" w:rsidRPr="00077AE8" w:rsidRDefault="00A47057" w:rsidP="00A4705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</w:p>
        </w:tc>
        <w:tc>
          <w:tcPr>
            <w:tcW w:w="3159" w:type="dxa"/>
          </w:tcPr>
          <w:p w:rsidR="00A47057" w:rsidRPr="00436448" w:rsidRDefault="00A47057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complete name of the coach.</w:t>
            </w:r>
          </w:p>
        </w:tc>
        <w:tc>
          <w:tcPr>
            <w:tcW w:w="2562" w:type="dxa"/>
          </w:tcPr>
          <w:p w:rsidR="00A47057" w:rsidRPr="00436448" w:rsidRDefault="00A47057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name cannot contain special characters or numbers.</w:t>
            </w:r>
          </w:p>
        </w:tc>
        <w:tc>
          <w:tcPr>
            <w:tcW w:w="1269" w:type="dxa"/>
          </w:tcPr>
          <w:p w:rsidR="00A47057" w:rsidRDefault="00A47057" w:rsidP="00A47057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A47057" w:rsidRPr="00436448" w:rsidRDefault="00A47057" w:rsidP="00A47057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47057" w:rsidRPr="000C563C" w:rsidTr="00F82FDA">
        <w:trPr>
          <w:jc w:val="center"/>
        </w:trPr>
        <w:tc>
          <w:tcPr>
            <w:tcW w:w="1722" w:type="dxa"/>
          </w:tcPr>
          <w:p w:rsidR="00A47057" w:rsidRPr="00077AE8" w:rsidRDefault="00A47057" w:rsidP="00A4705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A47057" w:rsidRPr="00077AE8" w:rsidRDefault="00A47057" w:rsidP="00A4705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159" w:type="dxa"/>
          </w:tcPr>
          <w:p w:rsidR="00A47057" w:rsidRPr="00436448" w:rsidRDefault="00A47057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telephone number of the coach.</w:t>
            </w:r>
          </w:p>
        </w:tc>
        <w:tc>
          <w:tcPr>
            <w:tcW w:w="2562" w:type="dxa"/>
          </w:tcPr>
          <w:p w:rsidR="00A47057" w:rsidRPr="00436448" w:rsidRDefault="00A47057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number can contain until 11 positive digits.</w:t>
            </w:r>
          </w:p>
        </w:tc>
        <w:tc>
          <w:tcPr>
            <w:tcW w:w="1269" w:type="dxa"/>
          </w:tcPr>
          <w:p w:rsidR="00A47057" w:rsidRDefault="00A47057" w:rsidP="00A47057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A47057" w:rsidRPr="00436448" w:rsidRDefault="00A47057" w:rsidP="00A47057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47057" w:rsidRPr="000C563C" w:rsidTr="00F82FDA">
        <w:trPr>
          <w:trHeight w:val="992"/>
          <w:jc w:val="center"/>
        </w:trPr>
        <w:tc>
          <w:tcPr>
            <w:tcW w:w="1722" w:type="dxa"/>
          </w:tcPr>
          <w:p w:rsidR="00A47057" w:rsidRDefault="00A47057" w:rsidP="00A4705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A47057" w:rsidRPr="00077AE8" w:rsidRDefault="00A47057" w:rsidP="00A4705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159" w:type="dxa"/>
          </w:tcPr>
          <w:p w:rsidR="00A47057" w:rsidRPr="00312819" w:rsidRDefault="00A47057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CPF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of the coach. </w:t>
            </w:r>
            <w:r w:rsidRPr="00312819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is a unique identification number of Brazilian citizen.</w:t>
            </w:r>
          </w:p>
        </w:tc>
        <w:tc>
          <w:tcPr>
            <w:tcW w:w="2562" w:type="dxa"/>
          </w:tcPr>
          <w:p w:rsidR="00A47057" w:rsidRPr="00312819" w:rsidRDefault="00A47057" w:rsidP="00A470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Pr="00312819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contains exactly 11 positive digits.</w:t>
            </w:r>
          </w:p>
        </w:tc>
        <w:tc>
          <w:tcPr>
            <w:tcW w:w="1269" w:type="dxa"/>
          </w:tcPr>
          <w:p w:rsidR="00A47057" w:rsidRDefault="00A47057" w:rsidP="00A47057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A47057" w:rsidRPr="00436448" w:rsidRDefault="00A47057" w:rsidP="00A470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61707A" w:rsidTr="00B97DCF">
        <w:trPr>
          <w:jc w:val="center"/>
        </w:trPr>
        <w:tc>
          <w:tcPr>
            <w:tcW w:w="3397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E35B6F" w:rsidRDefault="00A47057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47057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r w:rsidRPr="00A47057">
              <w:rPr>
                <w:rFonts w:cstheme="minorHAnsi"/>
                <w:bCs/>
                <w:i/>
                <w:sz w:val="24"/>
                <w:szCs w:val="24"/>
              </w:rPr>
              <w:t>constructOverload</w:t>
            </w:r>
            <w:proofErr w:type="spellEnd"/>
          </w:p>
          <w:p w:rsidR="0061707A" w:rsidRPr="00747E9D" w:rsidRDefault="00A47057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47057">
              <w:rPr>
                <w:rFonts w:cstheme="minorHAnsi"/>
                <w:bCs/>
                <w:i/>
                <w:sz w:val="24"/>
                <w:szCs w:val="24"/>
              </w:rPr>
              <w:t>($</w:t>
            </w:r>
            <w:proofErr w:type="spellStart"/>
            <w:r w:rsidRPr="00A47057">
              <w:rPr>
                <w:rFonts w:cstheme="minorHAnsi"/>
                <w:bCs/>
                <w:i/>
                <w:sz w:val="24"/>
                <w:szCs w:val="24"/>
              </w:rPr>
              <w:t>idTecnico</w:t>
            </w:r>
            <w:proofErr w:type="spellEnd"/>
            <w:r w:rsidRPr="00A47057">
              <w:rPr>
                <w:rFonts w:cstheme="minorHAnsi"/>
                <w:bCs/>
                <w:i/>
                <w:sz w:val="24"/>
                <w:szCs w:val="24"/>
              </w:rPr>
              <w:t>, $nome, $telefone, $</w:t>
            </w:r>
            <w:proofErr w:type="spellStart"/>
            <w:r w:rsidRPr="00A47057">
              <w:rPr>
                <w:rFonts w:cstheme="minorHAnsi"/>
                <w:bCs/>
                <w:i/>
                <w:sz w:val="24"/>
                <w:szCs w:val="24"/>
              </w:rPr>
              <w:t>cpf</w:t>
            </w:r>
            <w:proofErr w:type="spellEnd"/>
            <w:r w:rsidRPr="00A47057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61707A" w:rsidRPr="00747E9D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D692D" w:rsidRPr="000C563C" w:rsidTr="00B97DCF">
        <w:trPr>
          <w:jc w:val="center"/>
        </w:trPr>
        <w:tc>
          <w:tcPr>
            <w:tcW w:w="3397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D692D" w:rsidRPr="00077AE8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getIdTecnico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D692D" w:rsidRPr="00436448" w:rsidRDefault="00FD692D" w:rsidP="00FD692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D692D" w:rsidRPr="000C563C" w:rsidTr="00B97DCF">
        <w:trPr>
          <w:jc w:val="center"/>
        </w:trPr>
        <w:tc>
          <w:tcPr>
            <w:tcW w:w="3397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D692D" w:rsidRPr="00077AE8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D692D" w:rsidRPr="00312819" w:rsidRDefault="00FD692D" w:rsidP="00FD692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modify the attribute 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92D" w:rsidRPr="00312819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D692D" w:rsidRPr="000C563C" w:rsidTr="00B97DCF">
        <w:trPr>
          <w:jc w:val="center"/>
        </w:trPr>
        <w:tc>
          <w:tcPr>
            <w:tcW w:w="3397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D692D" w:rsidRPr="007D27AA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D692D" w:rsidRPr="00312819" w:rsidRDefault="00FD692D" w:rsidP="00FD692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92D" w:rsidRPr="00312819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D692D" w:rsidRPr="000C563C" w:rsidTr="00B97DCF">
        <w:trPr>
          <w:jc w:val="center"/>
        </w:trPr>
        <w:tc>
          <w:tcPr>
            <w:tcW w:w="3397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D692D" w:rsidRPr="007D27AA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D692D" w:rsidRPr="00312819" w:rsidRDefault="00FD692D" w:rsidP="00FD692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modify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92D" w:rsidRPr="00312819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D692D" w:rsidRPr="000C563C" w:rsidTr="00B97DCF">
        <w:trPr>
          <w:jc w:val="center"/>
        </w:trPr>
        <w:tc>
          <w:tcPr>
            <w:tcW w:w="3397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D692D" w:rsidRPr="007D27AA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getTelefone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D692D" w:rsidRPr="00312819" w:rsidRDefault="00FD692D" w:rsidP="00FD692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92D" w:rsidRPr="00312819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D692D" w:rsidRPr="000C563C" w:rsidTr="00B97DCF">
        <w:trPr>
          <w:jc w:val="center"/>
        </w:trPr>
        <w:tc>
          <w:tcPr>
            <w:tcW w:w="3397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D692D" w:rsidRPr="007D27AA" w:rsidRDefault="00FD692D" w:rsidP="00FD692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setTelefone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D692D" w:rsidRPr="00312819" w:rsidRDefault="00FD692D" w:rsidP="00FD692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modify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92D" w:rsidRPr="00312819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D692D" w:rsidRPr="000C563C" w:rsidTr="00B97DCF">
        <w:trPr>
          <w:jc w:val="center"/>
        </w:trPr>
        <w:tc>
          <w:tcPr>
            <w:tcW w:w="3397" w:type="dxa"/>
          </w:tcPr>
          <w:p w:rsidR="00FD692D" w:rsidRDefault="00FD692D" w:rsidP="00FD692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D692D" w:rsidRPr="007D27AA" w:rsidRDefault="00FD692D" w:rsidP="00FD692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getCpf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D692D" w:rsidRPr="00312819" w:rsidRDefault="00FD692D" w:rsidP="00FD692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92D" w:rsidRPr="00312819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D692D" w:rsidRPr="000C563C" w:rsidTr="00B97DCF">
        <w:trPr>
          <w:jc w:val="center"/>
        </w:trPr>
        <w:tc>
          <w:tcPr>
            <w:tcW w:w="3397" w:type="dxa"/>
          </w:tcPr>
          <w:p w:rsidR="00FD692D" w:rsidRDefault="00FD692D" w:rsidP="00FD692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D692D" w:rsidRPr="007D27AA" w:rsidRDefault="00FD692D" w:rsidP="00FD692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setCpf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D692D" w:rsidRPr="00312819" w:rsidRDefault="00FD692D" w:rsidP="00FD692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modify the attribute </w:t>
            </w:r>
            <w:proofErr w:type="spellStart"/>
            <w:r w:rsidRPr="00F8640E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D692D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92D" w:rsidRPr="00312819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D692D" w:rsidRPr="00436448" w:rsidRDefault="00FD692D" w:rsidP="00FD692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0B702C" w:rsidRPr="0061707A" w:rsidRDefault="000B702C" w:rsidP="0061707A"/>
    <w:sectPr w:rsidR="000B702C" w:rsidRPr="0061707A" w:rsidSect="002B174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AC" w:rsidRDefault="007D79AC" w:rsidP="004F2CD9">
      <w:pPr>
        <w:spacing w:after="0" w:line="240" w:lineRule="auto"/>
      </w:pPr>
      <w:r>
        <w:separator/>
      </w:r>
    </w:p>
  </w:endnote>
  <w:endnote w:type="continuationSeparator" w:id="0">
    <w:p w:rsidR="007D79AC" w:rsidRDefault="007D79AC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AC" w:rsidRDefault="007D79AC" w:rsidP="004F2CD9">
      <w:pPr>
        <w:spacing w:after="0" w:line="240" w:lineRule="auto"/>
      </w:pPr>
      <w:r>
        <w:separator/>
      </w:r>
    </w:p>
  </w:footnote>
  <w:footnote w:type="continuationSeparator" w:id="0">
    <w:p w:rsidR="007D79AC" w:rsidRDefault="007D79AC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950B1"/>
    <w:rsid w:val="000A30F6"/>
    <w:rsid w:val="000B702C"/>
    <w:rsid w:val="000D4560"/>
    <w:rsid w:val="000E563B"/>
    <w:rsid w:val="000F1C56"/>
    <w:rsid w:val="00115AB4"/>
    <w:rsid w:val="001163E6"/>
    <w:rsid w:val="00121F8D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13DD7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10B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B2094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1707A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C31D0"/>
    <w:rsid w:val="006D2838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47E9D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79AC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A1703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47057"/>
    <w:rsid w:val="00A52EF2"/>
    <w:rsid w:val="00A53A23"/>
    <w:rsid w:val="00A573C9"/>
    <w:rsid w:val="00A647E0"/>
    <w:rsid w:val="00A65D10"/>
    <w:rsid w:val="00A66EEF"/>
    <w:rsid w:val="00A70455"/>
    <w:rsid w:val="00A7508A"/>
    <w:rsid w:val="00A77265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1580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C2C35"/>
    <w:rsid w:val="00CD5705"/>
    <w:rsid w:val="00CD5CF4"/>
    <w:rsid w:val="00CE54BC"/>
    <w:rsid w:val="00CF568A"/>
    <w:rsid w:val="00CF6938"/>
    <w:rsid w:val="00D12BE4"/>
    <w:rsid w:val="00D16093"/>
    <w:rsid w:val="00D16176"/>
    <w:rsid w:val="00D233B1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5B6F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26B5"/>
    <w:rsid w:val="00F65018"/>
    <w:rsid w:val="00F7720F"/>
    <w:rsid w:val="00F82FDA"/>
    <w:rsid w:val="00F90C8F"/>
    <w:rsid w:val="00F91BAE"/>
    <w:rsid w:val="00F96ADE"/>
    <w:rsid w:val="00FA53F1"/>
    <w:rsid w:val="00FA778A"/>
    <w:rsid w:val="00FB682B"/>
    <w:rsid w:val="00FD3D9F"/>
    <w:rsid w:val="00FD5770"/>
    <w:rsid w:val="00FD692D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F35921-4A19-40F4-A82B-2238FA9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Elaine Cristina Meirelles</cp:lastModifiedBy>
  <cp:revision>5</cp:revision>
  <cp:lastPrinted>2014-04-01T04:00:00Z</cp:lastPrinted>
  <dcterms:created xsi:type="dcterms:W3CDTF">2014-04-12T01:10:00Z</dcterms:created>
  <dcterms:modified xsi:type="dcterms:W3CDTF">2014-04-12T02:38:00Z</dcterms:modified>
</cp:coreProperties>
</file>