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B73A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PERSISTENCE</w:t>
      </w:r>
      <w:r w:rsidR="00F416DF"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</w:p>
    <w:p w:rsidR="00AB062B" w:rsidRPr="00F416DF" w:rsidRDefault="003D0BD5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Time</w:t>
      </w:r>
      <w:r w:rsidR="001C4219">
        <w:rPr>
          <w:rFonts w:asciiTheme="minorHAnsi" w:hAnsiTheme="minorHAnsi" w:cstheme="minorHAnsi"/>
          <w:b/>
          <w:bCs/>
          <w:sz w:val="32"/>
          <w:szCs w:val="28"/>
        </w:rPr>
        <w:t>DAO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3D0BD5" w:rsidRDefault="003D0BD5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persistence</w:t>
            </w:r>
          </w:p>
        </w:tc>
        <w:tc>
          <w:tcPr>
            <w:tcW w:w="3155" w:type="dxa"/>
          </w:tcPr>
          <w:p w:rsidR="00243996" w:rsidRPr="001C5EA8" w:rsidRDefault="00373DF8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Layer responsible for receiving data from the controller layer already handled and keep them on the bench, with </w:t>
            </w:r>
            <w:proofErr w:type="gram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an</w:t>
            </w:r>
            <w:proofErr w:type="gram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unique layer to contain </w:t>
            </w:r>
            <w:proofErr w:type="spell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sql</w:t>
            </w:r>
            <w:proofErr w:type="spell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commands, whose data encapsulated narrowly specified types in the model layer.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3A6C29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="Arial"/>
                <w:sz w:val="24"/>
                <w:szCs w:val="26"/>
                <w:lang w:val="en-US"/>
              </w:rPr>
              <w:t>Because we adopt the MVC architecture, the persistence layer has bidirectional relationship exclusively with controller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3D0BD5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Time</w:t>
            </w:r>
            <w:r w:rsidR="00AC2936">
              <w:rPr>
                <w:rFonts w:cstheme="minorHAnsi"/>
                <w:bCs/>
                <w:i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3155" w:type="dxa"/>
          </w:tcPr>
          <w:p w:rsidR="00320964" w:rsidRPr="00436448" w:rsidRDefault="003A6C29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Responsible for mai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ntai</w:t>
            </w:r>
            <w:r w:rsidR="001E3503">
              <w:rPr>
                <w:rFonts w:cstheme="minorHAnsi"/>
                <w:bCs/>
                <w:sz w:val="24"/>
                <w:szCs w:val="24"/>
                <w:lang w:val="en-US"/>
              </w:rPr>
              <w:t>n</w:t>
            </w:r>
            <w:r w:rsidR="00CF2951">
              <w:rPr>
                <w:rFonts w:cstheme="minorHAnsi"/>
                <w:bCs/>
                <w:sz w:val="24"/>
                <w:szCs w:val="24"/>
                <w:lang w:val="en-US"/>
              </w:rPr>
              <w:t>i</w:t>
            </w:r>
            <w:r w:rsidR="003D0BD5">
              <w:rPr>
                <w:rFonts w:cstheme="minorHAnsi"/>
                <w:bCs/>
                <w:sz w:val="24"/>
                <w:szCs w:val="24"/>
                <w:lang w:val="en-US"/>
              </w:rPr>
              <w:t xml:space="preserve">ng and persist data type </w:t>
            </w:r>
            <w:proofErr w:type="spellStart"/>
            <w:r w:rsidR="003D0BD5">
              <w:rPr>
                <w:rFonts w:cstheme="minorHAnsi"/>
                <w:bCs/>
                <w:sz w:val="24"/>
                <w:szCs w:val="24"/>
                <w:lang w:val="en-US"/>
              </w:rPr>
              <w:t>Time</w:t>
            </w:r>
            <w:bookmarkStart w:id="0" w:name="_GoBack"/>
            <w:bookmarkEnd w:id="0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.php</w:t>
            </w:r>
            <w:proofErr w:type="spellEnd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contained in the Model layer class.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AC2936" w:rsidP="00AC293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conexao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the connection and manipulations in the database</w:t>
            </w:r>
          </w:p>
        </w:tc>
        <w:tc>
          <w:tcPr>
            <w:tcW w:w="2562" w:type="dxa"/>
          </w:tcPr>
          <w:p w:rsidR="000B702C" w:rsidRPr="00436448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Instance of th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e class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C</w:t>
            </w: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onexao.php</w:t>
            </w:r>
            <w:proofErr w:type="spellEnd"/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1C4219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Object</w:t>
            </w:r>
            <w:r w:rsidR="00225690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commands</w:t>
            </w:r>
          </w:p>
        </w:tc>
        <w:tc>
          <w:tcPr>
            <w:tcW w:w="2562" w:type="dxa"/>
          </w:tcPr>
          <w:p w:rsidR="000B702C" w:rsidRPr="00436448" w:rsidRDefault="001C4219" w:rsidP="00FA476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Restricted to the SQL commands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result of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 executed</w:t>
            </w:r>
          </w:p>
        </w:tc>
        <w:tc>
          <w:tcPr>
            <w:tcW w:w="2562" w:type="dxa"/>
          </w:tcPr>
          <w:p w:rsidR="000B702C" w:rsidRPr="00436448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563A" w:rsidP="0036563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registro</w:t>
            </w:r>
            <w:proofErr w:type="spellEnd"/>
          </w:p>
        </w:tc>
        <w:tc>
          <w:tcPr>
            <w:tcW w:w="3155" w:type="dxa"/>
          </w:tcPr>
          <w:p w:rsidR="000B702C" w:rsidRPr="00312819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keeping individual within a loop and manipulate the results coming from the database</w:t>
            </w:r>
          </w:p>
        </w:tc>
        <w:tc>
          <w:tcPr>
            <w:tcW w:w="2562" w:type="dxa"/>
          </w:tcPr>
          <w:p w:rsidR="000B702C" w:rsidRPr="00312819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1C42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51E" w:rsidRDefault="00F5351E" w:rsidP="004F2CD9">
      <w:pPr>
        <w:spacing w:after="0" w:line="240" w:lineRule="auto"/>
      </w:pPr>
      <w:r>
        <w:separator/>
      </w:r>
    </w:p>
  </w:endnote>
  <w:endnote w:type="continuationSeparator" w:id="0">
    <w:p w:rsidR="00F5351E" w:rsidRDefault="00F5351E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51E" w:rsidRDefault="00F5351E" w:rsidP="004F2CD9">
      <w:pPr>
        <w:spacing w:after="0" w:line="240" w:lineRule="auto"/>
      </w:pPr>
      <w:r>
        <w:separator/>
      </w:r>
    </w:p>
  </w:footnote>
  <w:footnote w:type="continuationSeparator" w:id="0">
    <w:p w:rsidR="00F5351E" w:rsidRDefault="00F5351E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4219"/>
    <w:rsid w:val="001C5EA8"/>
    <w:rsid w:val="001D2EA8"/>
    <w:rsid w:val="001D33EE"/>
    <w:rsid w:val="001D5C8F"/>
    <w:rsid w:val="001E05CF"/>
    <w:rsid w:val="001E3503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563A"/>
    <w:rsid w:val="003678D7"/>
    <w:rsid w:val="00371E53"/>
    <w:rsid w:val="00373DF8"/>
    <w:rsid w:val="00375BEA"/>
    <w:rsid w:val="00381591"/>
    <w:rsid w:val="0039137C"/>
    <w:rsid w:val="00391826"/>
    <w:rsid w:val="00391DB8"/>
    <w:rsid w:val="00395DA6"/>
    <w:rsid w:val="003969C0"/>
    <w:rsid w:val="003A6C29"/>
    <w:rsid w:val="003D03F3"/>
    <w:rsid w:val="003D0BD5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A3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3562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71F06"/>
    <w:rsid w:val="00882056"/>
    <w:rsid w:val="008909E4"/>
    <w:rsid w:val="00891701"/>
    <w:rsid w:val="00894169"/>
    <w:rsid w:val="00896D4E"/>
    <w:rsid w:val="00897AC7"/>
    <w:rsid w:val="008B1F1C"/>
    <w:rsid w:val="008D7EA1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C2936"/>
    <w:rsid w:val="00AD0C35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57C7D"/>
    <w:rsid w:val="00B73A2B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2951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1D27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5351E"/>
    <w:rsid w:val="00F65018"/>
    <w:rsid w:val="00F7720F"/>
    <w:rsid w:val="00F857DC"/>
    <w:rsid w:val="00F8640E"/>
    <w:rsid w:val="00F90C8F"/>
    <w:rsid w:val="00F91BAE"/>
    <w:rsid w:val="00F96ADE"/>
    <w:rsid w:val="00FA343C"/>
    <w:rsid w:val="00FA476F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2219-3EFB-4823-9C7A-641ECCE5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Lucas Carvalho</cp:lastModifiedBy>
  <cp:revision>2</cp:revision>
  <cp:lastPrinted>2014-04-01T04:00:00Z</cp:lastPrinted>
  <dcterms:created xsi:type="dcterms:W3CDTF">2014-04-15T02:40:00Z</dcterms:created>
  <dcterms:modified xsi:type="dcterms:W3CDTF">2014-04-15T02:40:00Z</dcterms:modified>
</cp:coreProperties>
</file>