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AB" w:rsidRDefault="00C47CAB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  <w:proofErr w:type="spellEnd"/>
      <w:r w:rsidR="00DE1AA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DE1AAE"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C47CAB" w:rsidRPr="00F07EBB" w:rsidRDefault="00F07EBB" w:rsidP="004B7F2C">
      <w:pPr>
        <w:pStyle w:val="Rodap"/>
        <w:spacing w:before="120" w:after="12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    </w:t>
      </w:r>
      <w:bookmarkStart w:id="0" w:name="_GoBack"/>
      <w:bookmarkEnd w:id="0"/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Class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responsible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for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handling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the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data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of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a referee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know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as index id,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name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,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phone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.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Can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gramStart"/>
      <w:r w:rsidRPr="00F07EBB">
        <w:rPr>
          <w:rFonts w:asciiTheme="minorHAnsi" w:hAnsiTheme="minorHAnsi" w:cstheme="minorHAnsi"/>
          <w:bCs/>
          <w:sz w:val="28"/>
          <w:szCs w:val="28"/>
        </w:rPr>
        <w:t>delete</w:t>
      </w:r>
      <w:proofErr w:type="gram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,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update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, delete,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armzenar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plus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update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F07EBB">
        <w:rPr>
          <w:rFonts w:asciiTheme="minorHAnsi" w:hAnsiTheme="minorHAnsi" w:cstheme="minorHAnsi"/>
          <w:bCs/>
          <w:sz w:val="28"/>
          <w:szCs w:val="28"/>
        </w:rPr>
        <w:t>of</w:t>
      </w:r>
      <w:proofErr w:type="spellEnd"/>
      <w:r w:rsidRPr="00F07EBB">
        <w:rPr>
          <w:rFonts w:asciiTheme="minorHAnsi" w:hAnsiTheme="minorHAnsi" w:cstheme="minorHAnsi"/>
          <w:bCs/>
          <w:sz w:val="28"/>
          <w:szCs w:val="28"/>
        </w:rPr>
        <w:t xml:space="preserve"> a referee.</w:t>
      </w:r>
    </w:p>
    <w:p w:rsidR="00F07EBB" w:rsidRDefault="00F07EBB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ed to instantiate the </w:t>
            </w:r>
            <w:proofErr w:type="spell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receiving data from each referee stored in vector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individually</w:t>
            </w:r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</w:t>
            </w:r>
            <w:proofErr w:type="gram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stores the data of a single arbitrator.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arrayDados['nome']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lastRenderedPageBreak/>
              <w:t>arrayDados['telefone']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arrayDados['cpf']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instantiating an arbitrator object. Used to modify your data by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nome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data from a referee as name,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itrator for the function </w:t>
            </w:r>
            <w:proofErr w:type="spellStart"/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inserir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579" w:type="dxa"/>
          </w:tcPr>
          <w:p w:rsidR="007A6E97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sectPr w:rsidR="00A46C7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23A" w:rsidRDefault="000A023A" w:rsidP="004F2CD9">
      <w:pPr>
        <w:spacing w:after="0" w:line="240" w:lineRule="auto"/>
      </w:pPr>
      <w:r>
        <w:separator/>
      </w:r>
    </w:p>
  </w:endnote>
  <w:endnote w:type="continuationSeparator" w:id="0">
    <w:p w:rsidR="000A023A" w:rsidRDefault="000A023A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23A" w:rsidRDefault="000A023A" w:rsidP="004F2CD9">
      <w:pPr>
        <w:spacing w:after="0" w:line="240" w:lineRule="auto"/>
      </w:pPr>
      <w:r>
        <w:separator/>
      </w:r>
    </w:p>
  </w:footnote>
  <w:footnote w:type="continuationSeparator" w:id="0">
    <w:p w:rsidR="000A023A" w:rsidRDefault="000A023A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3AE65B17" wp14:editId="32414B16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40B10"/>
    <w:rsid w:val="00050BBE"/>
    <w:rsid w:val="00061E8E"/>
    <w:rsid w:val="00071537"/>
    <w:rsid w:val="000803B0"/>
    <w:rsid w:val="000827F7"/>
    <w:rsid w:val="0009113E"/>
    <w:rsid w:val="000A023A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64E9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1DD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93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47CAB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07EBB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7</cp:revision>
  <cp:lastPrinted>2014-04-01T04:00:00Z</cp:lastPrinted>
  <dcterms:created xsi:type="dcterms:W3CDTF">2014-04-07T17:31:00Z</dcterms:created>
  <dcterms:modified xsi:type="dcterms:W3CDTF">2014-04-11T22:28:00Z</dcterms:modified>
</cp:coreProperties>
</file>