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DB6DC5"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DB6DC5" w:rsidP="00243996">
      <w:pPr>
        <w:pStyle w:val="Rodap"/>
        <w:spacing w:before="120" w:after="120"/>
        <w:jc w:val="center"/>
        <w:rPr>
          <w:rFonts w:asciiTheme="minorHAnsi" w:hAnsiTheme="minorHAnsi" w:cstheme="minorHAnsi"/>
          <w:b/>
          <w:bCs/>
          <w:sz w:val="32"/>
          <w:szCs w:val="28"/>
        </w:rPr>
      </w:pPr>
      <w:r w:rsidRPr="00DB6DC5">
        <w:rPr>
          <w:rFonts w:asciiTheme="minorHAnsi" w:hAnsiTheme="minorHAnsi" w:cstheme="minorHAnsi"/>
          <w:b/>
          <w:bCs/>
          <w:sz w:val="32"/>
          <w:szCs w:val="28"/>
        </w:rPr>
        <w:t>DadosTimeView</w:t>
      </w:r>
      <w:r w:rsidR="00DB4005">
        <w:rPr>
          <w:rFonts w:asciiTheme="minorHAnsi" w:hAnsiTheme="minorHAnsi" w:cstheme="minorHAnsi"/>
          <w:b/>
          <w:bCs/>
          <w:sz w:val="32"/>
          <w:szCs w:val="28"/>
        </w:rPr>
        <w:t>.php</w:t>
      </w:r>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781"/>
        <w:gridCol w:w="3131"/>
        <w:gridCol w:w="2546"/>
        <w:gridCol w:w="1262"/>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DB6DC5" w:rsidP="008248C6">
            <w:pPr>
              <w:pStyle w:val="SemEspaamento"/>
              <w:jc w:val="center"/>
              <w:rPr>
                <w:rFonts w:cstheme="minorHAnsi"/>
                <w:bCs/>
                <w:i/>
                <w:sz w:val="24"/>
                <w:szCs w:val="24"/>
              </w:rPr>
            </w:pPr>
            <w:r w:rsidRPr="00DB6DC5">
              <w:rPr>
                <w:rFonts w:cstheme="minorHAnsi"/>
                <w:bCs/>
                <w:i/>
                <w:sz w:val="24"/>
                <w:szCs w:val="24"/>
              </w:rPr>
              <w:t>DadosTimeView</w:t>
            </w:r>
          </w:p>
        </w:tc>
        <w:tc>
          <w:tcPr>
            <w:tcW w:w="3155" w:type="dxa"/>
          </w:tcPr>
          <w:p w:rsidR="00320964" w:rsidRPr="00436448" w:rsidRDefault="00DB6DC5" w:rsidP="00F8640E">
            <w:pPr>
              <w:pStyle w:val="SemEspaamento"/>
              <w:jc w:val="both"/>
              <w:rPr>
                <w:rFonts w:cstheme="minorHAnsi"/>
                <w:bCs/>
                <w:sz w:val="24"/>
                <w:szCs w:val="24"/>
                <w:lang w:val="en-US"/>
              </w:rPr>
            </w:pPr>
            <w:r w:rsidRPr="00DB6DC5">
              <w:rPr>
                <w:rFonts w:cstheme="minorHAnsi"/>
                <w:bCs/>
                <w:sz w:val="24"/>
                <w:szCs w:val="24"/>
                <w:lang w:val="en-US"/>
              </w:rPr>
              <w:t>This view shows the data of each team.</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320964" w:rsidRPr="00436448" w:rsidRDefault="00E4353B" w:rsidP="00E4353B">
            <w:pPr>
              <w:pStyle w:val="SemEspaamento"/>
              <w:rPr>
                <w:rFonts w:cstheme="minorHAnsi"/>
                <w:bCs/>
                <w:sz w:val="24"/>
                <w:szCs w:val="24"/>
                <w:lang w:val="en-US"/>
              </w:rPr>
            </w:pPr>
            <w:r>
              <w:rPr>
                <w:rFonts w:cstheme="minorHAnsi"/>
                <w:bCs/>
                <w:sz w:val="24"/>
                <w:szCs w:val="24"/>
                <w:lang w:val="en-US"/>
              </w:rPr>
              <w:t xml:space="preserve">    </w:t>
            </w:r>
            <w:bookmarkStart w:id="0" w:name="_GoBack"/>
            <w:bookmarkEnd w:id="0"/>
            <w:r w:rsidR="00320964">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r w:rsidRPr="00077AE8">
              <w:rPr>
                <w:rFonts w:cstheme="minorHAnsi"/>
                <w:bCs/>
                <w:i/>
                <w:sz w:val="24"/>
                <w:szCs w:val="24"/>
                <w:lang w:val="en-US"/>
              </w:rPr>
              <w:t>cpf</w:t>
            </w:r>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r>
        <w:rPr>
          <w:rFonts w:asciiTheme="minorHAnsi" w:hAnsiTheme="minorHAnsi" w:cstheme="minorHAnsi"/>
          <w:b/>
          <w:bCs/>
          <w:sz w:val="28"/>
          <w:szCs w:val="28"/>
        </w:rPr>
        <w:t>Functions</w:t>
      </w:r>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r>
              <w:rPr>
                <w:rFonts w:cstheme="minorHAnsi"/>
                <w:b/>
                <w:bCs/>
                <w:sz w:val="24"/>
                <w:szCs w:val="24"/>
              </w:rPr>
              <w:t>Description</w:t>
            </w:r>
          </w:p>
        </w:tc>
        <w:tc>
          <w:tcPr>
            <w:tcW w:w="1418" w:type="dxa"/>
          </w:tcPr>
          <w:p w:rsidR="007D27AA" w:rsidRPr="00436448" w:rsidRDefault="007D27AA" w:rsidP="008729DB">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7D27AA" w:rsidRPr="00436448" w:rsidRDefault="007D27AA" w:rsidP="008729DB">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__construct()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__constructOverload($idArbitro, $nome, $telefone, $cpf)</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__getIdArbitro</w:t>
            </w:r>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r w:rsidR="007D27AA" w:rsidRPr="007D27AA">
              <w:rPr>
                <w:rFonts w:cstheme="minorHAnsi"/>
                <w:bCs/>
                <w:i/>
                <w:sz w:val="24"/>
                <w:szCs w:val="24"/>
                <w:lang w:val="en-US"/>
              </w:rPr>
              <w:t>id</w:t>
            </w:r>
            <w:r w:rsidR="00DF1EC9">
              <w:rPr>
                <w:rFonts w:cstheme="minorHAnsi"/>
                <w:bCs/>
                <w:i/>
                <w:sz w:val="24"/>
                <w:szCs w:val="24"/>
                <w:lang w:val="en-US"/>
              </w:rPr>
              <w:t>Arbitro</w:t>
            </w:r>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__setIdArbitro($idArbitro)</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r w:rsidRPr="002E3197">
              <w:rPr>
                <w:rFonts w:cstheme="minorHAnsi"/>
                <w:bCs/>
                <w:i/>
                <w:sz w:val="24"/>
                <w:szCs w:val="24"/>
                <w:lang w:val="en-US"/>
              </w:rPr>
              <w:t>idA</w:t>
            </w:r>
            <w:r w:rsidR="00DF1EC9">
              <w:rPr>
                <w:rFonts w:cstheme="minorHAnsi"/>
                <w:bCs/>
                <w:i/>
                <w:sz w:val="24"/>
                <w:szCs w:val="24"/>
                <w:lang w:val="en-US"/>
              </w:rPr>
              <w:t>rbitro</w:t>
            </w:r>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__getNome()</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r>
              <w:rPr>
                <w:rFonts w:cstheme="minorHAnsi"/>
                <w:bCs/>
                <w:i/>
                <w:sz w:val="24"/>
                <w:szCs w:val="24"/>
                <w:lang w:val="en-US"/>
              </w:rPr>
              <w:t>nome</w:t>
            </w:r>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__setNome($nome)</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r w:rsidRPr="002E3197">
              <w:rPr>
                <w:rFonts w:cstheme="minorHAnsi"/>
                <w:bCs/>
                <w:i/>
                <w:sz w:val="24"/>
                <w:szCs w:val="24"/>
                <w:lang w:val="en-US"/>
              </w:rPr>
              <w:t>nome</w:t>
            </w:r>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__getTelefone</w:t>
            </w:r>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r w:rsidR="007D27AA" w:rsidRPr="002E3197">
              <w:rPr>
                <w:rFonts w:cstheme="minorHAnsi"/>
                <w:bCs/>
                <w:i/>
                <w:sz w:val="24"/>
                <w:szCs w:val="24"/>
                <w:lang w:val="en-US"/>
              </w:rPr>
              <w:t>telefone</w:t>
            </w:r>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__setTelefone($telefone)</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r w:rsidRPr="002E3197">
              <w:rPr>
                <w:rFonts w:cstheme="minorHAnsi"/>
                <w:bCs/>
                <w:i/>
                <w:sz w:val="24"/>
                <w:szCs w:val="24"/>
                <w:lang w:val="en-US"/>
              </w:rPr>
              <w:t>telefone</w:t>
            </w:r>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__getCpf</w:t>
            </w:r>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r w:rsidR="007D27AA" w:rsidRPr="002E3197">
              <w:rPr>
                <w:rFonts w:cstheme="minorHAnsi"/>
                <w:bCs/>
                <w:i/>
                <w:sz w:val="24"/>
                <w:szCs w:val="24"/>
                <w:lang w:val="en-US"/>
              </w:rPr>
              <w:t>cpf</w:t>
            </w:r>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__setCpf</w:t>
            </w:r>
            <w:r w:rsidR="00364957">
              <w:rPr>
                <w:rFonts w:cstheme="minorHAnsi"/>
                <w:bCs/>
                <w:i/>
                <w:sz w:val="24"/>
                <w:szCs w:val="24"/>
                <w:lang w:val="en-US"/>
              </w:rPr>
              <w:t>($cpf)</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r w:rsidRPr="00F8640E">
              <w:rPr>
                <w:rFonts w:cstheme="minorHAnsi"/>
                <w:bCs/>
                <w:i/>
                <w:sz w:val="24"/>
                <w:szCs w:val="24"/>
                <w:lang w:val="en-US"/>
              </w:rPr>
              <w:t>cpf</w:t>
            </w:r>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D32" w:rsidRDefault="00C35D32" w:rsidP="004F2CD9">
      <w:pPr>
        <w:spacing w:after="0" w:line="240" w:lineRule="auto"/>
      </w:pPr>
      <w:r>
        <w:separator/>
      </w:r>
    </w:p>
  </w:endnote>
  <w:endnote w:type="continuationSeparator" w:id="0">
    <w:p w:rsidR="00C35D32" w:rsidRDefault="00C35D32"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D32" w:rsidRDefault="00C35D32" w:rsidP="004F2CD9">
      <w:pPr>
        <w:spacing w:after="0" w:line="240" w:lineRule="auto"/>
      </w:pPr>
      <w:r>
        <w:separator/>
      </w:r>
    </w:p>
  </w:footnote>
  <w:footnote w:type="continuationSeparator" w:id="0">
    <w:p w:rsidR="00C35D32" w:rsidRDefault="00C35D32"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C36C5"/>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35D32"/>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B6DC5"/>
    <w:rsid w:val="00DD1793"/>
    <w:rsid w:val="00DD3EEA"/>
    <w:rsid w:val="00DD47F2"/>
    <w:rsid w:val="00DD6361"/>
    <w:rsid w:val="00DE1AAE"/>
    <w:rsid w:val="00DF0D2C"/>
    <w:rsid w:val="00DF1EC9"/>
    <w:rsid w:val="00E00E9E"/>
    <w:rsid w:val="00E0311F"/>
    <w:rsid w:val="00E278B7"/>
    <w:rsid w:val="00E36EA2"/>
    <w:rsid w:val="00E4353B"/>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C0112-EFE7-4C41-9AAE-EF63E839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332</Words>
  <Characters>1794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2014-04-14T19:55:00Z</dcterms:modified>
</cp:coreProperties>
</file>