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个人收支管理系统架构与接口设计</w:t>
      </w:r>
    </w:p>
    <w:p>
      <w:pPr>
        <w:pStyle w:val="Subtitle"/>
      </w:pPr>
      <w:r>
        <w:t>Personal Finance Tracker   CPSC 449   设计版本 2.0   MongoDB 方案   2026年10月16日</w:t>
      </w:r>
    </w:p>
    <w:p>
      <w:r>
        <w:t>本项目面向希望了解支出并控制预算的个人用户。系统支持手动录入收入和支出、分类预算、外币换算、预算提醒，以及由 DeepSeek 生成的支出分析。本文规定前后端职责、数据模型、REST 接口、业务规则与验收标准，可作为开发和 checkpoint 讨论的依据。</w:t>
      </w:r>
    </w:p>
    <w:p>
      <w:pPr>
        <w:pStyle w:val="Heading1"/>
      </w:pPr>
      <w:r>
        <w:t>一 项目范围与课程要求</w:t>
      </w:r>
    </w:p>
    <w:p>
      <w:r>
        <w:t>首版采用单体后端和 MongoDB 文档数据库，先完成可部署的完整业务流程。用户自行录入交易，不接入银行账户；AI 分析只读取用户选择月份的汇总数据。下列设计是计划实现的规格，不代表功能已经开发完成。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7992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课程要求</w:t>
            </w:r>
          </w:p>
        </w:tc>
        <w:tc>
          <w:tcPr>
            <w:tcW w:type="dxa" w:w="79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本项目的实现与展示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至少三个 API</w:t>
            </w:r>
          </w:p>
        </w:tc>
        <w:tc>
          <w:tcPr>
            <w:tcW w:type="dxa" w:w="79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接入 Frankfurter、DeepSeek、Resend 三个外部服务，并实现自建受保护 REST API。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数据库和完整 CRUD</w:t>
            </w:r>
          </w:p>
        </w:tc>
        <w:tc>
          <w:tcPr>
            <w:tcW w:type="dxa" w:w="79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交易、分类、预算均由 MongoDB 集合持久化；提供增删改查。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认证和至少两种角色</w:t>
            </w:r>
          </w:p>
        </w:tc>
        <w:tc>
          <w:tcPr>
            <w:tcW w:type="dxa" w:w="79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user 访问自己的数据；admin 管理用户状态并查看系统汇总。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自动同步</w:t>
            </w:r>
          </w:p>
        </w:tc>
        <w:tc>
          <w:tcPr>
            <w:tcW w:type="dxa" w:w="79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已打开页面每 10 秒轮询；保存后立即重新查询，演示两个标签页同步。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公开部署与 Git</w:t>
            </w:r>
          </w:p>
        </w:tc>
        <w:tc>
          <w:tcPr>
            <w:tcW w:type="dxa" w:w="79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公开部署后端并连接持久化数据库；持续 Git 提交，提供 README 和接口说明。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展示和扩展功能</w:t>
            </w:r>
          </w:p>
        </w:tc>
        <w:tc>
          <w:tcPr>
            <w:tcW w:type="dxa" w:w="79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至少 10 页幻灯片及现场演示；AI 集成可作为扩展，额外分需按教师规则确认。</w:t>
            </w:r>
          </w:p>
        </w:tc>
      </w:tr>
    </w:tbl>
    <w:p>
      <w:pPr>
        <w:spacing w:after="0"/>
      </w:pPr>
    </w:p>
    <w:p>
      <w:r>
        <w:t>课程依据为上传的 CPSC 449 项目说明第 2 至 6 页及第 8 页。三个外部服务各有业务用途，自建接口另外满足“创建需要认证的 private API”这一要求。</w:t>
      </w:r>
    </w:p>
    <w:p>
      <w:pPr>
        <w:pStyle w:val="Heading2"/>
      </w:pPr>
      <w:r>
        <w:t>交付目标</w:t>
      </w:r>
    </w:p>
    <w:p>
      <w:r>
        <w:t>完成可登录的网页应用、后端源代码、集合初始化脚本和演示数据、Postman 测试、README、部署地址及展示材料。优先完成交易和预算闭环，再完成 AI 和邮件链路。</w:t>
      </w:r>
    </w:p>
    <w:p>
      <w:pPr>
        <w:pStyle w:val="Heading1"/>
        <w:pageBreakBefore/>
      </w:pPr>
      <w:r>
        <w:t>二 技术栈与总体架构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4032"/>
        <w:gridCol w:w="4680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确定方案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前端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React + Vite + JavaScript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组件化页面；Vite 用于本地开发和生产构建。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前端辅助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React Router、TanStack Query、Recharts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路由与页面守卫；请求缓存和轮询；支出图表。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后端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Node.js LTS + Express + JavaScript ES Modules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REST 路由、业务逻辑、外部服务集成。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数据访问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MongoDB + Mongoose + decimal.js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Schema 校验、精确金额、聚合统计与多集合事务。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认证与校验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JWT、argon2、Zod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签名身份令牌、密码哈希、请求字段验证。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联调与测试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Postman、Node test、Supertest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手动联调及权限、金额计算等关键集成测试。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部署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一个 Node 服务 + MongoDB Atlas 复制集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Express 提供 API 和已构建的前端，生产环境使用同源 HTTPS。</w:t>
            </w:r>
          </w:p>
        </w:tc>
      </w:tr>
    </w:tbl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6492240" cy="2040418"/>
            <wp:docPr id="1" name="Picture 1" descr="React 前端通过 HTTPS 调用 Express 后端，后端通过 Mongoose 访问 MongoDB 并调用三个外部 API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040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部署与开发的边界</w:t>
      </w:r>
    </w:p>
    <w:p>
      <w:r>
        <w:t>代码按 frontend 和 backend 分开组织。开发时 Vite 把 /api 请求代理到 Express；生产时 Express 提供前端静态文件和 /api/v1 接口。这样保留清晰的前后端分工，同时减少跨域 Cookie 配置。部署平台可采用课程允许的 Render 或 Railway，具体资源与套餐在部署时确认。</w:t>
      </w:r>
    </w:p>
    <w:p>
      <w:pPr>
        <w:pStyle w:val="Heading2"/>
      </w:pPr>
      <w:r>
        <w:t>职责分层</w:t>
      </w:r>
    </w:p>
    <w:p>
      <w:r>
        <w:t>前端负责交互和展示；后端负责金额、预算、权限和数据校验；数据库维护持久化数据与约束。外部 API 的密钥和数据库连接串只保存在后端。Node 选用仍受支持的 LTS，依赖版本通过 lockfile 固定，不在文档中锁定易变化的模型名称。</w:t>
      </w:r>
    </w:p>
    <w:p>
      <w:pPr>
        <w:pStyle w:val="Heading1"/>
        <w:pageBreakBefore/>
      </w:pPr>
      <w:r>
        <w:t>三 功能与页面清单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4968"/>
        <w:gridCol w:w="3240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功能与页面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必须实现的行为</w:t>
            </w:r>
          </w:p>
        </w:tc>
        <w:tc>
          <w:tcPr>
            <w:tcW w:type="dxa" w:w="32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验收条件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登录与注册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注册、登录、退出、获取当前用户；注册用户角色固定为 user。</w:t>
            </w:r>
          </w:p>
        </w:tc>
        <w:tc>
          <w:tcPr>
            <w:tcW w:type="dxa" w:w="32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登录后可操作私有数据；退出后私有接口拒绝访问。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仪表盘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选择月份；显示收入、支出、结余、分类图表和预算进度。</w:t>
            </w:r>
          </w:p>
        </w:tc>
        <w:tc>
          <w:tcPr>
            <w:tcW w:type="dxa" w:w="32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所有金额来自后端计算；无数据时显示空状态。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交易列表和表单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交易 CRUD；按日期、类型、类别、关键词筛选；分页。</w:t>
            </w:r>
          </w:p>
        </w:tc>
        <w:tc>
          <w:tcPr>
            <w:tcW w:type="dxa" w:w="32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修改或删除后统计和预算同步变化。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分类管理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收入和支出类别 CRUD；被使用的类别可归档。</w:t>
            </w:r>
          </w:p>
        </w:tc>
        <w:tc>
          <w:tcPr>
            <w:tcW w:type="dxa" w:w="32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归档类别不可用于新交易，历史记录仍可读。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预算管理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按类别和月份创建、修改、删除预算，展示剩余和超支。</w:t>
            </w:r>
          </w:p>
        </w:tc>
        <w:tc>
          <w:tcPr>
            <w:tcW w:type="dxa" w:w="32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同一用户、类别、月份只有一份预算。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外币交易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支持 USD、EUR、CNY、GBP；按交易日期换算成本位币。</w:t>
            </w:r>
          </w:p>
        </w:tc>
        <w:tc>
          <w:tcPr>
            <w:tcW w:type="dxa" w:w="32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保存原金额、汇率、实际汇率日期和换算金额。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通知中心与设置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展示预算提醒、标为已读；开关邮件通知并验证邮箱。</w:t>
            </w:r>
          </w:p>
        </w:tc>
        <w:tc>
          <w:tcPr>
            <w:tcW w:type="dxa" w:w="32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同一预算的同一阈值不重复发送。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AI 分析与历史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按月份生成支出总结、超预算解释和建议；保留分析记录。</w:t>
            </w:r>
          </w:p>
        </w:tc>
        <w:tc>
          <w:tcPr>
            <w:tcW w:type="dxa" w:w="32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展示生成时间、数据版本；数据变化后显示分析已过期。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管理员页面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分页查看用户基本信息、禁用和恢复普通用户；查看系统数量。</w:t>
            </w:r>
          </w:p>
        </w:tc>
        <w:tc>
          <w:tcPr>
            <w:tcW w:type="dxa" w:w="32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user 访问返回 403；不暴露其他人的交易明细。</w:t>
            </w:r>
          </w:p>
        </w:tc>
      </w:tr>
    </w:tbl>
    <w:p>
      <w:pPr>
        <w:spacing w:after="0"/>
      </w:pPr>
    </w:p>
    <w:p>
      <w:pPr>
        <w:pStyle w:val="Heading2"/>
      </w:pPr>
      <w:r>
        <w:t>前端实现方式</w:t>
      </w:r>
    </w:p>
    <w:p>
      <w:r>
        <w:t>按页面拆分组件。api/client.js 统一处理 JSON、Cookie、CSRF 和错误；hooks 管理查询与缓存。交易保存后刷新 transactions、dashboard、budgets、notifications 四组缓存。认证信息只存于服务端签发的 HttpOnly Cookie，前端状态用 /auth/me 恢复。</w:t>
      </w:r>
    </w:p>
    <w:p>
      <w:pPr>
        <w:pStyle w:val="Heading2"/>
      </w:pPr>
      <w:r>
        <w:t>首版之外的功能</w:t>
      </w:r>
    </w:p>
    <w:p>
      <w:r>
        <w:t>储蓄目标、CSV 导入导出、周期交易、收据识别和银行自动同步属于后续扩展，不纳入首版验收。首版的“结余”是所选期间的收入减支出，不代表银行账户余额。</w:t>
      </w:r>
    </w:p>
    <w:p>
      <w:pPr>
        <w:pStyle w:val="Heading1"/>
        <w:pageBreakBefore/>
      </w:pPr>
      <w:r>
        <w:t>四 MongoDB 集合与关系</w:t>
      </w:r>
    </w:p>
    <w:p>
      <w:r>
        <w:t>MongoDB 使用独立集合保存持续增长的业务记录，避免把全部交易嵌入 users。各集合主键为 ObjectId；对外由 DTO 转成 id 字符串。数据库字段统一 camelCase，审计时间为 BSON Date。transactionDate 保存合法 YYYY-MM-DD 字符串，month 保存 YYYY-MM 字符串；固定格式便于按用户日历日期筛选。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5112"/>
        <w:gridCol w:w="3312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集合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主要字段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关联和校验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users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_id, email, passwordHash, role, status, baseCurrency, timezone, emailVerifiedAt, emailAlertsEnabled, sessionVersion, dataRevision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email 规范化后唯一；role=user/admin；status=active/disabled。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categories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_id, userId, name, type, archivedAt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通过 ObjectId 引用 user；type=income/expense；重名由复合唯一索引阻止。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transactions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_id, userId, categoryId, type, amount, currency, transactionDate, note, fxRate, fxDate, baseCurrency, baseAmount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金额为 Decimal128；类别存在、归属、类型和归档状态由服务层检查。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budgets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_id, userId, categoryId, month, amount, currency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只能用于支出类别；userId + categoryId + month 唯一。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notifications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_id, userId, budgetId, threshold, snapshot, readAt, createdAt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snapshot 嵌入触发快照；预算删除后 budgetId 置空。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emailJobs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_id, notificationId, status, attempts, nextAttemptAt, leaseUntil, workerId, providerEmailId, lastError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notificationId 唯一；记录领取租约及发送结果。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aiAnalyses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_id, userId, month, dataRevision, status, inputSummary, result, model, createdAt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汇总和结果为有结构的子文档；pending/processing/completed/failed。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emailVerifications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_id, userId, codeHash, expiresAt, attempts, consumedAt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验证码哈希存储；10 分钟有效，最多 5 次尝试。</w:t>
            </w:r>
          </w:p>
        </w:tc>
      </w:tr>
    </w:tbl>
    <w:p>
      <w:pPr>
        <w:spacing w:after="0"/>
      </w:pPr>
    </w:p>
    <w:p>
      <w:pPr>
        <w:pStyle w:val="Heading2"/>
      </w:pPr>
      <w:r>
        <w:t>引用与嵌入的选择</w:t>
      </w:r>
    </w:p>
    <w:p>
      <w:r>
        <w:t>交易、预算和分类通过 ObjectId 引用关联；通知快照与 AI 输出作为子文档嵌入。Mongoose 的 ref 与 populate 只帮助读取，不提供外键约束。写入必须通过 {_id, userId} 查询确认资源属于登录用户。</w:t>
      </w:r>
    </w:p>
    <w:p>
      <w:r>
        <w:t>删除类别前检查引用，仍被使用则返回 409。删除预算时在同一事务中把相关提醒的 budgetId 置空并取消未提交的邮件任务，保留历史快照。MongoDB 不会自动执行级联删除，这些行为由服务层显式完成。</w:t>
      </w:r>
    </w:p>
    <w:p>
      <w:pPr>
        <w:pStyle w:val="Heading1"/>
        <w:pageBreakBefore/>
      </w:pPr>
      <w:r>
        <w:t>五 MongoDB 索引与聚合设计</w:t>
      </w:r>
    </w:p>
    <w:p>
      <w:r>
        <w:t>Schema 负责字段类型、枚举和长度，唯一性由数据库索引保证。使用版本化脚本创建集合校验器和索引，生产启动关闭自动建索引；Mongoose 的 unique 配置不是字段验证器。捕获 E11000 并转换为 409。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5544"/>
        <w:gridCol w:w="2952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集合</w:t>
            </w:r>
          </w:p>
        </w:tc>
        <w:tc>
          <w:tcPr>
            <w:tcW w:type="dxa" w:w="55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索引字段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users</w:t>
            </w:r>
          </w:p>
        </w:tc>
        <w:tc>
          <w:tcPr>
            <w:tcW w:type="dxa" w:w="55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{ email: 1 } unique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规范化邮箱唯一。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categories</w:t>
            </w:r>
          </w:p>
        </w:tc>
        <w:tc>
          <w:tcPr>
            <w:tcW w:type="dxa" w:w="55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{ userId: 1, type: 1, name: 1 } unique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同用户同类型不重名。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budgets</w:t>
            </w:r>
          </w:p>
        </w:tc>
        <w:tc>
          <w:tcPr>
            <w:tcW w:type="dxa" w:w="55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{ userId: 1, categoryId: 1, month: 1 } unique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防止重复月度分类预算。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transactions</w:t>
            </w:r>
          </w:p>
        </w:tc>
        <w:tc>
          <w:tcPr>
            <w:tcW w:type="dxa" w:w="55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{ userId: 1, transactionDate: -1, _id: -1 }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按日期筛选和分页。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transactions</w:t>
            </w:r>
          </w:p>
        </w:tc>
        <w:tc>
          <w:tcPr>
            <w:tcW w:type="dxa" w:w="55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{ userId: 1, categoryId: 1, transactionDate: 1 }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分类预算的月度统计。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notifications</w:t>
            </w:r>
          </w:p>
        </w:tc>
        <w:tc>
          <w:tcPr>
            <w:tcW w:type="dxa" w:w="55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{ budgetId: 1, threshold: 1 } unique；仅索引 budgetId 为 ObjectId 的记录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防止同预算同阈值重复；历史空引用不冲突。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notifications</w:t>
            </w:r>
          </w:p>
        </w:tc>
        <w:tc>
          <w:tcPr>
            <w:tcW w:type="dxa" w:w="55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{ userId: 1, createdAt: -1, _id: -1 }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站内提醒列表。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emailJobs</w:t>
            </w:r>
          </w:p>
        </w:tc>
        <w:tc>
          <w:tcPr>
            <w:tcW w:type="dxa" w:w="55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notificationId unique；{ status: 1, nextAttemptAt: 1 }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提醒任务去重与调度。</w:t>
            </w:r>
          </w:p>
        </w:tc>
      </w:tr>
    </w:tbl>
    <w:p>
      <w:pPr>
        <w:spacing w:after="0"/>
      </w:pPr>
    </w:p>
    <w:p>
      <w:pPr>
        <w:pStyle w:val="Heading2"/>
      </w:pPr>
      <w:r>
        <w:t>月度分类汇总</w:t>
      </w:r>
    </w:p>
    <w:p>
      <w:pPr>
        <w:spacing w:after="140" w:line="240" w:lineRule="auto"/>
      </w:pPr>
      <w:r>
        <w:rPr>
          <w:rFonts w:ascii="DejaVu Sans Mono" w:hAnsi="DejaVu Sans Mono"/>
          <w:sz w:val="17"/>
        </w:rPr>
        <w:t>const userId = new mongoose.Types.ObjectId(auth.userId);</w:t>
      </w:r>
      <w:r>
        <w:rPr>
          <w:rFonts w:ascii="DejaVu Sans Mono" w:hAnsi="DejaVu Sans Mono"/>
          <w:sz w:val="17"/>
        </w:rPr>
        <w:br/>
        <w:t>const pipeline = [</w:t>
      </w:r>
      <w:r>
        <w:rPr>
          <w:rFonts w:ascii="DejaVu Sans Mono" w:hAnsi="DejaVu Sans Mono"/>
          <w:sz w:val="17"/>
        </w:rPr>
        <w:br/>
        <w:t xml:space="preserve">  { $match: { userId, type: "expense",</w:t>
      </w:r>
      <w:r>
        <w:rPr>
          <w:rFonts w:ascii="DejaVu Sans Mono" w:hAnsi="DejaVu Sans Mono"/>
          <w:sz w:val="17"/>
        </w:rPr>
        <w:br/>
        <w:t xml:space="preserve">      transactionDate: { $gte: "2026-10-01", $lt: "2026-11-01" } } },</w:t>
      </w:r>
      <w:r>
        <w:rPr>
          <w:rFonts w:ascii="DejaVu Sans Mono" w:hAnsi="DejaVu Sans Mono"/>
          <w:sz w:val="17"/>
        </w:rPr>
        <w:br/>
        <w:t xml:space="preserve">  { $group: { _id: "$categoryId", amount: { $sum: "$baseAmount" } } }</w:t>
      </w:r>
      <w:r>
        <w:rPr>
          <w:rFonts w:ascii="DejaVu Sans Mono" w:hAnsi="DejaVu Sans Mono"/>
          <w:sz w:val="17"/>
        </w:rPr>
        <w:br/>
        <w:t>];</w:t>
      </w:r>
      <w:r>
        <w:rPr>
          <w:rFonts w:ascii="DejaVu Sans Mono" w:hAnsi="DejaVu Sans Mono"/>
          <w:sz w:val="17"/>
        </w:rPr>
        <w:br/>
        <w:t>const totals = await Transaction.aggregate(pipeline).session(session);</w:t>
      </w:r>
    </w:p>
    <w:p>
      <w:r>
        <w:t>先按登录用户和月份筛选，再按类别汇总 Decimal128 金额。聚合中显式构造 ObjectId，Mongoose 不会自动转换聚合管道中的字段类型。DTO 将金额规范化为字符串，前端只展示后端结果。</w:t>
      </w:r>
    </w:p>
    <w:p>
      <w:r>
        <w:t>补充索引：aiAnalyses 按 userId、month、createdAt 查询；emailVerifications 用 expiresAt 的 TTL 索引清理过期记录。TTL 清理不是即时行为，验证码验证仍必须检查 expiresAt。</w:t>
      </w:r>
    </w:p>
    <w:p>
      <w:pPr>
        <w:pStyle w:val="Heading1"/>
        <w:pageBreakBefore/>
      </w:pPr>
      <w:r>
        <w:t>六 金额和预算业务规则</w:t>
      </w:r>
    </w:p>
    <w:p>
      <w:pPr>
        <w:pStyle w:val="Heading2"/>
      </w:pPr>
      <w:r>
        <w:t>金额与本位币</w:t>
      </w:r>
    </w:p>
    <w:p>
      <w:r>
        <w:t>首版支持 USD、EUR、CNY、GBP，金额均为两位小数。amount、baseAmount、预算金额和 fxRate 使用 BSON Decimal128；API 仍以字符串传输。decimal.js 从字符串构造数值，计算精度设为 40 位，换算按 ROUND_HALF_UP 保留两位；聚合使用 Decimal128 的 $sum。服务层限制金额最多 16 位整数和 2 位小数，汇率最多 10 位整数和 10 位小数；换算溢出返回 400。禁止先转成 Number，拒绝 NaN 和 Infinity。</w:t>
      </w:r>
    </w:p>
    <w:p>
      <w:r>
        <w:t>用户注册时选择本位币，默认 USD。已有交易、预算或 AI 分析记录时，变更本位币返回 409，避免历史记录与新预算混用。预算与统计一律使用本位币，原交易金额同时保留用于展示。</w:t>
      </w:r>
    </w:p>
    <w:p>
      <w:pPr>
        <w:pStyle w:val="Heading2"/>
      </w:pPr>
      <w:r>
        <w:t>外币换算</w:t>
      </w:r>
    </w:p>
    <w:p>
      <w:pPr>
        <w:pStyle w:val="ListBullet"/>
      </w:pPr>
      <w:r>
        <w:t>相同币种：fxRate = 1，baseAmount = amount，不请求外部服务。</w:t>
      </w:r>
    </w:p>
    <w:p>
      <w:pPr>
        <w:pStyle w:val="ListBullet"/>
      </w:pPr>
      <w:r>
        <w:t>不同币种：按 transactionDate 查询历史汇率；保存源站实际返回的 fxDate，并四舍五入到两位小数。</w:t>
      </w:r>
    </w:p>
    <w:p>
      <w:pPr>
        <w:pStyle w:val="ListBullet"/>
      </w:pPr>
      <w:r>
        <w:t>无该日数据时，仅采用不晚于交易日期的可用汇率，并展示实际日期；必要时在前 7 天查找，否则返回 503，不默默使用今天的汇率。</w:t>
      </w:r>
    </w:p>
    <w:p>
      <w:pPr>
        <w:pStyle w:val="ListBullet"/>
      </w:pPr>
      <w:r>
        <w:t>修改金额、币种或日期时重算；只改备注或类别时沿用已有汇率。历史记录不会随最新汇率刷新而自动变值。</w:t>
      </w:r>
    </w:p>
    <w:p>
      <w:pPr>
        <w:pStyle w:val="Heading2"/>
      </w:pPr>
      <w:r>
        <w:t>预算计算和提醒</w:t>
      </w:r>
    </w:p>
    <w:p>
      <w:r>
        <w:t>月度支出 = 同一用户、同一支出类别、该月交易的 baseAmount 总和。剩余额度 = 预算金额 − 月度支出；可为负数。使用比例 = 月度支出 ÷ 预算金额。预算金额必须大于 0；收入不计入预算消耗。</w:t>
      </w:r>
    </w:p>
    <w:p>
      <w:r>
        <w:t>使用率达到 80% 和 100% 时各生成一次提醒。首次录入即超过 100% 时只生成 100% 提醒，之后不补发 80% 提醒；修改、删除或重复保存不再次触发相同阈值。创建或修改预算也立即重算。通知记录带当时快照，不因之后交易变化而被改写。</w:t>
      </w:r>
    </w:p>
    <w:p>
      <w:pPr>
        <w:pStyle w:val="Heading2"/>
      </w:pPr>
      <w:r>
        <w:t>写入一致性和边界情况</w:t>
      </w:r>
    </w:p>
    <w:p>
      <w:r>
        <w:t>使用 Mongoose connection.transaction，readConcern=snapshot、writeConcern=majority。事务开头先对当前 users 文档执行 $inc dataRevision，让同一用户的并发业务写入产生冲突并重试；随后顺序校验引用、写交易或预算、重算相关分类月份，并写提醒和邮件任务。所有操作携带同一 session，事务内不使用 Promise.all。跨月份或类别修改同时重算旧位置和新位置。</w:t>
      </w:r>
    </w:p>
    <w:p>
      <w:r>
        <w:t>类别的修改删除和本位币变更也遵循同一用户写入规则，避免引用检查与并发创建相互绕过。汇率在事务前获取；回调可能自动重试，因此邮件、AI 等外部调用必须在提交后执行。日期不晚于用户当地今天，查询起止日期均包含端点；空月份返回零值和空状态。</w:t>
      </w:r>
    </w:p>
    <w:p>
      <w:pPr>
        <w:pStyle w:val="Heading1"/>
        <w:pageBreakBefore/>
      </w:pPr>
      <w:r>
        <w:t>七 接口约定与认证接口</w:t>
      </w:r>
    </w:p>
    <w:p>
      <w:r>
        <w:t>基础路径为 /api/v1。请求和响应采用 application/json；URL 中的 :id 为 24 位十六进制 ObjectId 字符串，格式错误返回 400。除注册、登录、健康检查及 CSRF 初始化外，接口均要求登录。列表默认 page=1、pageSize=20，最大 100；交易默认按 transactionDate DESC、_id DESC 排序；其他列表按 createdAt DESC、_id DESC 排序。</w:t>
      </w:r>
    </w:p>
    <w:p>
      <w:pPr>
        <w:pStyle w:val="Heading2"/>
      </w:pPr>
      <w:r>
        <w:t>响应和字段约定</w:t>
      </w:r>
    </w:p>
    <w:p>
      <w:pPr>
        <w:spacing w:after="140" w:line="240" w:lineRule="auto"/>
      </w:pPr>
      <w:r>
        <w:rPr>
          <w:rFonts w:ascii="DejaVu Sans Mono" w:hAnsi="DejaVu Sans Mono"/>
          <w:sz w:val="17"/>
        </w:rPr>
        <w:t>成功：{ "data": { ... }, "meta": { "requestId": "..." } }</w:t>
      </w:r>
      <w:r>
        <w:rPr>
          <w:rFonts w:ascii="DejaVu Sans Mono" w:hAnsi="DejaVu Sans Mono"/>
          <w:sz w:val="17"/>
        </w:rPr>
        <w:br/>
        <w:t>列表：{ "data": [ ... ], "meta": { "page": 1,</w:t>
      </w:r>
      <w:r>
        <w:rPr>
          <w:rFonts w:ascii="DejaVu Sans Mono" w:hAnsi="DejaVu Sans Mono"/>
          <w:sz w:val="17"/>
        </w:rPr>
        <w:br/>
        <w:t xml:space="preserve">        "pageSize": 20, "total": 42, "requestId": "..." } }</w:t>
      </w:r>
      <w:r>
        <w:rPr>
          <w:rFonts w:ascii="DejaVu Sans Mono" w:hAnsi="DejaVu Sans Mono"/>
          <w:sz w:val="17"/>
        </w:rPr>
        <w:br/>
        <w:t>失败：{ "error": { "code": "VALIDATION_ERROR",</w:t>
      </w:r>
      <w:r>
        <w:rPr>
          <w:rFonts w:ascii="DejaVu Sans Mono" w:hAnsi="DejaVu Sans Mono"/>
          <w:sz w:val="17"/>
        </w:rPr>
        <w:br/>
        <w:t xml:space="preserve">        "message": "输入无效", "fields": { "amount": "必须大于0" } },</w:t>
      </w:r>
      <w:r>
        <w:rPr>
          <w:rFonts w:ascii="DejaVu Sans Mono" w:hAnsi="DejaVu Sans Mono"/>
          <w:sz w:val="17"/>
        </w:rPr>
        <w:br/>
        <w:t xml:space="preserve">        "meta": { "requestId": "..." } }</w:t>
      </w:r>
    </w:p>
    <w:p>
      <w:r>
        <w:t>字段使用 camelCase；日期 YYYY-MM-DD，月份 YYYY-MM，时间 ISO 8601，币种为大写 ISO 代码。新增成功 201，读取和修改 200，删除成功 204 且无响应 Body。400 表示字段无效，401 未登录或过期，403 权限不足或用户禁用，404 记录不存在或不属于该用户，409 数据冲突，429 调用过频，503 上游服务暂不可用。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16"/>
        <w:gridCol w:w="2448"/>
        <w:gridCol w:w="3960"/>
      </w:tblGrid>
      <w:tr>
        <w:trPr>
          <w:cantSplit/>
          <w:tblHeader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方法和路径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请求内容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GET /auth/csrf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无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200 { csrfToken }；设置 CSRF Cookie。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POST /auth/register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email, password, baseCurrency, timezone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201 User；角色固定 user；重复邮箱 409。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POST /auth/login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email, password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200 User；设置 HttpOnly JWT Cookie；失败用统一 401。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GET /auth/me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无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200 User；不返回 passwordHash。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POST /auth/logout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无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204；清除 Cookie，递增 sessionVersion，退出该用户全部会话。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POST /auth/email-verifications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无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202 { expiresAt }；向当前用户邮箱发验证码，重发至少间隔 60 秒。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POST /auth/email-verifications/confirm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code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200 User；无效验证码 400。</w:t>
            </w:r>
          </w:p>
        </w:tc>
      </w:tr>
    </w:tbl>
    <w:p>
      <w:pPr>
        <w:spacing w:after="0"/>
      </w:pPr>
    </w:p>
    <w:p>
      <w:r>
        <w:t>User 字段：id、email、role、status、baseCurrency、timezone、emailVerified、emailAlertsEnabled。密码最少 12 字符、最多 128 字符；服务端 argon2 哈希。邮箱修改和密码找回不在首版范围内。验证码服务走 Resend，验证码正文、密码和令牌不写日志。</w:t>
      </w:r>
    </w:p>
    <w:p>
      <w:pPr>
        <w:pStyle w:val="Heading1"/>
        <w:pageBreakBefore/>
      </w:pPr>
      <w:r>
        <w:t>八 交易分类与预算接口</w:t>
      </w:r>
    </w:p>
    <w:p>
      <w:r>
        <w:t>此页所有接口要求登录并按 userId 隔离数据。创建交易时 userId 从认证信息取得，客户端不得指定归属、baseAmount 或 fxRate。PATCH 只接收可修改字段，拒绝未知字段。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3384"/>
        <w:gridCol w:w="3096"/>
      </w:tblGrid>
      <w:tr>
        <w:trPr>
          <w:cantSplit/>
          <w:tblHeader/>
        </w:trPr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方法和路径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参数或 Body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成功结果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GET /transactions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from, to, type, categoryId, q, page, pageSize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200 分页 Transaction 数组；q 搜索备注，最长 100 字符。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POST /transactions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type, amount, currency, categoryId, transactionDate, note?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201 Transaction；后端换算并重算预算。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GET /transactions/:id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无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200 Transaction；非本人记录 404。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PATCH /transactions/:id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amount/currency/categoryId/transactionDate/note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200 Transaction；type 固定，改类型需删后重建。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DELETE /transactions/:id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无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204；重算被影响的预算。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GET /categories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type?, includeArchived?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200 Category 数组。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POST /categories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name, type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201 Category；重名 409。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PATCH /categories/:id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name?, archived?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200 Category；type 固定。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DELETE /categories/:id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无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204；仍被交易或预算引用则 409。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GET /budgets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month 必填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200 Budget 数组，含进度。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POST /budgets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month, categoryId, amount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201 Budget；重复月份类别 409。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GET /budgets/:id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无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200 Budget。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PATCH /budgets/:id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amount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200 Budget；月份和类别固定。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DELETE /budgets/:id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无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204；保留历史提醒，取消未提交的邮件任务。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九 统计分析通知与管理接口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0"/>
        <w:gridCol w:w="2664"/>
        <w:gridCol w:w="3600"/>
      </w:tblGrid>
      <w:tr>
        <w:trPr>
          <w:cantSplit/>
          <w:tblHeader/>
        </w:trPr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方法和路径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参数或 Body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结果与用途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GET /dashboard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month 必填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200 Dashboard；仪表盘轮询使用。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GET /fx/currencies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无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200 { currencies }；首版过滤为四个支持币种。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GET /fx/rate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base, quote, date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200 { base, quote, requestedDate, rateDate, rate }；只提供预览。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POST /ai/analyses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month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202 { id, status } 新任务；200 复用已完成分析。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GET /ai/analyses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month?, page, pageSize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200 分页分析摘要，含 stale。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GET /ai/analyses/:id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无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200 Analysis；详情页轮询任务状态。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GET /notifications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unreadOnly?, page, pageSize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200 分页 Notification。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PATCH /notifications/:id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read=true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200 Notification；可重复调用。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PATCH /users/me/preferences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emailAlertsEnabled?, timezone?, baseCurrency?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200 User；币种锁定时返回 409。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GET /admin/users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page, pageSize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200 用户基本信息；仅 admin。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PATCH /admin/users/:id/status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status=active/disabled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200 User；仅管理普通用户，禁止禁用自己或其他 admin。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GET /admin/stats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无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200 { userCount, transactionCount, failedEmailJobCount }；不含金额与交易明细。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GET /health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无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200 { status }；进程健康检查。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GET /ready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无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200 或 503；仅返回数据库就绪状态。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十 资源响应字段</w:t>
      </w:r>
    </w:p>
    <w:p>
      <w:r>
        <w:t>接口返回的 data 对象使用下列结构。单资源返回对象，列表返回数组；分页只用于显式列有 page 和 pageSize 的接口。所有金额均为十进制字符串，所有 nullable 字段在无值时返回 null。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5544"/>
        <w:gridCol w:w="3024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资源</w:t>
            </w:r>
          </w:p>
        </w:tc>
        <w:tc>
          <w:tcPr>
            <w:tcW w:type="dxa" w:w="55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类型或约定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Transaction</w:t>
            </w:r>
          </w:p>
        </w:tc>
        <w:tc>
          <w:tcPr>
            <w:tcW w:type="dxa" w:w="55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id, type, amount, currency, categoryId, transactionDate, note, fxRate, fxDate, baseCurrency, baseAmount, createdAt, updatedAt</w:t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id 为 24 位十六进制；note 可为空；金额字符串保留两位小数。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Category</w:t>
            </w:r>
          </w:p>
        </w:tc>
        <w:tc>
          <w:tcPr>
            <w:tcW w:type="dxa" w:w="55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id, name, type, archived</w:t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name 最长 50 字符；archived 为布尔值。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Budget</w:t>
            </w:r>
          </w:p>
        </w:tc>
        <w:tc>
          <w:tcPr>
            <w:tcW w:type="dxa" w:w="55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id, month, categoryId, amount, currency, spent, remaining, usageRatio, status</w:t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usageRatio 为十进制字符串；status 为 normal/warning/exceeded。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Dashboard</w:t>
            </w:r>
          </w:p>
        </w:tc>
        <w:tc>
          <w:tcPr>
            <w:tcW w:type="dxa" w:w="55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month, currency, income, expense, net, byCategory, budgets, unreadCount, dataRevision, generatedAt</w:t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byCategory 和 budgets 为数组；版本和数量为整数。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Notification</w:t>
            </w:r>
          </w:p>
        </w:tc>
        <w:tc>
          <w:tcPr>
            <w:tcW w:type="dxa" w:w="55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id, budgetId, month, threshold, message, snapshot, readAt, emailStatus, createdAt</w:t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budgetId 和 readAt 可为空；threshold 为 80 或 100；snapshot 为对象。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Analysis</w:t>
            </w:r>
          </w:p>
        </w:tc>
        <w:tc>
          <w:tcPr>
            <w:tcW w:type="dxa" w:w="55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id, month, status, dataRevision, stale, model, result, error, createdAt</w:t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pending 或 processing 时 result 为 null；failed 时 error 返回安全的错误代码和说明。</w:t>
            </w:r>
          </w:p>
        </w:tc>
      </w:tr>
    </w:tbl>
    <w:p>
      <w:pPr>
        <w:spacing w:after="0"/>
      </w:pPr>
    </w:p>
    <w:p>
      <w:pPr>
        <w:pStyle w:val="Heading2"/>
      </w:pPr>
      <w:r>
        <w:t>嵌套数据和一致性</w:t>
      </w:r>
    </w:p>
    <w:p>
      <w:r>
        <w:t>byCategory 的每项包含 categoryId、name、amount。Dashboard 的 budgets 使用 Budget 结构。站内提醒 snapshot 包含 categoryName、spent、budgetAmount、currency 和 month，删除预算后仍能解释历史提醒。</w:t>
      </w:r>
    </w:p>
    <w:p>
      <w:r>
        <w:t>Dashboard 在 readConcern=snapshot 的同一只读事务中查询统计、预算和 dataRevision。transactionDate 按用户日历日期归月，不做 UTC 日期转换。</w:t>
      </w:r>
    </w:p>
    <w:p>
      <w:pPr>
        <w:pStyle w:val="Heading2"/>
      </w:pPr>
      <w:r>
        <w:t>展示和状态处理</w:t>
      </w:r>
    </w:p>
    <w:p>
      <w:r>
        <w:t>emailStatus 为 pending、processing、accepted、failed、skipped 或 null。accepted 表示服务商接受请求，不能显示为已送达。未来若要跟踪 delivered，需增加验证签名的 Resend Webhook。</w:t>
      </w:r>
    </w:p>
    <w:p>
      <w:r>
        <w:t>前端只格式化金额；图表数值不用于财务计算。历史类别名称通过 includeArchived=true 的分类查询映射。</w:t>
      </w:r>
    </w:p>
    <w:p>
      <w:pPr>
        <w:pStyle w:val="Heading1"/>
        <w:pageBreakBefore/>
      </w:pPr>
      <w:r>
        <w:t>十一 前后端交互示例</w:t>
      </w:r>
    </w:p>
    <w:p>
      <w:pPr>
        <w:pStyle w:val="Heading2"/>
      </w:pPr>
      <w:r>
        <w:t>创建一笔交易</w:t>
      </w:r>
    </w:p>
    <w:p>
      <w:r>
        <w:t>前端发送 POST /api/v1/transactions，Cookie 自动携带身份，X-CSRF-Token 携带 /auth/csrf 返回值。示例用本位币 USD，因此汇率为 1；示例金额和 ObjectId 仅用于说明协议。</w:t>
      </w:r>
    </w:p>
    <w:p>
      <w:pPr>
        <w:spacing w:after="140" w:line="240" w:lineRule="auto"/>
      </w:pPr>
      <w:r>
        <w:rPr>
          <w:rFonts w:ascii="DejaVu Sans Mono" w:hAnsi="DejaVu Sans Mono"/>
          <w:sz w:val="17"/>
        </w:rPr>
        <w:t>请求 Body</w:t>
      </w:r>
      <w:r>
        <w:rPr>
          <w:rFonts w:ascii="DejaVu Sans Mono" w:hAnsi="DejaVu Sans Mono"/>
          <w:sz w:val="17"/>
        </w:rPr>
        <w:br/>
        <w:t>{</w:t>
      </w:r>
      <w:r>
        <w:rPr>
          <w:rFonts w:ascii="DejaVu Sans Mono" w:hAnsi="DejaVu Sans Mono"/>
          <w:sz w:val="17"/>
        </w:rPr>
        <w:br/>
        <w:t xml:space="preserve">  "type": "expense", "amount": "25.50", "currency": "USD",</w:t>
      </w:r>
      <w:r>
        <w:rPr>
          <w:rFonts w:ascii="DejaVu Sans Mono" w:hAnsi="DejaVu Sans Mono"/>
          <w:sz w:val="17"/>
        </w:rPr>
        <w:br/>
        <w:t xml:space="preserve">  "categoryId": "68e700000000000000000001",</w:t>
      </w:r>
      <w:r>
        <w:rPr>
          <w:rFonts w:ascii="DejaVu Sans Mono" w:hAnsi="DejaVu Sans Mono"/>
          <w:sz w:val="17"/>
        </w:rPr>
        <w:br/>
        <w:t xml:space="preserve">  "transactionDate": "2026-10-16", "note": "Lunch"</w:t>
      </w:r>
      <w:r>
        <w:rPr>
          <w:rFonts w:ascii="DejaVu Sans Mono" w:hAnsi="DejaVu Sans Mono"/>
          <w:sz w:val="17"/>
        </w:rPr>
        <w:br/>
        <w:t>}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br/>
        <w:t>201 响应</w:t>
      </w:r>
      <w:r>
        <w:rPr>
          <w:rFonts w:ascii="DejaVu Sans Mono" w:hAnsi="DejaVu Sans Mono"/>
          <w:sz w:val="17"/>
        </w:rPr>
        <w:br/>
        <w:t>{</w:t>
      </w:r>
      <w:r>
        <w:rPr>
          <w:rFonts w:ascii="DejaVu Sans Mono" w:hAnsi="DejaVu Sans Mono"/>
          <w:sz w:val="17"/>
        </w:rPr>
        <w:br/>
        <w:t xml:space="preserve">  "data": {</w:t>
      </w:r>
      <w:r>
        <w:rPr>
          <w:rFonts w:ascii="DejaVu Sans Mono" w:hAnsi="DejaVu Sans Mono"/>
          <w:sz w:val="17"/>
        </w:rPr>
        <w:br/>
        <w:t xml:space="preserve">    "id": "68e700000000000000000002",</w:t>
      </w:r>
      <w:r>
        <w:rPr>
          <w:rFonts w:ascii="DejaVu Sans Mono" w:hAnsi="DejaVu Sans Mono"/>
          <w:sz w:val="17"/>
        </w:rPr>
        <w:br/>
        <w:t xml:space="preserve">    "type": "expense", "amount": "25.50", "currency": "USD",</w:t>
      </w:r>
      <w:r>
        <w:rPr>
          <w:rFonts w:ascii="DejaVu Sans Mono" w:hAnsi="DejaVu Sans Mono"/>
          <w:sz w:val="17"/>
        </w:rPr>
        <w:br/>
        <w:t xml:space="preserve">    "categoryId": "68e700000000000000000001",</w:t>
      </w:r>
      <w:r>
        <w:rPr>
          <w:rFonts w:ascii="DejaVu Sans Mono" w:hAnsi="DejaVu Sans Mono"/>
          <w:sz w:val="17"/>
        </w:rPr>
        <w:br/>
        <w:t xml:space="preserve">    "transactionDate": "2026-10-16", "note": "Lunch",</w:t>
      </w:r>
      <w:r>
        <w:rPr>
          <w:rFonts w:ascii="DejaVu Sans Mono" w:hAnsi="DejaVu Sans Mono"/>
          <w:sz w:val="17"/>
        </w:rPr>
        <w:br/>
        <w:t xml:space="preserve">    "fxRate": "1.0000000000", "fxDate": "2026-10-16",</w:t>
      </w:r>
      <w:r>
        <w:rPr>
          <w:rFonts w:ascii="DejaVu Sans Mono" w:hAnsi="DejaVu Sans Mono"/>
          <w:sz w:val="17"/>
        </w:rPr>
        <w:br/>
        <w:t xml:space="preserve">    "baseCurrency": "USD", "baseAmount": "25.50",</w:t>
      </w:r>
      <w:r>
        <w:rPr>
          <w:rFonts w:ascii="DejaVu Sans Mono" w:hAnsi="DejaVu Sans Mono"/>
          <w:sz w:val="17"/>
        </w:rPr>
        <w:br/>
        <w:t xml:space="preserve">    "createdAt": "2026-10-16T16:00:00Z",</w:t>
      </w:r>
      <w:r>
        <w:rPr>
          <w:rFonts w:ascii="DejaVu Sans Mono" w:hAnsi="DejaVu Sans Mono"/>
          <w:sz w:val="17"/>
        </w:rPr>
        <w:br/>
        <w:t xml:space="preserve">    "updatedAt": "2026-10-16T16:00:00Z"</w:t>
      </w:r>
      <w:r>
        <w:rPr>
          <w:rFonts w:ascii="DejaVu Sans Mono" w:hAnsi="DejaVu Sans Mono"/>
          <w:sz w:val="17"/>
        </w:rPr>
        <w:br/>
        <w:t xml:space="preserve">  },</w:t>
      </w:r>
      <w:r>
        <w:rPr>
          <w:rFonts w:ascii="DejaVu Sans Mono" w:hAnsi="DejaVu Sans Mono"/>
          <w:sz w:val="17"/>
        </w:rPr>
        <w:br/>
        <w:t xml:space="preserve">  "meta": { "requestId": "req_demo_01" }</w:t>
      </w:r>
      <w:r>
        <w:rPr>
          <w:rFonts w:ascii="DejaVu Sans Mono" w:hAnsi="DejaVu Sans Mono"/>
          <w:sz w:val="17"/>
        </w:rPr>
        <w:br/>
        <w:t>}</w:t>
      </w:r>
    </w:p>
    <w:p>
      <w:pPr>
        <w:pStyle w:val="Heading2"/>
      </w:pPr>
      <w:r>
        <w:t>设置月度预算</w:t>
      </w:r>
    </w:p>
    <w:p>
      <w:pPr>
        <w:spacing w:after="140" w:line="240" w:lineRule="auto"/>
      </w:pPr>
      <w:r>
        <w:rPr>
          <w:rFonts w:ascii="DejaVu Sans Mono" w:hAnsi="DejaVu Sans Mono"/>
          <w:sz w:val="17"/>
        </w:rPr>
        <w:t>POST /api/v1/budgets</w:t>
      </w:r>
      <w:r>
        <w:rPr>
          <w:rFonts w:ascii="DejaVu Sans Mono" w:hAnsi="DejaVu Sans Mono"/>
          <w:sz w:val="17"/>
        </w:rPr>
        <w:br/>
        <w:t>{</w:t>
      </w:r>
      <w:r>
        <w:rPr>
          <w:rFonts w:ascii="DejaVu Sans Mono" w:hAnsi="DejaVu Sans Mono"/>
          <w:sz w:val="17"/>
        </w:rPr>
        <w:br/>
        <w:t xml:space="preserve">  "month": "2026-10",</w:t>
      </w:r>
      <w:r>
        <w:rPr>
          <w:rFonts w:ascii="DejaVu Sans Mono" w:hAnsi="DejaVu Sans Mono"/>
          <w:sz w:val="17"/>
        </w:rPr>
        <w:br/>
        <w:t xml:space="preserve">  "categoryId": "68e700000000000000000001",</w:t>
      </w:r>
      <w:r>
        <w:rPr>
          <w:rFonts w:ascii="DejaVu Sans Mono" w:hAnsi="DejaVu Sans Mono"/>
          <w:sz w:val="17"/>
        </w:rPr>
        <w:br/>
        <w:t xml:space="preserve">  "amount": "350.00"</w:t>
      </w:r>
      <w:r>
        <w:rPr>
          <w:rFonts w:ascii="DejaVu Sans Mono" w:hAnsi="DejaVu Sans Mono"/>
          <w:sz w:val="17"/>
        </w:rPr>
        <w:br/>
        <w:t>}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br/>
        <w:t>响应中的预算进度示例</w:t>
      </w:r>
      <w:r>
        <w:rPr>
          <w:rFonts w:ascii="DejaVu Sans Mono" w:hAnsi="DejaVu Sans Mono"/>
          <w:sz w:val="17"/>
        </w:rPr>
        <w:br/>
        <w:t>{ "amount": "350.00", "currency": "USD", "spent": "450.00",</w:t>
      </w:r>
      <w:r>
        <w:rPr>
          <w:rFonts w:ascii="DejaVu Sans Mono" w:hAnsi="DejaVu Sans Mono"/>
          <w:sz w:val="17"/>
        </w:rPr>
        <w:br/>
        <w:t xml:space="preserve">  "remaining": "-100.00", "usageRatio": "1.285714",</w:t>
      </w:r>
      <w:r>
        <w:rPr>
          <w:rFonts w:ascii="DejaVu Sans Mono" w:hAnsi="DejaVu Sans Mono"/>
          <w:sz w:val="17"/>
        </w:rPr>
        <w:br/>
        <w:t xml:space="preserve">  "status": "exceeded" }</w:t>
      </w:r>
    </w:p>
    <w:p>
      <w:pPr>
        <w:pStyle w:val="Heading2"/>
      </w:pPr>
      <w:r>
        <w:t>保存后的前端行为</w:t>
      </w:r>
    </w:p>
    <w:p>
      <w:r>
        <w:t>成功才关闭表单，并重新查询列表、仪表盘、预算和通知。保存失败保留表单内容和字段错误。按钮在请求中禁用，避免重复点击；连接中断时先查询结果，不自动重发创建交易的 POST。API 错误统一以 requestId 关联服务端日志。</w:t>
      </w:r>
    </w:p>
    <w:p>
      <w:pPr>
        <w:pStyle w:val="Heading1"/>
        <w:pageBreakBefore/>
      </w:pPr>
      <w:r>
        <w:t>十二 DeepSeek 分析与外部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5256"/>
        <w:gridCol w:w="3240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525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认证和后端请求</w:t>
            </w:r>
          </w:p>
        </w:tc>
        <w:tc>
          <w:tcPr>
            <w:tcW w:type="dxa" w:w="32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业务用途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Frankfurter</w:t>
            </w:r>
          </w:p>
        </w:tc>
        <w:tc>
          <w:tcPr>
            <w:tcW w:type="dxa" w:w="525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公开 API 无 Key；GET /v2/rate/{base}/{quote}?date=…</w:t>
            </w:r>
          </w:p>
        </w:tc>
        <w:tc>
          <w:tcPr>
            <w:tcW w:type="dxa" w:w="32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录入外币交易与换算预览。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DeepSeek</w:t>
            </w:r>
          </w:p>
        </w:tc>
        <w:tc>
          <w:tcPr>
            <w:tcW w:type="dxa" w:w="525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Bearer API Key；POST https://api.deepseek.com/chat/completions</w:t>
            </w:r>
          </w:p>
        </w:tc>
        <w:tc>
          <w:tcPr>
            <w:tcW w:type="dxa" w:w="32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解释支出分布、预算偏差，生成可读建议。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Resend</w:t>
            </w:r>
          </w:p>
        </w:tc>
        <w:tc>
          <w:tcPr>
            <w:tcW w:type="dxa" w:w="525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Bearer API Key；POST https://api.resend.com/emails</w:t>
            </w:r>
          </w:p>
        </w:tc>
        <w:tc>
          <w:tcPr>
            <w:tcW w:type="dxa" w:w="32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邮箱验证与预算阈值提醒。</w:t>
            </w:r>
          </w:p>
        </w:tc>
      </w:tr>
    </w:tbl>
    <w:p>
      <w:pPr>
        <w:spacing w:after="0"/>
      </w:pPr>
    </w:p>
    <w:p>
      <w:pPr>
        <w:pStyle w:val="Heading2"/>
      </w:pPr>
      <w:r>
        <w:t>AI 的输入与返回合同</w:t>
      </w:r>
    </w:p>
    <w:p>
      <w:r>
        <w:t>用户点击生成分析后，后端从数据库读取该月汇总，记录 dataRevision，创建 pending 分析并返回 202。后台任务调用 DeepSeek，解析并校验 JSON；完成后更新为 completed。首版限制同一用户每分钟最多 2 次生成，同月份和相同版本有 completed 记录时可复用。无交易返回 409 NO_DATA。</w:t>
      </w:r>
    </w:p>
    <w:p>
      <w:pPr>
        <w:spacing w:after="140" w:line="240" w:lineRule="auto"/>
      </w:pPr>
      <w:r>
        <w:rPr>
          <w:rFonts w:ascii="DejaVu Sans Mono" w:hAnsi="DejaVu Sans Mono"/>
          <w:sz w:val="17"/>
        </w:rPr>
        <w:t>发送给模型的汇总示例</w:t>
      </w:r>
      <w:r>
        <w:rPr>
          <w:rFonts w:ascii="DejaVu Sans Mono" w:hAnsi="DejaVu Sans Mono"/>
          <w:sz w:val="17"/>
        </w:rPr>
        <w:br/>
        <w:t>{ "month": "2026-10", "currency": "USD",</w:t>
      </w:r>
      <w:r>
        <w:rPr>
          <w:rFonts w:ascii="DejaVu Sans Mono" w:hAnsi="DejaVu Sans Mono"/>
          <w:sz w:val="17"/>
        </w:rPr>
        <w:br/>
        <w:t xml:space="preserve">  "income": "2000.00", "expense": "1700.00", "net": "300.00",</w:t>
      </w:r>
      <w:r>
        <w:rPr>
          <w:rFonts w:ascii="DejaVu Sans Mono" w:hAnsi="DejaVu Sans Mono"/>
          <w:sz w:val="17"/>
        </w:rPr>
        <w:br/>
        <w:t xml:space="preserve">  "byCategory": [{ "name": "Food", "amount": "450.00" }],</w:t>
      </w:r>
      <w:r>
        <w:rPr>
          <w:rFonts w:ascii="DejaVu Sans Mono" w:hAnsi="DejaVu Sans Mono"/>
          <w:sz w:val="17"/>
        </w:rPr>
        <w:br/>
        <w:t xml:space="preserve">  "budgets": [{ "category": "Food", "limit": "350.00",</w:t>
      </w:r>
      <w:r>
        <w:rPr>
          <w:rFonts w:ascii="DejaVu Sans Mono" w:hAnsi="DejaVu Sans Mono"/>
          <w:sz w:val="17"/>
        </w:rPr>
        <w:br/>
        <w:t xml:space="preserve">                 "spent": "450.00" }] }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br/>
        <w:t>Analysis 返回字段</w:t>
      </w:r>
      <w:r>
        <w:rPr>
          <w:rFonts w:ascii="DejaVu Sans Mono" w:hAnsi="DejaVu Sans Mono"/>
          <w:sz w:val="17"/>
        </w:rPr>
        <w:br/>
        <w:t>{ "id": "...", "month": "2026-10", "status": "completed",</w:t>
      </w:r>
      <w:r>
        <w:rPr>
          <w:rFonts w:ascii="DejaVu Sans Mono" w:hAnsi="DejaVu Sans Mono"/>
          <w:sz w:val="17"/>
        </w:rPr>
        <w:br/>
        <w:t xml:space="preserve">  "dataRevision": 12, "stale": false, "model": "configured-model",</w:t>
      </w:r>
      <w:r>
        <w:rPr>
          <w:rFonts w:ascii="DejaVu Sans Mono" w:hAnsi="DejaVu Sans Mono"/>
          <w:sz w:val="17"/>
        </w:rPr>
        <w:br/>
        <w:t xml:space="preserve">  "result": { "summary": "...", "patterns": ["..."],</w:t>
      </w:r>
      <w:r>
        <w:rPr>
          <w:rFonts w:ascii="DejaVu Sans Mono" w:hAnsi="DejaVu Sans Mono"/>
          <w:sz w:val="17"/>
        </w:rPr>
        <w:br/>
        <w:t xml:space="preserve">              "suggestions": ["..."], "limitations": ["..."] },</w:t>
      </w:r>
      <w:r>
        <w:rPr>
          <w:rFonts w:ascii="DejaVu Sans Mono" w:hAnsi="DejaVu Sans Mono"/>
          <w:sz w:val="17"/>
        </w:rPr>
        <w:br/>
        <w:t xml:space="preserve">  "createdAt": "2026-10-16T16:00:00Z", "error": null }</w:t>
      </w:r>
    </w:p>
    <w:p>
      <w:r>
        <w:t>模型只接收金额汇总、类别和预算，不传邮箱、密码、交易备注或完整交易记录。收入、总支出和结余由 Decimal128 聚合与十进制计算得到，AI 负责解释；输出应引用输入数据，不能杜撰事实。设置 JSON 输出、明确 JSON 提示并验证字段；空内容或解析失败标记 failed，页面提供重试。</w:t>
      </w:r>
    </w:p>
    <w:p>
      <w:pPr>
        <w:pStyle w:val="Heading2"/>
      </w:pPr>
      <w:r>
        <w:t>超时和失败处理</w:t>
      </w:r>
    </w:p>
    <w:p>
      <w:r>
        <w:t>Frankfurter 缓存按币种对和请求日期区分，最新数据最多缓存 1 小时；无法获取可靠历史汇率时拒绝外币保存并保留表单。DeepSeek 超时设置 60 秒并限制生成长度；失败不会影响已有交易。Resend 通过持久化任务重试，失败不会让记账回滚。具体费用和限额以账户与官方文档为准，实施时复核。</w:t>
      </w:r>
    </w:p>
    <w:p>
      <w:pPr>
        <w:pStyle w:val="Heading1"/>
        <w:pageBreakBefore/>
      </w:pPr>
      <w:r>
        <w:t>十三 自动同步提醒和安全边界</w:t>
      </w:r>
    </w:p>
    <w:p>
      <w:pPr>
        <w:pStyle w:val="Heading2"/>
      </w:pPr>
      <w:r>
        <w:t>自动更新的交互</w:t>
      </w:r>
    </w:p>
    <w:p>
      <w:r>
        <w:t>DashboardPage、BudgetsPage 和 NotificationsPage 在页面可见且用户已登录时，每 10 秒查询各自接口；重新获得焦点时立即查询。交易列表也在可见时轮询。用户保存后立即失效相关查询缓存；收到 401 停止轮询并显示登录页，临时错误保留旧数据和上次更新时间。此方案明确使用轮询满足课程自动同步要求。</w:t>
      </w:r>
    </w:p>
    <w:p>
      <w:r>
        <w:t>演示步骤：同一账户打开 A、B 两个标签页。在 A 新增支出；B 保持仪表盘打开，应在下一次成功轮询后更新预算和支出，不手动刷新。可选扩展再将轮询升级为 SSE 或 WebSocket。</w:t>
      </w:r>
    </w:p>
    <w:p>
      <w:pPr>
        <w:pStyle w:val="Heading2"/>
      </w:pPr>
      <w:r>
        <w:t>预算提醒与邮件任务</w:t>
      </w:r>
    </w:p>
    <w:p>
      <w:r>
        <w:t>保存交易或预算时，在同一 MongoDB 事务中写入 notifications 和 emailJobs。worker 用 findOneAndUpdate 原子领取到期任务，记录 workerId、leaseUntil 并置 processing；完成更新须匹配领取者和有效租约。重启后回收过期租约。发送成功保存 providerEmailId 和 accepted；固定 Idempotency-Key 在服务商去重有效期内重试，过期且结果不确定时人工检查。</w:t>
      </w:r>
    </w:p>
    <w:p>
      <w:r>
        <w:t>普通发送失败按 1、5、30 分钟退避，最多重试 3 次；超过次数置 failed。邮件关闭、邮箱未验证或用户禁用时任务置 skipped。提醒正文使用触发快照。禁止靠浏览器轮询触发发送。首版部署一个后端实例，后台调度定期检查待处理 AI 和邮件任务。</w:t>
      </w:r>
    </w:p>
    <w:p>
      <w:pPr>
        <w:pStyle w:val="Heading2"/>
      </w:pPr>
      <w:r>
        <w:t>认证权限与输入安全</w:t>
      </w:r>
    </w:p>
    <w:p>
      <w:pPr>
        <w:pStyle w:val="ListBullet"/>
      </w:pPr>
      <w:r>
        <w:t>JWT 在 HttpOnly、Secure、SameSite=Lax Cookie 中，有效期 30 分钟；每次私有请求校验签名、期限、用户状态和 sessionVersion。退出会使该账户全部会话失效。</w:t>
      </w:r>
    </w:p>
    <w:p>
      <w:pPr>
        <w:pStyle w:val="ListBullet"/>
      </w:pPr>
      <w:r>
        <w:t>修改数据的请求验证 X-CSRF-Token 与 CSRF Cookie；检查 Origin 白名单。注册和登录也验证 CSRF。浏览器 fetch 使用 credentials: include。</w:t>
      </w:r>
    </w:p>
    <w:p>
      <w:pPr>
        <w:pStyle w:val="ListBullet"/>
      </w:pPr>
      <w:r>
        <w:t>登录状态、角色权限、资源归属分别检查。管理员通过独立 /admin 路由访问；前端隐藏按钮不能代替后端授权。</w:t>
      </w:r>
    </w:p>
    <w:p>
      <w:pPr>
        <w:pStyle w:val="ListBullet"/>
      </w:pPr>
      <w:r>
        <w:t>由服务端白名单构造 MongoDB 查询，禁止把 req.body 或 req.query 原样传给数据库。ID 转 ObjectId，金额转 Decimal128；拒绝操作符对象，备注搜索转义正则。Schema 使用 strict，更新开启 runValidators；限制调用频率，敏感数据不写日志。</w:t>
      </w:r>
    </w:p>
    <w:p>
      <w:pPr>
        <w:pStyle w:val="ListBullet"/>
      </w:pPr>
      <w:r>
        <w:t>AI 历史 stale = 保存版本与当前 dataRevision 不一致。统计变动会更新版本；用户看到旧分析时应明确显示生成时间并可重新生成。</w:t>
      </w:r>
    </w:p>
    <w:p>
      <w:pPr>
        <w:pStyle w:val="Heading1"/>
        <w:pageBreakBefore/>
      </w:pPr>
      <w:r>
        <w:t>十四 代码组织与配置</w:t>
      </w:r>
    </w:p>
    <w:p>
      <w:r>
        <w:t>建议采用一个 GitHub 仓库，前后端目录独立。根 README 描述两个服务的本地运行和生产构建；Mongoose Schema、索引初始化及后续数据迁移脚本纳入版本控制。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4"/>
        <w:gridCol w:w="6840"/>
      </w:tblGrid>
      <w:tr>
        <w:trPr>
          <w:cantSplit/>
          <w:tblHeader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68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内容和责任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frontend/src/pages</w:t>
            </w:r>
          </w:p>
        </w:tc>
        <w:tc>
          <w:tcPr>
            <w:tcW w:type="dxa" w:w="68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Login、Dashboard、Transactions、Categories、Budgets、AIAnalysis、Notifications、Settings、AdminUsers。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frontend/src/components</w:t>
            </w:r>
          </w:p>
        </w:tc>
        <w:tc>
          <w:tcPr>
            <w:tcW w:type="dxa" w:w="68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交易表单、分页列表、预算进度、统计图表、公共布局和错误状态。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frontend/src/api 与 hooks</w:t>
            </w:r>
          </w:p>
        </w:tc>
        <w:tc>
          <w:tcPr>
            <w:tcW w:type="dxa" w:w="68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client、auth、transactions 等请求模块；查询 key、轮询与 mutations。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backend/src/routes 与 controllers</w:t>
            </w:r>
          </w:p>
        </w:tc>
        <w:tc>
          <w:tcPr>
            <w:tcW w:type="dxa" w:w="68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路由绑定、HTTP 参数和状态码；不直接执行财务计算。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backend/src/services</w:t>
            </w:r>
          </w:p>
        </w:tc>
        <w:tc>
          <w:tcPr>
            <w:tcW w:type="dxa" w:w="68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交易、预算、统计、通知、AI 分析的业务逻辑及数据库事务。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backend/src/models 与 repositories</w:t>
            </w:r>
          </w:p>
        </w:tc>
        <w:tc>
          <w:tcPr>
            <w:tcW w:type="dxa" w:w="68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Mongoose Schema、查询和聚合；db 目录管理连接、索引脚本与 seed。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backend/src/middleware</w:t>
            </w:r>
          </w:p>
        </w:tc>
        <w:tc>
          <w:tcPr>
            <w:tcW w:type="dxa" w:w="68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认证、角色检查、CSRF、字段验证、限流和统一错误处理。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backend/src/integrations 与 jobs</w:t>
            </w:r>
          </w:p>
        </w:tc>
        <w:tc>
          <w:tcPr>
            <w:tcW w:type="dxa" w:w="68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Frankfurter、DeepSeek、Resend 客户端；邮件和 AI worker。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backend/tests 与 docs</w:t>
            </w:r>
          </w:p>
        </w:tc>
        <w:tc>
          <w:tcPr>
            <w:tcW w:type="dxa" w:w="68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关键集成测试；OpenAPI 描述与 Postman Collection。</w:t>
            </w:r>
          </w:p>
        </w:tc>
      </w:tr>
    </w:tbl>
    <w:p>
      <w:pPr>
        <w:spacing w:after="0"/>
      </w:pPr>
    </w:p>
    <w:p>
      <w:pPr>
        <w:pStyle w:val="Heading2"/>
      </w:pPr>
      <w:r>
        <w:t>环境变量</w:t>
      </w:r>
    </w:p>
    <w:p>
      <w:pPr>
        <w:spacing w:after="140" w:line="240" w:lineRule="auto"/>
      </w:pPr>
      <w:r>
        <w:rPr>
          <w:rFonts w:ascii="DejaVu Sans Mono" w:hAnsi="DejaVu Sans Mono"/>
          <w:sz w:val="17"/>
        </w:rPr>
        <w:t>MONGODB_URI=mongodb+srv://&lt;user&gt;:&lt;password&gt;@&lt;cluster&gt;/finance</w:t>
      </w:r>
      <w:r>
        <w:rPr>
          <w:rFonts w:ascii="DejaVu Sans Mono" w:hAnsi="DejaVu Sans Mono"/>
          <w:sz w:val="17"/>
        </w:rPr>
        <w:br/>
        <w:t>JWT_SECRET=&lt;random-secret&gt;</w:t>
      </w:r>
      <w:r>
        <w:rPr>
          <w:rFonts w:ascii="DejaVu Sans Mono" w:hAnsi="DejaVu Sans Mono"/>
          <w:sz w:val="17"/>
        </w:rPr>
        <w:br/>
        <w:t>APP_ORIGIN=https://your-app.example</w:t>
      </w:r>
      <w:r>
        <w:rPr>
          <w:rFonts w:ascii="DejaVu Sans Mono" w:hAnsi="DejaVu Sans Mono"/>
          <w:sz w:val="17"/>
        </w:rPr>
        <w:br/>
        <w:t>PORT=3000</w:t>
      </w:r>
      <w:r>
        <w:rPr>
          <w:rFonts w:ascii="DejaVu Sans Mono" w:hAnsi="DejaVu Sans Mono"/>
          <w:sz w:val="17"/>
        </w:rPr>
        <w:br/>
        <w:t>NODE_ENV=production</w:t>
      </w:r>
      <w:r>
        <w:rPr>
          <w:rFonts w:ascii="DejaVu Sans Mono" w:hAnsi="DejaVu Sans Mono"/>
          <w:sz w:val="17"/>
        </w:rPr>
        <w:br/>
        <w:t>FRANKFURTER_BASE_URL=https://api.frankfurter.dev/v2</w:t>
      </w:r>
      <w:r>
        <w:rPr>
          <w:rFonts w:ascii="DejaVu Sans Mono" w:hAnsi="DejaVu Sans Mono"/>
          <w:sz w:val="17"/>
        </w:rPr>
        <w:br/>
        <w:t>DEEPSEEK_BASE_URL=https://api.deepseek.com</w:t>
      </w:r>
      <w:r>
        <w:rPr>
          <w:rFonts w:ascii="DejaVu Sans Mono" w:hAnsi="DejaVu Sans Mono"/>
          <w:sz w:val="17"/>
        </w:rPr>
        <w:br/>
        <w:t>DEEPSEEK_API_KEY=&lt;secret&gt;</w:t>
      </w:r>
      <w:r>
        <w:rPr>
          <w:rFonts w:ascii="DejaVu Sans Mono" w:hAnsi="DejaVu Sans Mono"/>
          <w:sz w:val="17"/>
        </w:rPr>
        <w:br/>
        <w:t>DEEPSEEK_MODEL=&lt;available-model-in-your-account&gt;</w:t>
      </w:r>
      <w:r>
        <w:rPr>
          <w:rFonts w:ascii="DejaVu Sans Mono" w:hAnsi="DejaVu Sans Mono"/>
          <w:sz w:val="17"/>
        </w:rPr>
        <w:br/>
        <w:t>RESEND_API_KEY=&lt;secret&gt;</w:t>
      </w:r>
      <w:r>
        <w:rPr>
          <w:rFonts w:ascii="DejaVu Sans Mono" w:hAnsi="DejaVu Sans Mono"/>
          <w:sz w:val="17"/>
        </w:rPr>
        <w:br/>
        <w:t>EMAIL_FROM=Finance Tracker &lt;alerts@your-verified-domain&gt;</w:t>
      </w:r>
      <w:r>
        <w:rPr>
          <w:rFonts w:ascii="DejaVu Sans Mono" w:hAnsi="DejaVu Sans Mono"/>
          <w:sz w:val="17"/>
        </w:rPr>
        <w:br/>
        <w:t>ADMIN_EMAIL=&lt;seed-admin-email&gt;</w:t>
      </w:r>
      <w:r>
        <w:rPr>
          <w:rFonts w:ascii="DejaVu Sans Mono" w:hAnsi="DejaVu Sans Mono"/>
          <w:sz w:val="17"/>
        </w:rPr>
        <w:br/>
        <w:t>ADMIN_PASSWORD=&lt;seed-secret&gt;</w:t>
      </w:r>
    </w:p>
    <w:p>
      <w:r>
        <w:t>提交 .env.example 的变量名和占位符，不提交真实 .env。前端开发代理使用后端地址配置，生产 API 路径固定 /api/v1；任何 VITE_ 配置均不得包含密钥。管理员由受控 seed 脚本创建，注册接口不接受 role。</w:t>
      </w:r>
    </w:p>
    <w:p>
      <w:pPr>
        <w:pStyle w:val="Heading1"/>
        <w:pageBreakBefore/>
      </w:pPr>
      <w:r>
        <w:t>十五 部署开发顺序与验收</w:t>
      </w:r>
    </w:p>
    <w:p>
      <w:pPr>
        <w:pStyle w:val="Heading2"/>
      </w:pPr>
      <w:r>
        <w:t>开发里程碑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5328"/>
        <w:gridCol w:w="3024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53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实现内容</w:t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43B53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完成证据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 核心后端</w:t>
            </w:r>
          </w:p>
        </w:tc>
        <w:tc>
          <w:tcPr>
            <w:tcW w:type="dxa" w:w="53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集合和索引初始化、注册登录、角色校验、交易 CRUD、首个汇率集成。</w:t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Postman 可完成登录和完整 CRUD；持续 Git 提交。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 预算与页面</w:t>
            </w:r>
          </w:p>
        </w:tc>
        <w:tc>
          <w:tcPr>
            <w:tcW w:type="dxa" w:w="53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分类、预算、统计、React 页面、自动轮询和管理员管理。</w:t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两个用户数据隔离；两个标签页自动同步。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3 AI 和邮件</w:t>
            </w:r>
          </w:p>
        </w:tc>
        <w:tc>
          <w:tcPr>
            <w:tcW w:type="dxa" w:w="53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DeepSeek 分析任务、历史版本、邮箱验证、预算提醒和持久化邮件任务。</w:t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站内提醒与邮件状态可查；AI 使用实际统计。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4 部署与提交</w:t>
            </w:r>
          </w:p>
        </w:tc>
        <w:tc>
          <w:tcPr>
            <w:tcW w:type="dxa" w:w="53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生产构建、集合与索引部署、环境配置、README、接口说明和幻灯片。</w:t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公开 URL 可访问；全流程演示与至少 10 页幻灯片。</w:t>
            </w:r>
          </w:p>
        </w:tc>
      </w:tr>
    </w:tbl>
    <w:p>
      <w:pPr>
        <w:spacing w:after="0"/>
      </w:pPr>
    </w:p>
    <w:p>
      <w:pPr>
        <w:pStyle w:val="Heading2"/>
      </w:pPr>
      <w:r>
        <w:t>部署步骤</w:t>
      </w:r>
    </w:p>
    <w:p>
      <w:r>
        <w:t>先连接 MongoDB Atlas 复制集，创建受限数据库用户并配置网络访问，再执行集合校验器、索引初始化和 seed。开发可使用本地单节点复制集，不能用 standalone 替代事务环境。构建前端后启动 Express 和后台任务；生产使用同源 HTTPS。确认 SPA 路由回退不会覆盖 /api 错误；数据库断开或不支持事务时 /ready 返回 503。生产邮件使用已验证发件域名；默认 resend.dev 仅用于允许的测试收件人。</w:t>
      </w:r>
    </w:p>
    <w:p>
      <w:pPr>
        <w:pStyle w:val="Heading2"/>
      </w:pPr>
      <w:r>
        <w:t>必须通过的测试</w:t>
      </w:r>
    </w:p>
    <w:p>
      <w:pPr>
        <w:pStyle w:val="ListBullet"/>
      </w:pPr>
      <w:r>
        <w:t>交易和预算 CRUD；零值或负金额、无效日期、错误类别和重复预算被拒绝；Decimal128 的 0.10 + 0.20 得到 0.30；响应不泄漏 $numberDecimal。</w:t>
      </w:r>
    </w:p>
    <w:p>
      <w:pPr>
        <w:pStyle w:val="ListBullet"/>
      </w:pPr>
      <w:r>
        <w:t>用户 A 不能查看或修改 B 的记录；普通用户不能调用 /admin；禁用用户与退出后的会话不能继续访问。</w:t>
      </w:r>
    </w:p>
    <w:p>
      <w:pPr>
        <w:pStyle w:val="ListBullet"/>
      </w:pPr>
      <w:r>
        <w:t>修改交易的类别、日期、币种和金额，以及删除交易后，旧预算与新预算的金额均正确。</w:t>
      </w:r>
    </w:p>
    <w:p>
      <w:pPr>
        <w:pStyle w:val="ListBullet"/>
      </w:pPr>
      <w:r>
        <w:t>80% 与 100% 阈值各最多一次；并发写入和重复 worker 领取不生成重复提醒；写冲突可重试、事务失败全部回滚；重启后任务继续处理。</w:t>
      </w:r>
    </w:p>
    <w:p>
      <w:pPr>
        <w:pStyle w:val="ListBullet"/>
      </w:pPr>
      <w:r>
        <w:t>两标签页自动更新；同币种不访问汇率服务，外币保存实际汇率日期；汇率失败不保存错误金额。</w:t>
      </w:r>
    </w:p>
    <w:p>
      <w:pPr>
        <w:pStyle w:val="ListBullet"/>
      </w:pPr>
      <w:r>
        <w:t>AI pending 到 completed/failed 正确；数据修改后旧分析显示过期；服务超时不阻断交易 CRUD。</w:t>
      </w:r>
    </w:p>
    <w:p>
      <w:pPr>
        <w:pStyle w:val="ListBullet"/>
      </w:pPr>
      <w:r>
        <w:t>Resend 的 accepted 与 delivered 分开理解；当前已在 Postman 查到 delivered 的邮件可作为外部 API 测试证据，但应用自动提醒仍需实现。</w:t>
      </w:r>
    </w:p>
    <w:p>
      <w:r>
        <w:t>提交前逐项核对课程说明第 7 至 8 页：GitHub、代码、README、配置文档、公开部署地址、数据库与 API 文档、认证和 RBAC、自动同步、演示与幻灯片。AI 或界面加分不替代这些基础要求。</w:t>
      </w:r>
    </w:p>
    <w:p>
      <w:pPr>
        <w:pStyle w:val="Heading1"/>
        <w:pageBreakBefore/>
      </w:pPr>
      <w:r>
        <w:t>十六 参考资料与实现检查表</w:t>
      </w:r>
    </w:p>
    <w:p>
      <w:r>
        <w:t>课程规则以教师发布的说明与 Canvas 更新为准。下列官方资料用于接口接入和框架实现，MongoDB 与 Mongoose 资料核对日期为 2026年10月16日，其他接口资料沿用前版参考。第三方服务的模型、配额、费用和认证设置在接入前再次核实。</w:t>
      </w:r>
    </w:p>
    <w:p>
      <w:r>
        <w:rPr>
          <w:b/>
        </w:rPr>
        <w:t>课程说明</w:t>
        <w:br/>
      </w:r>
      <w:r>
        <w:t>CPSC_449_project_specifications.pdf，第 2 至 6 页和第 8 页。</w:t>
      </w:r>
    </w:p>
    <w:p>
      <w:r>
        <w:rPr>
          <w:b/>
        </w:rPr>
        <w:t>MongoDB 金额建模</w:t>
        <w:br/>
      </w:r>
      <w:r>
        <w:t>https://www.mongodb.com/docs/manual/tutorial/model-monetary-data/</w:t>
      </w:r>
    </w:p>
    <w:p>
      <w:r>
        <w:rPr>
          <w:b/>
        </w:rPr>
        <w:t>MongoDB 事务条件</w:t>
        <w:br/>
      </w:r>
      <w:r>
        <w:t>https://www.mongodb.com/docs/manual/core/transactions-production-consideration/</w:t>
      </w:r>
    </w:p>
    <w:p>
      <w:r>
        <w:rPr>
          <w:b/>
        </w:rPr>
        <w:t>MongoDB 部分唯一索引</w:t>
        <w:br/>
      </w:r>
      <w:r>
        <w:t>https://www.mongodb.com/docs/manual/core/index-partial/</w:t>
      </w:r>
    </w:p>
    <w:p>
      <w:r>
        <w:rPr>
          <w:b/>
        </w:rPr>
        <w:t>Mongoose Schema 校验</w:t>
        <w:br/>
      </w:r>
      <w:r>
        <w:t>https://mongoosejs.com/docs/validation.html</w:t>
      </w:r>
    </w:p>
    <w:p>
      <w:r>
        <w:rPr>
          <w:b/>
        </w:rPr>
        <w:t>Mongoose 事务与聚合</w:t>
        <w:br/>
      </w:r>
      <w:r>
        <w:t>https://mongoosejs.com/docs/transactions.html</w:t>
        <w:br/>
        <w:t>https://mongoosejs.com/docs/api/aggregate.html</w:t>
      </w:r>
    </w:p>
    <w:p>
      <w:r>
        <w:rPr>
          <w:b/>
        </w:rPr>
        <w:t>Frankfurter 汇率接口</w:t>
        <w:br/>
      </w:r>
      <w:r>
        <w:t>https://frankfurter.dev/</w:t>
      </w:r>
    </w:p>
    <w:p>
      <w:r>
        <w:rPr>
          <w:b/>
        </w:rPr>
        <w:t>DeepSeek Chat Completions</w:t>
        <w:br/>
      </w:r>
      <w:r>
        <w:t>https://api-docs.deepseek.com/api/create-chat-completion/</w:t>
      </w:r>
    </w:p>
    <w:p>
      <w:r>
        <w:rPr>
          <w:b/>
        </w:rPr>
        <w:t>Resend 邮件发送与查询</w:t>
        <w:br/>
      </w:r>
      <w:r>
        <w:t>https://resend.com/docs/api-reference/emails/send-email</w:t>
        <w:br/>
        <w:t>https://resend.com/docs/api-reference/emails/retrieve-email</w:t>
      </w:r>
    </w:p>
    <w:p>
      <w:pPr>
        <w:pStyle w:val="Heading2"/>
      </w:pPr>
      <w:r>
        <w:t>接口实施时的统一检查</w:t>
      </w:r>
    </w:p>
    <w:p>
      <w:r>
        <w:t>每个端点均需明确权限、请求校验、返回字段、状态码和测试用例；每个数据库写入均需检查资源归属和事务边界。本文的路由、字段与优先级可直接转为 GitHub Issues 和 OpenAPI 定义。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Personal Finance Tracker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2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 w:eastAsia="Noto Sans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Calibri" w:hAnsi="Calibri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Calibri" w:hAnsi="Calibri" w:eastAsia="Noto Sans CJK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contextualSpacing/>
    </w:pPr>
    <w:rPr>
      <w:rFonts w:ascii="Calibri" w:hAnsi="Calibri" w:eastAsia="Noto Sans CJK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个人收支管理系统架构与接口设计</dc:title>
  <dc:subject>CPSC 449 学期项目开发设计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