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A5F"/>
          <w:sz w:val="34"/>
          <w:szCs w:val="34"/>
        </w:rPr>
        <w:t xml:space="preserve">Supplier Reliability and the Denver Opening</w:t>
      </w:r>
    </w:p>
    <w:p>
      <w:pPr>
        <w:spacing w:after="40"/>
        <w:jc w:val="center"/>
      </w:pPr>
      <w:r>
        <w:rPr>
          <w:color w:val="444444"/>
          <w:sz w:val="24"/>
          <w:szCs w:val="24"/>
        </w:rPr>
        <w:t xml:space="preserve">A Multi-Source Document Intelligence Brief</w:t>
      </w:r>
    </w:p>
    <w:p>
      <w:pPr>
        <w:pBdr>
          <w:bottom w:val="single" w:color="1F3A5F" w:sz="8" w:space="6"/>
        </w:pBdr>
        <w:spacing w:after="40"/>
        <w:jc w:val="center"/>
      </w:pPr>
      <w:r>
        <w:rPr>
          <w:color w:val="444444"/>
          <w:sz w:val="22"/>
          <w:szCs w:val="22"/>
        </w:rPr>
        <w:t xml:space="preserve">Company: GreenThreads (sustainable apparel)      |      Function: Operations</w:t>
      </w:r>
    </w:p>
    <w:p>
      <w:pPr>
        <w:spacing w:after="20" w:before="120"/>
        <w:jc w:val="center"/>
      </w:pPr>
      <w:r>
        <w:rPr>
          <w:sz w:val="22"/>
          <w:szCs w:val="22"/>
        </w:rPr>
        <w:t xml:space="preserve">Isra Denaguir  •  Ivette Bruce  •  Chris Sudyka  •  Lucas Diverdi</w:t>
      </w:r>
    </w:p>
    <w:p>
      <w:pPr>
        <w:spacing w:after="210"/>
        <w:jc w:val="center"/>
      </w:pPr>
      <w:r>
        <w:rPr>
          <w:color w:val="555555"/>
          <w:sz w:val="20"/>
          <w:szCs w:val="20"/>
        </w:rPr>
        <w:t xml:space="preserve">AI.205: AI Integration in Business I  |  Prof. Jeff Eyet  |  Homework #2</w:t>
      </w:r>
    </w:p>
    <w:p>
      <w:pPr>
        <w:pStyle w:val="Heading1"/>
        <w:spacing w:after="110" w:before="240"/>
      </w:pPr>
      <w:r>
        <w:rPr>
          <w:b/>
          <w:bCs/>
          <w:color w:val="1F3A5F"/>
          <w:sz w:val="28"/>
          <w:szCs w:val="28"/>
        </w:rPr>
        <w:t xml:space="preserve">Sources</w:t>
      </w:r>
    </w:p>
    <w:p>
      <w:pPr>
        <w:spacing w:after="100" w:line="262"/>
        <w:ind w:left="360" w:hanging="360"/>
      </w:pPr>
      <w:r>
        <w:rPr>
          <w:sz w:val="20"/>
          <w:szCs w:val="20"/>
        </w:rPr>
        <w:t xml:space="preserve">S1. Song Hong Apparel Co., Ltd. (2026, July 24). Purchase Order Confirmation SH-2291, Bamboo Joggers (Denver Opening). Correspondence from Linh Tran, Export Sales, to GreenThreads Procurement.</w:t>
      </w:r>
    </w:p>
    <w:p>
      <w:pPr>
        <w:spacing w:after="100" w:line="262"/>
        <w:ind w:left="360" w:hanging="360"/>
      </w:pPr>
      <w:r>
        <w:rPr>
          <w:sz w:val="20"/>
          <w:szCs w:val="20"/>
        </w:rPr>
        <w:t xml:space="preserve">S2. GreenThreads Operations. Standard Operating Procedure OPS-04, Inbound Shipment Receiving &amp; Inspection, Version 2.1.</w:t>
      </w:r>
    </w:p>
    <w:p>
      <w:pPr>
        <w:spacing w:after="100" w:line="262"/>
        <w:ind w:left="360" w:hanging="360"/>
      </w:pPr>
      <w:r>
        <w:rPr>
          <w:sz w:val="20"/>
          <w:szCs w:val="20"/>
        </w:rPr>
        <w:t xml:space="preserve">S3. Song Hong Apparel Co., Ltd. and GreenThreads, Inc. (2025). Master Supply Agreement, selected terms, §§4–9.</w:t>
      </w:r>
    </w:p>
    <w:p>
      <w:pPr>
        <w:spacing w:after="100" w:line="262"/>
        <w:ind w:left="360" w:hanging="360"/>
      </w:pPr>
      <w:r>
        <w:rPr>
          <w:sz w:val="20"/>
          <w:szCs w:val="20"/>
        </w:rPr>
        <w:t xml:space="preserve">S4. GreenThreads Operations. GT_Ops_Inbound_Shipments, inbound purchase order record, 96 orders across four suppliers.</w:t>
      </w:r>
    </w:p>
    <w:p>
      <w:pPr>
        <w:pStyle w:val="Heading1"/>
        <w:spacing w:after="110" w:before="240"/>
      </w:pPr>
      <w:r>
        <w:rPr>
          <w:b/>
          <w:bCs/>
          <w:color w:val="1F3A5F"/>
          <w:sz w:val="28"/>
          <w:szCs w:val="28"/>
        </w:rPr>
        <w:t xml:space="preserve">1. Purpose and the Decision This Feeds</w:t>
      </w:r>
    </w:p>
    <w:p>
      <w:pPr>
        <w:spacing w:after="120" w:line="274"/>
        <w:jc w:val="both"/>
      </w:pPr>
      <w:r>
        <w:rPr>
          <w:sz w:val="22"/>
          <w:szCs w:val="22"/>
        </w:rPr>
        <w:t xml:space="preserve">Our Functional Brief ranked predicting high-risk shipments and scoring supplier reliability as the top AI opportunities for GreenThreads Operations, because the function goal this quarter is getting the launch products onto the Denver sales floor on time. This brief applies that lens to the first real Denver order, SH-2291, using the three documents that govern it plus our shipment record. The decision it feeds is narrow and time-sensitive: whether SH-2291 as confirmed is safe to leave alone, or whether it must be escalated while the only contractual remedy, cancellation before dispatch, is still available.</w:t>
      </w:r>
    </w:p>
    <w:p>
      <w:pPr>
        <w:pStyle w:val="Heading1"/>
        <w:spacing w:after="110" w:before="240"/>
      </w:pPr>
      <w:r>
        <w:rPr>
          <w:b/>
          <w:bCs/>
          <w:color w:val="1F3A5F"/>
          <w:sz w:val="28"/>
          <w:szCs w:val="28"/>
        </w:rPr>
        <w:t xml:space="preserve">2. Sources at a Glance</w:t>
      </w:r>
    </w:p>
    <w:p>
      <w:pPr>
        <w:spacing w:after="120" w:line="274"/>
        <w:jc w:val="both"/>
      </w:pPr>
      <w:r>
        <w:rPr>
          <w:sz w:val="22"/>
          <w:szCs w:val="22"/>
        </w:rPr>
        <w:t xml:space="preserve">Classifying the four sources first exposes the core problem. Two of them describe the same shipment and disagree on how much its promised date is worth, and the only document with binding force over our own behavior is the SOP we wrote ourselves.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000"/>
        <w:gridCol w:w="1900"/>
        <w:gridCol w:w="1900"/>
        <w:gridCol w:w="3560"/>
      </w:tblGrid>
      <w:tr>
        <w:trPr>
          <w:tblHeader/>
        </w:trPr>
        <w:tc>
          <w:tcPr>
            <w:tcW w:type="dxa" w:w="2000"/>
            <w:shd w:fill="1F3A5F" w:color="auto" w:val="clear"/>
            <w:tcMar>
              <w:top w:type="dxa" w:w="56"/>
              <w:left w:type="dxa" w:w="104"/>
              <w:bottom w:type="dxa" w:w="56"/>
              <w:right w:type="dxa" w:w="104"/>
            </w:tcMar>
          </w:tcPr>
          <w:p>
            <w:pPr>
              <w:spacing w:after="0" w:line="248"/>
            </w:pPr>
            <w:r>
              <w:rPr>
                <w:b/>
                <w:bCs/>
                <w:color w:val="FFFFFF"/>
                <w:sz w:val="20"/>
                <w:szCs w:val="20"/>
              </w:rPr>
              <w:t xml:space="preserve">Source</w:t>
            </w:r>
          </w:p>
        </w:tc>
        <w:tc>
          <w:tcPr>
            <w:tcW w:type="dxa" w:w="1900"/>
            <w:shd w:fill="1F3A5F" w:color="auto" w:val="clear"/>
            <w:tcMar>
              <w:top w:type="dxa" w:w="56"/>
              <w:left w:type="dxa" w:w="104"/>
              <w:bottom w:type="dxa" w:w="56"/>
              <w:right w:type="dxa" w:w="104"/>
            </w:tcMar>
          </w:tcPr>
          <w:p>
            <w:pPr>
              <w:spacing w:after="0" w:line="248"/>
            </w:pPr>
            <w:r>
              <w:rPr>
                <w:b/>
                <w:bCs/>
                <w:color w:val="FFFFFF"/>
                <w:sz w:val="20"/>
                <w:szCs w:val="20"/>
              </w:rPr>
              <w:t xml:space="preserve">Document type</w:t>
            </w:r>
          </w:p>
        </w:tc>
        <w:tc>
          <w:tcPr>
            <w:tcW w:type="dxa" w:w="1900"/>
            <w:shd w:fill="1F3A5F" w:color="auto" w:val="clear"/>
            <w:tcMar>
              <w:top w:type="dxa" w:w="56"/>
              <w:left w:type="dxa" w:w="104"/>
              <w:bottom w:type="dxa" w:w="56"/>
              <w:right w:type="dxa" w:w="104"/>
            </w:tcMar>
          </w:tcPr>
          <w:p>
            <w:pPr>
              <w:spacing w:after="0" w:line="248"/>
            </w:pPr>
            <w:r>
              <w:rPr>
                <w:b/>
                <w:bCs/>
                <w:color w:val="FFFFFF"/>
                <w:sz w:val="20"/>
                <w:szCs w:val="20"/>
              </w:rPr>
              <w:t xml:space="preserve">Authorship / interest</w:t>
            </w:r>
          </w:p>
        </w:tc>
        <w:tc>
          <w:tcPr>
            <w:tcW w:type="dxa" w:w="3560"/>
            <w:shd w:fill="1F3A5F" w:color="auto" w:val="clear"/>
            <w:tcMar>
              <w:top w:type="dxa" w:w="56"/>
              <w:left w:type="dxa" w:w="104"/>
              <w:bottom w:type="dxa" w:w="56"/>
              <w:right w:type="dxa" w:w="104"/>
            </w:tcMar>
          </w:tcPr>
          <w:p>
            <w:pPr>
              <w:spacing w:after="0" w:line="248"/>
            </w:pPr>
            <w:r>
              <w:rPr>
                <w:b/>
                <w:bCs/>
                <w:color w:val="FFFFFF"/>
                <w:sz w:val="20"/>
                <w:szCs w:val="20"/>
              </w:rPr>
              <w:t xml:space="preserve">Binding force</w:t>
            </w:r>
          </w:p>
        </w:tc>
      </w:tr>
      <w:tr>
        <w:tc>
          <w:tcPr>
            <w:tcW w:type="dxa" w:w="2000"/>
            <w:shd w:fill="E9EEF4" w:color="auto" w:val="clear"/>
            <w:tcMar>
              <w:top w:type="dxa" w:w="56"/>
              <w:left w:type="dxa" w:w="104"/>
              <w:bottom w:type="dxa" w:w="56"/>
              <w:right w:type="dxa" w:w="104"/>
            </w:tcMar>
          </w:tcPr>
          <w:p>
            <w:pPr>
              <w:spacing w:after="0" w:line="248"/>
            </w:pPr>
            <w:r>
              <w:rPr>
                <w:b/>
                <w:bCs/>
                <w:color w:val="000000"/>
                <w:sz w:val="20"/>
                <w:szCs w:val="20"/>
              </w:rPr>
              <w:t xml:space="preserve">S1 – PO Confirmation SH-2291</w:t>
            </w:r>
          </w:p>
        </w:tc>
        <w:tc>
          <w:tcPr>
            <w:tcW w:type="dxa" w:w="19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Transactional correspondence</w:t>
            </w:r>
          </w:p>
        </w:tc>
        <w:tc>
          <w:tcPr>
            <w:tcW w:type="dxa" w:w="19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Supplier, seller interest</w:t>
            </w:r>
          </w:p>
        </w:tc>
        <w:tc>
          <w:tcPr>
            <w:tcW w:type="dxa" w:w="35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Non-binding assurance</w:t>
            </w:r>
          </w:p>
        </w:tc>
      </w:tr>
      <w:tr>
        <w:tc>
          <w:tcPr>
            <w:tcW w:type="dxa" w:w="2000"/>
            <w:tcMar>
              <w:top w:type="dxa" w:w="56"/>
              <w:left w:type="dxa" w:w="104"/>
              <w:bottom w:type="dxa" w:w="56"/>
              <w:right w:type="dxa" w:w="104"/>
            </w:tcMar>
          </w:tcPr>
          <w:p>
            <w:pPr>
              <w:spacing w:after="0" w:line="248"/>
            </w:pPr>
            <w:r>
              <w:rPr>
                <w:b/>
                <w:bCs/>
                <w:color w:val="000000"/>
                <w:sz w:val="20"/>
                <w:szCs w:val="20"/>
              </w:rPr>
              <w:t xml:space="preserve">S2 – SOP OPS-04 v2.1</w:t>
            </w:r>
          </w:p>
        </w:tc>
        <w:tc>
          <w:tcPr>
            <w:tcW w:type="dxa" w:w="1900"/>
            <w:tcMar>
              <w:top w:type="dxa" w:w="56"/>
              <w:left w:type="dxa" w:w="104"/>
              <w:bottom w:type="dxa" w:w="56"/>
              <w:right w:type="dxa" w:w="104"/>
            </w:tcMar>
          </w:tcPr>
          <w:p>
            <w:pPr>
              <w:spacing w:after="0" w:line="248"/>
            </w:pPr>
            <w:r>
              <w:rPr>
                <w:b w:val="false"/>
                <w:bCs w:val="false"/>
                <w:color w:val="000000"/>
                <w:sz w:val="20"/>
                <w:szCs w:val="20"/>
              </w:rPr>
              <w:t xml:space="preserve">Internal process control</w:t>
            </w:r>
          </w:p>
        </w:tc>
        <w:tc>
          <w:tcPr>
            <w:tcW w:type="dxa" w:w="1900"/>
            <w:tcMar>
              <w:top w:type="dxa" w:w="56"/>
              <w:left w:type="dxa" w:w="104"/>
              <w:bottom w:type="dxa" w:w="56"/>
              <w:right w:type="dxa" w:w="104"/>
            </w:tcMar>
          </w:tcPr>
          <w:p>
            <w:pPr>
              <w:spacing w:after="0" w:line="248"/>
            </w:pPr>
            <w:r>
              <w:rPr>
                <w:b w:val="false"/>
                <w:bCs w:val="false"/>
                <w:color w:val="000000"/>
                <w:sz w:val="20"/>
                <w:szCs w:val="20"/>
              </w:rPr>
              <w:t xml:space="preserve">GreenThreads Operations</w:t>
            </w:r>
          </w:p>
        </w:tc>
        <w:tc>
          <w:tcPr>
            <w:tcW w:type="dxa" w:w="3560"/>
            <w:tcMar>
              <w:top w:type="dxa" w:w="56"/>
              <w:left w:type="dxa" w:w="104"/>
              <w:bottom w:type="dxa" w:w="56"/>
              <w:right w:type="dxa" w:w="104"/>
            </w:tcMar>
          </w:tcPr>
          <w:p>
            <w:pPr>
              <w:spacing w:after="0" w:line="248"/>
            </w:pPr>
            <w:r>
              <w:rPr>
                <w:b w:val="false"/>
                <w:bCs w:val="false"/>
                <w:color w:val="000000"/>
                <w:sz w:val="20"/>
                <w:szCs w:val="20"/>
              </w:rPr>
              <w:t xml:space="preserve">Internally mandatory</w:t>
            </w:r>
          </w:p>
        </w:tc>
      </w:tr>
      <w:tr>
        <w:tc>
          <w:tcPr>
            <w:tcW w:type="dxa" w:w="2000"/>
            <w:shd w:fill="E9EEF4" w:color="auto" w:val="clear"/>
            <w:tcMar>
              <w:top w:type="dxa" w:w="56"/>
              <w:left w:type="dxa" w:w="104"/>
              <w:bottom w:type="dxa" w:w="56"/>
              <w:right w:type="dxa" w:w="104"/>
            </w:tcMar>
          </w:tcPr>
          <w:p>
            <w:pPr>
              <w:spacing w:after="0" w:line="248"/>
            </w:pPr>
            <w:r>
              <w:rPr>
                <w:b/>
                <w:bCs/>
                <w:color w:val="000000"/>
                <w:sz w:val="20"/>
                <w:szCs w:val="20"/>
              </w:rPr>
              <w:t xml:space="preserve">S3 – Master Supply Agreement</w:t>
            </w:r>
          </w:p>
        </w:tc>
        <w:tc>
          <w:tcPr>
            <w:tcW w:type="dxa" w:w="19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Contract (excerpt)</w:t>
            </w:r>
          </w:p>
        </w:tc>
        <w:tc>
          <w:tcPr>
            <w:tcW w:type="dxa" w:w="19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Bilateral, supplier-favorable</w:t>
            </w:r>
          </w:p>
        </w:tc>
        <w:tc>
          <w:tcPr>
            <w:tcW w:type="dxa" w:w="35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Legally binding</w:t>
            </w:r>
          </w:p>
        </w:tc>
      </w:tr>
      <w:tr>
        <w:tc>
          <w:tcPr>
            <w:tcW w:type="dxa" w:w="2000"/>
            <w:tcMar>
              <w:top w:type="dxa" w:w="56"/>
              <w:left w:type="dxa" w:w="104"/>
              <w:bottom w:type="dxa" w:w="56"/>
              <w:right w:type="dxa" w:w="104"/>
            </w:tcMar>
          </w:tcPr>
          <w:p>
            <w:pPr>
              <w:spacing w:after="0" w:line="248"/>
            </w:pPr>
            <w:r>
              <w:rPr>
                <w:b/>
                <w:bCs/>
                <w:color w:val="000000"/>
                <w:sz w:val="20"/>
                <w:szCs w:val="20"/>
              </w:rPr>
              <w:t xml:space="preserve">S4 – Inbound shipments dataset</w:t>
            </w:r>
          </w:p>
        </w:tc>
        <w:tc>
          <w:tcPr>
            <w:tcW w:type="dxa" w:w="1900"/>
            <w:tcMar>
              <w:top w:type="dxa" w:w="56"/>
              <w:left w:type="dxa" w:w="104"/>
              <w:bottom w:type="dxa" w:w="56"/>
              <w:right w:type="dxa" w:w="104"/>
            </w:tcMar>
          </w:tcPr>
          <w:p>
            <w:pPr>
              <w:spacing w:after="0" w:line="248"/>
            </w:pPr>
            <w:r>
              <w:rPr>
                <w:b w:val="false"/>
                <w:bCs w:val="false"/>
                <w:color w:val="000000"/>
                <w:sz w:val="20"/>
                <w:szCs w:val="20"/>
              </w:rPr>
              <w:t xml:space="preserve">Performance record</w:t>
            </w:r>
          </w:p>
        </w:tc>
        <w:tc>
          <w:tcPr>
            <w:tcW w:type="dxa" w:w="1900"/>
            <w:tcMar>
              <w:top w:type="dxa" w:w="56"/>
              <w:left w:type="dxa" w:w="104"/>
              <w:bottom w:type="dxa" w:w="56"/>
              <w:right w:type="dxa" w:w="104"/>
            </w:tcMar>
          </w:tcPr>
          <w:p>
            <w:pPr>
              <w:spacing w:after="0" w:line="248"/>
            </w:pPr>
            <w:r>
              <w:rPr>
                <w:b w:val="false"/>
                <w:bCs w:val="false"/>
                <w:color w:val="000000"/>
                <w:sz w:val="20"/>
                <w:szCs w:val="20"/>
              </w:rPr>
              <w:t xml:space="preserve">GreenThreads Operations</w:t>
            </w:r>
          </w:p>
        </w:tc>
        <w:tc>
          <w:tcPr>
            <w:tcW w:type="dxa" w:w="3560"/>
            <w:tcMar>
              <w:top w:type="dxa" w:w="56"/>
              <w:left w:type="dxa" w:w="104"/>
              <w:bottom w:type="dxa" w:w="56"/>
              <w:right w:type="dxa" w:w="104"/>
            </w:tcMar>
          </w:tcPr>
          <w:p>
            <w:pPr>
              <w:spacing w:after="0" w:line="248"/>
            </w:pPr>
            <w:r>
              <w:rPr>
                <w:b w:val="false"/>
                <w:bCs w:val="false"/>
                <w:color w:val="000000"/>
                <w:sz w:val="20"/>
                <w:szCs w:val="20"/>
              </w:rPr>
              <w:t xml:space="preserve">Evidentiary</w:t>
            </w:r>
          </w:p>
        </w:tc>
      </w:tr>
    </w:tbl>
    <w:p>
      <w:pPr>
        <w:spacing w:after="90"/>
      </w:pP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3400"/>
        <w:gridCol w:w="4460"/>
      </w:tblGrid>
      <w:tr>
        <w:trPr>
          <w:tblHeader/>
        </w:trPr>
        <w:tc>
          <w:tcPr>
            <w:tcW w:type="dxa" w:w="1500"/>
            <w:shd w:fill="1F3A5F" w:color="auto" w:val="clear"/>
            <w:tcMar>
              <w:top w:type="dxa" w:w="56"/>
              <w:left w:type="dxa" w:w="104"/>
              <w:bottom w:type="dxa" w:w="56"/>
              <w:right w:type="dxa" w:w="104"/>
            </w:tcMar>
          </w:tcPr>
          <w:p>
            <w:pPr>
              <w:spacing w:after="0" w:line="248"/>
            </w:pPr>
            <w:r>
              <w:rPr>
                <w:b/>
                <w:bCs/>
                <w:color w:val="FFFFFF"/>
                <w:sz w:val="20"/>
                <w:szCs w:val="20"/>
              </w:rPr>
              <w:t xml:space="preserve">Source</w:t>
            </w:r>
          </w:p>
        </w:tc>
        <w:tc>
          <w:tcPr>
            <w:tcW w:type="dxa" w:w="3400"/>
            <w:shd w:fill="1F3A5F" w:color="auto" w:val="clear"/>
            <w:tcMar>
              <w:top w:type="dxa" w:w="56"/>
              <w:left w:type="dxa" w:w="104"/>
              <w:bottom w:type="dxa" w:w="56"/>
              <w:right w:type="dxa" w:w="104"/>
            </w:tcMar>
          </w:tcPr>
          <w:p>
            <w:pPr>
              <w:spacing w:after="0" w:line="248"/>
            </w:pPr>
            <w:r>
              <w:rPr>
                <w:b/>
                <w:bCs/>
                <w:color w:val="FFFFFF"/>
                <w:sz w:val="20"/>
                <w:szCs w:val="20"/>
              </w:rPr>
              <w:t xml:space="preserve">Key extracted facts</w:t>
            </w:r>
          </w:p>
        </w:tc>
        <w:tc>
          <w:tcPr>
            <w:tcW w:type="dxa" w:w="4460"/>
            <w:shd w:fill="1F3A5F" w:color="auto" w:val="clear"/>
            <w:tcMar>
              <w:top w:type="dxa" w:w="56"/>
              <w:left w:type="dxa" w:w="104"/>
              <w:bottom w:type="dxa" w:w="56"/>
              <w:right w:type="dxa" w:w="104"/>
            </w:tcMar>
          </w:tcPr>
          <w:p>
            <w:pPr>
              <w:spacing w:after="0" w:line="248"/>
            </w:pPr>
            <w:r>
              <w:rPr>
                <w:b/>
                <w:bCs/>
                <w:color w:val="FFFFFF"/>
                <w:sz w:val="20"/>
                <w:szCs w:val="20"/>
              </w:rPr>
              <w:t xml:space="preserve">Supporting language</w:t>
            </w:r>
          </w:p>
        </w:tc>
      </w:tr>
      <w:tr>
        <w:tc>
          <w:tcPr>
            <w:tcW w:type="dxa" w:w="1500"/>
            <w:shd w:fill="E9EEF4" w:color="auto" w:val="clear"/>
            <w:tcMar>
              <w:top w:type="dxa" w:w="56"/>
              <w:left w:type="dxa" w:w="104"/>
              <w:bottom w:type="dxa" w:w="56"/>
              <w:right w:type="dxa" w:w="104"/>
            </w:tcMar>
          </w:tcPr>
          <w:p>
            <w:pPr>
              <w:spacing w:after="0" w:line="248"/>
            </w:pPr>
            <w:r>
              <w:rPr>
                <w:b/>
                <w:bCs/>
                <w:color w:val="000000"/>
                <w:sz w:val="20"/>
                <w:szCs w:val="20"/>
              </w:rPr>
              <w:t xml:space="preserve">S1</w:t>
            </w:r>
          </w:p>
        </w:tc>
        <w:tc>
          <w:tcPr>
            <w:tcW w:type="dxa" w:w="34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PO SH-2291, Bamboo Joggers, 950 units, promised 3 Oct 2026 to Denver, 71-day quoted lead time.</w:t>
            </w:r>
          </w:p>
        </w:tc>
        <w:tc>
          <w:tcPr>
            <w:tcW w:type="dxa" w:w="44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“does not anticipate any issues meeting the October 3 date”; facility “at peak seasonal capacity through late September”; transit “18–22 days from the date the container is loaded.”</w:t>
            </w:r>
          </w:p>
        </w:tc>
      </w:tr>
      <w:tr>
        <w:tc>
          <w:tcPr>
            <w:tcW w:type="dxa" w:w="1500"/>
            <w:tcMar>
              <w:top w:type="dxa" w:w="56"/>
              <w:left w:type="dxa" w:w="104"/>
              <w:bottom w:type="dxa" w:w="56"/>
              <w:right w:type="dxa" w:w="104"/>
            </w:tcMar>
          </w:tcPr>
          <w:p>
            <w:pPr>
              <w:spacing w:after="0" w:line="248"/>
            </w:pPr>
            <w:r>
              <w:rPr>
                <w:b/>
                <w:bCs/>
                <w:color w:val="000000"/>
                <w:sz w:val="20"/>
                <w:szCs w:val="20"/>
              </w:rPr>
              <w:t xml:space="preserve">S2</w:t>
            </w:r>
          </w:p>
        </w:tc>
        <w:tc>
          <w:tcPr>
            <w:tcW w:type="dxa" w:w="3400"/>
            <w:tcMar>
              <w:top w:type="dxa" w:w="56"/>
              <w:left w:type="dxa" w:w="104"/>
              <w:bottom w:type="dxa" w:w="56"/>
              <w:right w:type="dxa" w:w="104"/>
            </w:tcMar>
          </w:tcPr>
          <w:p>
            <w:pPr>
              <w:spacing w:after="0" w:line="248"/>
            </w:pPr>
            <w:r>
              <w:rPr>
                <w:b w:val="false"/>
                <w:bCs w:val="false"/>
                <w:color w:val="000000"/>
                <w:sz w:val="20"/>
                <w:szCs w:val="20"/>
              </w:rPr>
              <w:t xml:space="preserve">Plan backward from the in-store date; late suppliers require a buffer; inspect on receipt; log variances the same day.</w:t>
            </w:r>
          </w:p>
        </w:tc>
        <w:tc>
          <w:tcPr>
            <w:tcW w:type="dxa" w:w="4460"/>
            <w:tcMar>
              <w:top w:type="dxa" w:w="56"/>
              <w:left w:type="dxa" w:w="104"/>
              <w:bottom w:type="dxa" w:w="56"/>
              <w:right w:type="dxa" w:w="104"/>
            </w:tcMar>
          </w:tcPr>
          <w:p>
            <w:pPr>
              <w:spacing w:after="0" w:line="248"/>
            </w:pPr>
            <w:r>
              <w:rPr>
                <w:b w:val="false"/>
                <w:bCs w:val="false"/>
                <w:color w:val="000000"/>
                <w:sz w:val="20"/>
                <w:szCs w:val="20"/>
              </w:rPr>
              <w:t xml:space="preserve">“confirm the required in-store date and work backward”; “minimum two-week buffer”; a promised date is “a planning input, not a guarantee.”</w:t>
            </w:r>
          </w:p>
        </w:tc>
      </w:tr>
      <w:tr>
        <w:tc>
          <w:tcPr>
            <w:tcW w:type="dxa" w:w="1500"/>
            <w:shd w:fill="E9EEF4" w:color="auto" w:val="clear"/>
            <w:tcMar>
              <w:top w:type="dxa" w:w="56"/>
              <w:left w:type="dxa" w:w="104"/>
              <w:bottom w:type="dxa" w:w="56"/>
              <w:right w:type="dxa" w:w="104"/>
            </w:tcMar>
          </w:tcPr>
          <w:p>
            <w:pPr>
              <w:spacing w:after="0" w:line="248"/>
            </w:pPr>
            <w:r>
              <w:rPr>
                <w:b/>
                <w:bCs/>
                <w:color w:val="000000"/>
                <w:sz w:val="20"/>
                <w:szCs w:val="20"/>
              </w:rPr>
              <w:t xml:space="preserve">S3</w:t>
            </w:r>
          </w:p>
        </w:tc>
        <w:tc>
          <w:tcPr>
            <w:tcW w:type="dxa" w:w="34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§4 dates are estimates; §5 delay causes excused; §6 no penalty, remedy is cancellation before dispatch; §9 ±2% quantity tolerance.</w:t>
            </w:r>
          </w:p>
        </w:tc>
        <w:tc>
          <w:tcPr>
            <w:tcW w:type="dxa" w:w="44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“good-faith estimates and are not guarantees”; “no liquidated damages, price reduction, or penalty”; remedy “limited to cancellation … prior to dispatch.”</w:t>
            </w:r>
          </w:p>
        </w:tc>
      </w:tr>
      <w:tr>
        <w:tc>
          <w:tcPr>
            <w:tcW w:type="dxa" w:w="1500"/>
            <w:tcMar>
              <w:top w:type="dxa" w:w="56"/>
              <w:left w:type="dxa" w:w="104"/>
              <w:bottom w:type="dxa" w:w="56"/>
              <w:right w:type="dxa" w:w="104"/>
            </w:tcMar>
          </w:tcPr>
          <w:p>
            <w:pPr>
              <w:spacing w:after="0" w:line="248"/>
            </w:pPr>
            <w:r>
              <w:rPr>
                <w:b/>
                <w:bCs/>
                <w:color w:val="000000"/>
                <w:sz w:val="20"/>
                <w:szCs w:val="20"/>
              </w:rPr>
              <w:t xml:space="preserve">S4</w:t>
            </w:r>
          </w:p>
        </w:tc>
        <w:tc>
          <w:tcPr>
            <w:tcW w:type="dxa" w:w="3400"/>
            <w:tcMar>
              <w:top w:type="dxa" w:w="56"/>
              <w:left w:type="dxa" w:w="104"/>
              <w:bottom w:type="dxa" w:w="56"/>
              <w:right w:type="dxa" w:w="104"/>
            </w:tcMar>
          </w:tcPr>
          <w:p>
            <w:pPr>
              <w:spacing w:after="0" w:line="248"/>
            </w:pPr>
            <w:r>
              <w:rPr>
                <w:b w:val="false"/>
                <w:bCs w:val="false"/>
                <w:color w:val="000000"/>
                <w:sz w:val="20"/>
                <w:szCs w:val="20"/>
              </w:rPr>
              <w:t xml:space="preserve">Song Hong: 0% on-time, mean 12.1 days late, worst 19. No order in 96 arrived early; 71% arrived late.</w:t>
            </w:r>
          </w:p>
        </w:tc>
        <w:tc>
          <w:tcPr>
            <w:tcW w:type="dxa" w:w="4460"/>
            <w:tcMar>
              <w:top w:type="dxa" w:w="56"/>
              <w:left w:type="dxa" w:w="104"/>
              <w:bottom w:type="dxa" w:w="56"/>
              <w:right w:type="dxa" w:w="104"/>
            </w:tcMar>
          </w:tcPr>
          <w:p>
            <w:pPr>
              <w:spacing w:after="0" w:line="248"/>
            </w:pPr>
            <w:r>
              <w:rPr>
                <w:b w:val="false"/>
                <w:bCs w:val="false"/>
                <w:color w:val="000000"/>
                <w:sz w:val="20"/>
                <w:szCs w:val="20"/>
              </w:rPr>
              <w:t xml:space="preserve">Computed from Status, Promised_Date, Actual_Receipt_Date and Days_Late fields.</w:t>
            </w:r>
          </w:p>
        </w:tc>
      </w:tr>
    </w:tbl>
    <w:p>
      <w:pPr>
        <w:pStyle w:val="Heading1"/>
        <w:spacing w:after="110" w:before="240"/>
      </w:pPr>
      <w:r>
        <w:rPr>
          <w:b/>
          <w:bCs/>
          <w:color w:val="1F3A5F"/>
          <w:sz w:val="28"/>
          <w:szCs w:val="28"/>
        </w:rPr>
        <w:t xml:space="preserve">3. Cross-Source Synthesis</w:t>
      </w:r>
    </w:p>
    <w:p>
      <w:pPr>
        <w:pStyle w:val="Heading2"/>
        <w:spacing w:after="70" w:before="170"/>
      </w:pPr>
      <w:r>
        <w:rPr>
          <w:b/>
          <w:bCs/>
          <w:color w:val="1F3A5F"/>
          <w:sz w:val="24"/>
          <w:szCs w:val="24"/>
        </w:rPr>
        <w:t xml:space="preserve">Themes</w:t>
      </w:r>
    </w:p>
    <w:p>
      <w:pPr>
        <w:spacing w:after="130" w:line="274"/>
        <w:jc w:val="both"/>
      </w:pPr>
      <w:r>
        <w:rPr>
          <w:sz w:val="22"/>
          <w:szCs w:val="22"/>
        </w:rPr>
        <w:t xml:space="preserve">Across all four sources, a promised delivery date is an estimate rather than a commitment, and both parties have written that down. OPS-04 calls a promised date “a planning input, not a guarantee,” and the master agreement calls confirmed dates “good-faith estimates and are not guarantees.” The shipment record confirms it empirically, since no order in 96 has ever arrived early and 71 percent arrived late.</w:t>
      </w:r>
    </w:p>
    <w:p>
      <w:pPr>
        <w:spacing w:after="130" w:line="274"/>
        <w:jc w:val="both"/>
      </w:pPr>
      <w:r>
        <w:rPr>
          <w:sz w:val="22"/>
          <w:szCs w:val="22"/>
        </w:rPr>
        <w:t xml:space="preserve">Delay risk sits almost entirely with GreenThreads. Section 5 excuses the supplier for delays from production capacity, inspection, port congestion, freight, and customs, which cover nearly every realistic cause, and section 6 removes any financial consequence. The practical result is that GreenThreads absorbs the cost of a missed opening while the supplier absorbs none of it.</w:t>
      </w:r>
    </w:p>
    <w:p>
      <w:pPr>
        <w:pStyle w:val="Heading2"/>
        <w:spacing w:after="70" w:before="170"/>
      </w:pPr>
      <w:r>
        <w:rPr>
          <w:b/>
          <w:bCs/>
          <w:color w:val="1F3A5F"/>
          <w:sz w:val="24"/>
          <w:szCs w:val="24"/>
        </w:rPr>
        <w:t xml:space="preserve">Contradictions</w:t>
      </w:r>
    </w:p>
    <w:p>
      <w:pPr>
        <w:spacing w:after="130" w:line="274"/>
        <w:jc w:val="both"/>
      </w:pPr>
      <w:r>
        <w:rPr>
          <w:sz w:val="22"/>
          <w:szCs w:val="22"/>
        </w:rPr>
        <w:t xml:space="preserve">The sharpest contradiction is between the confirmation and the contract governing it. Song Hong writes that it “does not anticipate any issues meeting the October 3 date,” while the same parties’ agreement holds that such dates “are good-faith estimates and are not guarantees” and attaches no penalty for missing them. The reassurance is a sales email; the enforceable terms disclaim it. The letter also undercuts itself, promising comfortable delivery while disclosing the facility is “operating at peak seasonal capacity through late September” and that transit runs “18–22 days from the date the container is loaded,” which forces a mid-September load inside that same crunch.</w:t>
      </w:r>
    </w:p>
    <w:p>
      <w:pPr>
        <w:spacing w:after="130" w:line="274"/>
        <w:jc w:val="both"/>
      </w:pPr>
      <w:r>
        <w:rPr>
          <w:sz w:val="22"/>
          <w:szCs w:val="22"/>
        </w:rPr>
        <w:t xml:space="preserve">The contract also conflicts with itself on remedy. Section 6 limits our recourse to “cancellation of the affected purchase order prior to dispatch,” while section 7 gates dispatch on the supplier’s own pre-shipment inspection, which is where a delay of this kind first becomes visible. The window in which we can act closes at almost the same moment the problem becomes knowable. And our own rule went unused: OPS-04 mandates a two-week buffer for any supplier with a documented late-delivery history, which the shipment record establishes for Song Hong beyond doubt, yet SH-2291 was confirmed with no buffer evident.</w:t>
      </w:r>
    </w:p>
    <w:p>
      <w:pPr>
        <w:pStyle w:val="Heading2"/>
        <w:spacing w:after="70" w:before="170"/>
      </w:pPr>
      <w:r>
        <w:rPr>
          <w:b/>
          <w:bCs/>
          <w:color w:val="1F3A5F"/>
          <w:sz w:val="24"/>
          <w:szCs w:val="24"/>
        </w:rPr>
        <w:t xml:space="preserve">Gaps</w:t>
      </w:r>
    </w:p>
    <w:p>
      <w:pPr>
        <w:spacing w:after="130" w:line="274"/>
        <w:jc w:val="both"/>
      </w:pPr>
      <w:r>
        <w:rPr>
          <w:sz w:val="22"/>
          <w:szCs w:val="22"/>
        </w:rPr>
        <w:t xml:space="preserve">The most consequential gap is that no document states the date Denver needs the goods in store, which is the input OPS-04 begins with when it instructs the team to “confirm the required in-store date and work backward.” Without it the SOP cannot be executed or tested, and it lives in the Denver launch plan held by leadership. SH-2291 also carries no milestone before its final date, with tracking deferred until “once the vessel is confirmed,” so a slip can only be discovered late rather than managed early; we would request the ex-factory and container-load dates at confirmation. Two rules are missing outright as well: OPS-04 never defines what counts as a documented late-delivery history, and the agreement sets no on-time target, scorecard, or notice deadline. The first is a local rule we can write from the shipment data; the second is a contract renegotiation.</w:t>
      </w:r>
    </w:p>
    <w:p>
      <w:pPr>
        <w:spacing w:after="130" w:line="274"/>
        <w:jc w:val="both"/>
      </w:pPr>
      <w:r>
        <w:rPr>
          <w:sz w:val="22"/>
          <w:szCs w:val="22"/>
        </w:rPr>
        <w:t xml:space="preserve">As a supplementary check, we compared S3 against a publicly filed commercial supply agreement on the SEC EDGAR database, which sets an explicit 95-percent on-time delivery metric and a formal supplier scorecard process. We verified the filing loads and contains that clause. The comparison is directional, since that filing is not an apparel contract, but it supports treating the missing delivery standard in S3 as a real gap rather than an industry norm.</w:t>
      </w:r>
    </w:p>
    <w:p>
      <w:pPr>
        <w:pStyle w:val="Heading1"/>
        <w:spacing w:after="110" w:before="240"/>
      </w:pPr>
      <w:r>
        <w:rPr>
          <w:b/>
          <w:bCs/>
          <w:color w:val="1F3A5F"/>
          <w:sz w:val="28"/>
          <w:szCs w:val="28"/>
        </w:rPr>
        <w:t xml:space="preserve">4. Actionable Insights</w:t>
      </w:r>
    </w:p>
    <w:p>
      <w:pPr>
        <w:spacing w:after="100" w:line="266"/>
        <w:ind w:left="360" w:hanging="250"/>
        <w:jc w:val="both"/>
      </w:pPr>
      <w:r>
        <w:rPr>
          <w:sz w:val="22"/>
          <w:szCs w:val="22"/>
        </w:rPr>
        <w:t xml:space="preserve">1.  Re-plan Denver against roughly 15 October, not 3 October. Song Hong’s historical mean slip of 12 days puts realistic receipt in mid-October and its worst observed case near 22 October, so the floor-set and launch dates should be built against the projected date, not the promised one.</w:t>
      </w:r>
    </w:p>
    <w:p>
      <w:pPr>
        <w:spacing w:after="100" w:line="266"/>
        <w:ind w:left="360" w:hanging="250"/>
        <w:jc w:val="both"/>
      </w:pPr>
      <w:r>
        <w:rPr>
          <w:sz w:val="22"/>
          <w:szCs w:val="22"/>
        </w:rPr>
        <w:t xml:space="preserve">2.  Test SH-2291 against OPS-04 today and escalate if it fails. Once the required in-store date is confirmed the check is mechanical, and escalation is urgent because our only remedy expires at dispatch.</w:t>
      </w:r>
    </w:p>
    <w:p>
      <w:pPr>
        <w:spacing w:after="100" w:line="266"/>
        <w:ind w:left="360" w:hanging="250"/>
        <w:jc w:val="both"/>
      </w:pPr>
      <w:r>
        <w:rPr>
          <w:sz w:val="22"/>
          <w:szCs w:val="22"/>
        </w:rPr>
        <w:t xml:space="preserve">3.  Make the risk visible. Request the ex-factory date, container-load date, and booking reference now and log them as tracked milestones, since the section 6 cancellation right is worthless without warning before dispatch.</w:t>
      </w:r>
    </w:p>
    <w:p>
      <w:pPr>
        <w:spacing w:after="100" w:line="266"/>
        <w:ind w:left="360" w:hanging="250"/>
        <w:jc w:val="both"/>
      </w:pPr>
      <w:r>
        <w:rPr>
          <w:sz w:val="22"/>
          <w:szCs w:val="22"/>
        </w:rPr>
        <w:t xml:space="preserve">4.  Write the missing threshold into OPS-04. Define a documented late-delivery history quantitatively, for example any supplier below a set on-time percentage across its trailing orders, so the buffer fires automatically rather than by judgment. The shipment record already supplies the evidence.</w:t>
      </w:r>
    </w:p>
    <w:p>
      <w:pPr>
        <w:spacing w:after="100" w:line="266"/>
        <w:ind w:left="360" w:hanging="250"/>
        <w:jc w:val="both"/>
      </w:pPr>
      <w:r>
        <w:rPr>
          <w:sz w:val="22"/>
          <w:szCs w:val="22"/>
        </w:rPr>
        <w:t xml:space="preserve">5.  Raise the contract gaps at the sourcing level. A notice deadline, an on-time target, and any remedy surviving dispatch are renegotiation items, and consistent with the guardrail split in our Functional Brief they belong to company-wide sourcing and legal, not a local Operations rule.</w:t>
      </w:r>
    </w:p>
    <w:p>
      <w:pPr>
        <w:spacing w:after="120" w:line="274"/>
        <w:jc w:val="both"/>
      </w:pPr>
      <w:r>
        <w:rPr>
          <w:sz w:val="22"/>
          <w:szCs w:val="22"/>
        </w:rPr>
        <w:t xml:space="preserve">This whole analysis is a compliance check of one purchase order against one SOP and one contract, cross-referenced with historical performance. Doing it by hand for every launch order is exactly the work a shipment-risk model and a supplier reliability score were meant to absorb.</w:t>
      </w:r>
    </w:p>
    <w:p>
      <w:pPr>
        <w:pStyle w:val="Heading1"/>
        <w:spacing w:after="110" w:before="240"/>
      </w:pPr>
      <w:r>
        <w:rPr>
          <w:b/>
          <w:bCs/>
          <w:color w:val="1F3A5F"/>
          <w:sz w:val="28"/>
          <w:szCs w:val="28"/>
        </w:rPr>
        <w:t xml:space="preserve">Appendix: Prompts, Tools &amp; Verification</w:t>
      </w:r>
    </w:p>
    <w:p>
      <w:pPr>
        <w:pStyle w:val="Heading2"/>
        <w:spacing w:after="70" w:before="170"/>
      </w:pPr>
      <w:r>
        <w:rPr>
          <w:b/>
          <w:bCs/>
          <w:color w:val="1F3A5F"/>
          <w:sz w:val="24"/>
          <w:szCs w:val="24"/>
        </w:rPr>
        <w:t xml:space="preserve">A. Tools and Model Tiers</w:t>
      </w:r>
    </w:p>
    <w:p>
      <w:pPr>
        <w:spacing w:after="130" w:line="274"/>
        <w:jc w:val="both"/>
      </w:pPr>
      <w:r>
        <w:rPr>
          <w:sz w:val="22"/>
          <w:szCs w:val="22"/>
        </w:rPr>
        <w:t xml:space="preserve">Extraction, classification, and cross-source synthesis were performed with Claude Opus (Anthropic), used at its powerful reasoning tier rather than a fast tier, because the task required holding four sources in view at once and detecting conflicts between them rather than summarizing any one. The shipment dataset was analyzed with Python 3 and the pandas library, so every supplier statistic was computed exactly rather than estimated by a model. Verification was a second pass in which each claim was re-read against its source and every quantitative claim was re-checked against the dataset.</w:t>
      </w:r>
    </w:p>
    <w:p>
      <w:pPr>
        <w:pStyle w:val="Heading2"/>
        <w:spacing w:after="70" w:before="170"/>
      </w:pPr>
      <w:r>
        <w:rPr>
          <w:b/>
          <w:bCs/>
          <w:color w:val="1F3A5F"/>
          <w:sz w:val="24"/>
          <w:szCs w:val="24"/>
        </w:rPr>
        <w:t xml:space="preserve">B. Prompts and Iteration</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2050"/>
        <w:gridCol w:w="4350"/>
        <w:gridCol w:w="2960"/>
      </w:tblGrid>
      <w:tr>
        <w:trPr>
          <w:tblHeader/>
        </w:trPr>
        <w:tc>
          <w:tcPr>
            <w:tcW w:type="dxa" w:w="2050"/>
            <w:shd w:fill="1F3A5F" w:color="auto" w:val="clear"/>
            <w:tcMar>
              <w:top w:type="dxa" w:w="56"/>
              <w:left w:type="dxa" w:w="104"/>
              <w:bottom w:type="dxa" w:w="56"/>
              <w:right w:type="dxa" w:w="104"/>
            </w:tcMar>
          </w:tcPr>
          <w:p>
            <w:pPr>
              <w:spacing w:after="0" w:line="248"/>
            </w:pPr>
            <w:r>
              <w:rPr>
                <w:b/>
                <w:bCs/>
                <w:color w:val="FFFFFF"/>
                <w:sz w:val="20"/>
                <w:szCs w:val="20"/>
              </w:rPr>
              <w:t xml:space="preserve">Stage</w:t>
            </w:r>
          </w:p>
        </w:tc>
        <w:tc>
          <w:tcPr>
            <w:tcW w:type="dxa" w:w="4350"/>
            <w:shd w:fill="1F3A5F" w:color="auto" w:val="clear"/>
            <w:tcMar>
              <w:top w:type="dxa" w:w="56"/>
              <w:left w:type="dxa" w:w="104"/>
              <w:bottom w:type="dxa" w:w="56"/>
              <w:right w:type="dxa" w:w="104"/>
            </w:tcMar>
          </w:tcPr>
          <w:p>
            <w:pPr>
              <w:spacing w:after="0" w:line="248"/>
            </w:pPr>
            <w:r>
              <w:rPr>
                <w:b/>
                <w:bCs/>
                <w:color w:val="FFFFFF"/>
                <w:sz w:val="20"/>
                <w:szCs w:val="20"/>
              </w:rPr>
              <w:t xml:space="preserve">Prompt phrasing that worked</w:t>
            </w:r>
          </w:p>
        </w:tc>
        <w:tc>
          <w:tcPr>
            <w:tcW w:type="dxa" w:w="2960"/>
            <w:shd w:fill="1F3A5F" w:color="auto" w:val="clear"/>
            <w:tcMar>
              <w:top w:type="dxa" w:w="56"/>
              <w:left w:type="dxa" w:w="104"/>
              <w:bottom w:type="dxa" w:w="56"/>
              <w:right w:type="dxa" w:w="104"/>
            </w:tcMar>
          </w:tcPr>
          <w:p>
            <w:pPr>
              <w:spacing w:after="0" w:line="248"/>
            </w:pPr>
            <w:r>
              <w:rPr>
                <w:b/>
                <w:bCs/>
                <w:color w:val="FFFFFF"/>
                <w:sz w:val="20"/>
                <w:szCs w:val="20"/>
              </w:rPr>
              <w:t xml:space="preserve">What iteration changed</w:t>
            </w:r>
          </w:p>
        </w:tc>
      </w:tr>
      <w:tr>
        <w:tc>
          <w:tcPr>
            <w:tcW w:type="dxa" w:w="2050"/>
            <w:shd w:fill="E9EEF4" w:color="auto" w:val="clear"/>
            <w:tcMar>
              <w:top w:type="dxa" w:w="56"/>
              <w:left w:type="dxa" w:w="104"/>
              <w:bottom w:type="dxa" w:w="56"/>
              <w:right w:type="dxa" w:w="104"/>
            </w:tcMar>
          </w:tcPr>
          <w:p>
            <w:pPr>
              <w:spacing w:after="0" w:line="248"/>
            </w:pPr>
            <w:r>
              <w:rPr>
                <w:b/>
                <w:bCs/>
                <w:color w:val="000000"/>
                <w:sz w:val="20"/>
                <w:szCs w:val="20"/>
              </w:rPr>
              <w:t xml:space="preserve">Extraction</w:t>
            </w:r>
          </w:p>
        </w:tc>
        <w:tc>
          <w:tcPr>
            <w:tcW w:type="dxa" w:w="435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“Read only this document. Quote the exact phrase for every delivery, lead-time, and remedy term. For anything not stated, write ‘not in document.’”</w:t>
            </w:r>
          </w:p>
        </w:tc>
        <w:tc>
          <w:tcPr>
            <w:tcW w:type="dxa" w:w="29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A plain “summarize the contract terms” invented penalty and on-time clauses that §4–§9 do not contain. Requiring a quote per term removed the invented content.</w:t>
            </w:r>
          </w:p>
        </w:tc>
      </w:tr>
      <w:tr>
        <w:tc>
          <w:tcPr>
            <w:tcW w:type="dxa" w:w="2050"/>
            <w:tcMar>
              <w:top w:type="dxa" w:w="56"/>
              <w:left w:type="dxa" w:w="104"/>
              <w:bottom w:type="dxa" w:w="56"/>
              <w:right w:type="dxa" w:w="104"/>
            </w:tcMar>
          </w:tcPr>
          <w:p>
            <w:pPr>
              <w:spacing w:after="0" w:line="248"/>
            </w:pPr>
            <w:r>
              <w:rPr>
                <w:b/>
                <w:bCs/>
                <w:color w:val="000000"/>
                <w:sz w:val="20"/>
                <w:szCs w:val="20"/>
              </w:rPr>
              <w:t xml:space="preserve">Classification</w:t>
            </w:r>
          </w:p>
        </w:tc>
        <w:tc>
          <w:tcPr>
            <w:tcW w:type="dxa" w:w="4350"/>
            <w:tcMar>
              <w:top w:type="dxa" w:w="56"/>
              <w:left w:type="dxa" w:w="104"/>
              <w:bottom w:type="dxa" w:w="56"/>
              <w:right w:type="dxa" w:w="104"/>
            </w:tcMar>
          </w:tcPr>
          <w:p>
            <w:pPr>
              <w:spacing w:after="0" w:line="248"/>
            </w:pPr>
            <w:r>
              <w:rPr>
                <w:b w:val="false"/>
                <w:bCs w:val="false"/>
                <w:color w:val="000000"/>
                <w:sz w:val="20"/>
                <w:szCs w:val="20"/>
              </w:rPr>
              <w:t xml:space="preserve">“Classify each source by type, who authored it and in whose interest, and whether it is binding, internal, or advisory.”</w:t>
            </w:r>
          </w:p>
        </w:tc>
        <w:tc>
          <w:tcPr>
            <w:tcW w:type="dxa" w:w="2960"/>
            <w:tcMar>
              <w:top w:type="dxa" w:w="56"/>
              <w:left w:type="dxa" w:w="104"/>
              <w:bottom w:type="dxa" w:w="56"/>
              <w:right w:type="dxa" w:w="104"/>
            </w:tcMar>
          </w:tcPr>
          <w:p>
            <w:pPr>
              <w:spacing w:after="0" w:line="248"/>
            </w:pPr>
            <w:r>
              <w:rPr>
                <w:b w:val="false"/>
                <w:bCs w:val="false"/>
                <w:color w:val="000000"/>
                <w:sz w:val="20"/>
                <w:szCs w:val="20"/>
              </w:rPr>
              <w:t xml:space="preserve">Asking only for ‘type’ gave near-identical labels. The authorship and binding-force dimensions exposed that our only enforceable protection is internal.</w:t>
            </w:r>
          </w:p>
        </w:tc>
      </w:tr>
      <w:tr>
        <w:tc>
          <w:tcPr>
            <w:tcW w:type="dxa" w:w="2050"/>
            <w:shd w:fill="E9EEF4" w:color="auto" w:val="clear"/>
            <w:tcMar>
              <w:top w:type="dxa" w:w="56"/>
              <w:left w:type="dxa" w:w="104"/>
              <w:bottom w:type="dxa" w:w="56"/>
              <w:right w:type="dxa" w:w="104"/>
            </w:tcMar>
          </w:tcPr>
          <w:p>
            <w:pPr>
              <w:spacing w:after="0" w:line="248"/>
            </w:pPr>
            <w:r>
              <w:rPr>
                <w:b/>
                <w:bCs/>
                <w:color w:val="000000"/>
                <w:sz w:val="20"/>
                <w:szCs w:val="20"/>
              </w:rPr>
              <w:t xml:space="preserve">Synthesis</w:t>
            </w:r>
          </w:p>
        </w:tc>
        <w:tc>
          <w:tcPr>
            <w:tcW w:type="dxa" w:w="435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“Give one theme, one contradiction, and one gap per document, and quote the line that proves each.”</w:t>
            </w:r>
          </w:p>
        </w:tc>
        <w:tc>
          <w:tcPr>
            <w:tcW w:type="dxa" w:w="29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A general ‘compare these’ prompt returned surface agreement. Forcing a contradiction surfaced the §6/§7 remedy-window problem.</w:t>
            </w:r>
          </w:p>
        </w:tc>
      </w:tr>
      <w:tr>
        <w:tc>
          <w:tcPr>
            <w:tcW w:type="dxa" w:w="2050"/>
            <w:tcMar>
              <w:top w:type="dxa" w:w="56"/>
              <w:left w:type="dxa" w:w="104"/>
              <w:bottom w:type="dxa" w:w="56"/>
              <w:right w:type="dxa" w:w="104"/>
            </w:tcMar>
          </w:tcPr>
          <w:p>
            <w:pPr>
              <w:spacing w:after="0" w:line="248"/>
            </w:pPr>
            <w:r>
              <w:rPr>
                <w:b/>
                <w:bCs/>
                <w:color w:val="000000"/>
                <w:sz w:val="20"/>
                <w:szCs w:val="20"/>
              </w:rPr>
              <w:t xml:space="preserve">Verification</w:t>
            </w:r>
          </w:p>
        </w:tc>
        <w:tc>
          <w:tcPr>
            <w:tcW w:type="dxa" w:w="4350"/>
            <w:tcMar>
              <w:top w:type="dxa" w:w="56"/>
              <w:left w:type="dxa" w:w="104"/>
              <w:bottom w:type="dxa" w:w="56"/>
              <w:right w:type="dxa" w:w="104"/>
            </w:tcMar>
          </w:tcPr>
          <w:p>
            <w:pPr>
              <w:spacing w:after="0" w:line="248"/>
            </w:pPr>
            <w:r>
              <w:rPr>
                <w:b w:val="false"/>
                <w:bCs w:val="false"/>
                <w:color w:val="000000"/>
                <w:sz w:val="20"/>
                <w:szCs w:val="20"/>
              </w:rPr>
              <w:t xml:space="preserve">“Quote the supporting passage for each finding or mark it Unverified. Then re-read the middle and tell me what I missed.”</w:t>
            </w:r>
          </w:p>
        </w:tc>
        <w:tc>
          <w:tcPr>
            <w:tcW w:type="dxa" w:w="2960"/>
            <w:tcMar>
              <w:top w:type="dxa" w:w="56"/>
              <w:left w:type="dxa" w:w="104"/>
              <w:bottom w:type="dxa" w:w="56"/>
              <w:right w:type="dxa" w:w="104"/>
            </w:tcMar>
          </w:tcPr>
          <w:p>
            <w:pPr>
              <w:spacing w:after="0" w:line="248"/>
            </w:pPr>
            <w:r>
              <w:rPr>
                <w:b w:val="false"/>
                <w:bCs w:val="false"/>
                <w:color w:val="000000"/>
                <w:sz w:val="20"/>
                <w:szCs w:val="20"/>
              </w:rPr>
              <w:t xml:space="preserve">The middle-section instruction recovered §5 and §7, which the first pass skipped while over-weighting the opening and closing clauses.</w:t>
            </w:r>
          </w:p>
        </w:tc>
      </w:tr>
    </w:tbl>
    <w:p>
      <w:pPr>
        <w:spacing w:after="90"/>
      </w:pPr>
    </w:p>
    <w:p>
      <w:pPr>
        <w:spacing w:after="130" w:line="274"/>
        <w:jc w:val="both"/>
      </w:pPr>
      <w:r>
        <w:rPr>
          <w:sz w:val="22"/>
          <w:szCs w:val="22"/>
        </w:rPr>
        <w:t xml:space="preserve">The most useful phrasing across every stage was the instruction to write “not in document” rather than fill a gap. Consistent with Mollick’s point in “Thinking Like an AI,” the model produces the next plausible sentence rather than retrieving a fact: asked to summarize contract terms in general language, it supplied the penalty and on-time provisions a supply agreement usually contains instead of the ones section 6 actually lacks. The absence was the finding, and only a prompt that made absence a valid answer could surface it.</w:t>
      </w:r>
    </w:p>
    <w:p>
      <w:pPr>
        <w:pStyle w:val="Heading2"/>
        <w:spacing w:after="70" w:before="170"/>
      </w:pPr>
      <w:r>
        <w:rPr>
          <w:b/>
          <w:bCs/>
          <w:color w:val="1F3A5F"/>
          <w:sz w:val="24"/>
          <w:szCs w:val="24"/>
        </w:rPr>
        <w:t xml:space="preserve">C. Grounding and Verification</w:t>
      </w:r>
    </w:p>
    <w:p>
      <w:pPr>
        <w:spacing w:after="130" w:line="274"/>
        <w:jc w:val="both"/>
      </w:pPr>
      <w:r>
        <w:rPr>
          <w:sz w:val="22"/>
          <w:szCs w:val="22"/>
        </w:rPr>
        <w:t xml:space="preserve">Every material claim was traced to a passage in a named source, then re-checked in a second pass, with the shipment record used as an independent check on any claim about supplier behavior since it was produced by our own operations.</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3500"/>
        <w:gridCol w:w="3400"/>
        <w:gridCol w:w="1300"/>
        <w:gridCol w:w="1160"/>
      </w:tblGrid>
      <w:tr>
        <w:trPr>
          <w:tblHeader/>
        </w:trPr>
        <w:tc>
          <w:tcPr>
            <w:tcW w:type="dxa" w:w="3500"/>
            <w:shd w:fill="1F3A5F" w:color="auto" w:val="clear"/>
            <w:tcMar>
              <w:top w:type="dxa" w:w="56"/>
              <w:left w:type="dxa" w:w="104"/>
              <w:bottom w:type="dxa" w:w="56"/>
              <w:right w:type="dxa" w:w="104"/>
            </w:tcMar>
          </w:tcPr>
          <w:p>
            <w:pPr>
              <w:spacing w:after="0" w:line="248"/>
            </w:pPr>
            <w:r>
              <w:rPr>
                <w:b/>
                <w:bCs/>
                <w:color w:val="FFFFFF"/>
                <w:sz w:val="20"/>
                <w:szCs w:val="20"/>
              </w:rPr>
              <w:t xml:space="preserve">Claim</w:t>
            </w:r>
          </w:p>
        </w:tc>
        <w:tc>
          <w:tcPr>
            <w:tcW w:type="dxa" w:w="3400"/>
            <w:shd w:fill="1F3A5F" w:color="auto" w:val="clear"/>
            <w:tcMar>
              <w:top w:type="dxa" w:w="56"/>
              <w:left w:type="dxa" w:w="104"/>
              <w:bottom w:type="dxa" w:w="56"/>
              <w:right w:type="dxa" w:w="104"/>
            </w:tcMar>
          </w:tcPr>
          <w:p>
            <w:pPr>
              <w:spacing w:after="0" w:line="248"/>
            </w:pPr>
            <w:r>
              <w:rPr>
                <w:b/>
                <w:bCs/>
                <w:color w:val="FFFFFF"/>
                <w:sz w:val="20"/>
                <w:szCs w:val="20"/>
              </w:rPr>
              <w:t xml:space="preserve">Grounding passage</w:t>
            </w:r>
          </w:p>
        </w:tc>
        <w:tc>
          <w:tcPr>
            <w:tcW w:type="dxa" w:w="1300"/>
            <w:shd w:fill="1F3A5F" w:color="auto" w:val="clear"/>
            <w:tcMar>
              <w:top w:type="dxa" w:w="56"/>
              <w:left w:type="dxa" w:w="104"/>
              <w:bottom w:type="dxa" w:w="56"/>
              <w:right w:type="dxa" w:w="104"/>
            </w:tcMar>
          </w:tcPr>
          <w:p>
            <w:pPr>
              <w:spacing w:after="0" w:line="248"/>
            </w:pPr>
            <w:r>
              <w:rPr>
                <w:b/>
                <w:bCs/>
                <w:color w:val="FFFFFF"/>
                <w:sz w:val="20"/>
                <w:szCs w:val="20"/>
              </w:rPr>
              <w:t xml:space="preserve">Source</w:t>
            </w:r>
          </w:p>
        </w:tc>
        <w:tc>
          <w:tcPr>
            <w:tcW w:type="dxa" w:w="1160"/>
            <w:shd w:fill="1F3A5F" w:color="auto" w:val="clear"/>
            <w:tcMar>
              <w:top w:type="dxa" w:w="56"/>
              <w:left w:type="dxa" w:w="104"/>
              <w:bottom w:type="dxa" w:w="56"/>
              <w:right w:type="dxa" w:w="104"/>
            </w:tcMar>
          </w:tcPr>
          <w:p>
            <w:pPr>
              <w:spacing w:after="0" w:line="248"/>
            </w:pPr>
            <w:r>
              <w:rPr>
                <w:b/>
                <w:bCs/>
                <w:color w:val="FFFFFF"/>
                <w:sz w:val="20"/>
                <w:szCs w:val="20"/>
              </w:rPr>
              <w:t xml:space="preserve">Status</w:t>
            </w:r>
          </w:p>
        </w:tc>
      </w:tr>
      <w:tr>
        <w:tc>
          <w:tcPr>
            <w:tcW w:type="dxa" w:w="3500"/>
            <w:shd w:fill="E9EEF4" w:color="auto" w:val="clear"/>
            <w:tcMar>
              <w:top w:type="dxa" w:w="56"/>
              <w:left w:type="dxa" w:w="104"/>
              <w:bottom w:type="dxa" w:w="56"/>
              <w:right w:type="dxa" w:w="104"/>
            </w:tcMar>
          </w:tcPr>
          <w:p>
            <w:pPr>
              <w:spacing w:after="0" w:line="248"/>
            </w:pPr>
            <w:r>
              <w:rPr>
                <w:b/>
                <w:bCs/>
                <w:color w:val="000000"/>
                <w:sz w:val="20"/>
                <w:szCs w:val="20"/>
              </w:rPr>
              <w:t xml:space="preserve">Supplier gave an unqualified assurance for 3 Oct.</w:t>
            </w:r>
          </w:p>
        </w:tc>
        <w:tc>
          <w:tcPr>
            <w:tcW w:type="dxa" w:w="34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“does not anticipate any issues meeting the October 3 date”</w:t>
            </w:r>
          </w:p>
        </w:tc>
        <w:tc>
          <w:tcPr>
            <w:tcW w:type="dxa" w:w="13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S1</w:t>
            </w:r>
          </w:p>
        </w:tc>
        <w:tc>
          <w:tcPr>
            <w:tcW w:type="dxa" w:w="11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Verified</w:t>
            </w:r>
          </w:p>
        </w:tc>
      </w:tr>
      <w:tr>
        <w:tc>
          <w:tcPr>
            <w:tcW w:type="dxa" w:w="3500"/>
            <w:tcMar>
              <w:top w:type="dxa" w:w="56"/>
              <w:left w:type="dxa" w:w="104"/>
              <w:bottom w:type="dxa" w:w="56"/>
              <w:right w:type="dxa" w:w="104"/>
            </w:tcMar>
          </w:tcPr>
          <w:p>
            <w:pPr>
              <w:spacing w:after="0" w:line="248"/>
            </w:pPr>
            <w:r>
              <w:rPr>
                <w:b/>
                <w:bCs/>
                <w:color w:val="000000"/>
                <w:sz w:val="20"/>
                <w:szCs w:val="20"/>
              </w:rPr>
              <w:t xml:space="preserve">The contract makes that date unenforceable.</w:t>
            </w:r>
          </w:p>
        </w:tc>
        <w:tc>
          <w:tcPr>
            <w:tcW w:type="dxa" w:w="3400"/>
            <w:tcMar>
              <w:top w:type="dxa" w:w="56"/>
              <w:left w:type="dxa" w:w="104"/>
              <w:bottom w:type="dxa" w:w="56"/>
              <w:right w:type="dxa" w:w="104"/>
            </w:tcMar>
          </w:tcPr>
          <w:p>
            <w:pPr>
              <w:spacing w:after="0" w:line="248"/>
            </w:pPr>
            <w:r>
              <w:rPr>
                <w:b w:val="false"/>
                <w:bCs w:val="false"/>
                <w:color w:val="000000"/>
                <w:sz w:val="20"/>
                <w:szCs w:val="20"/>
              </w:rPr>
              <w:t xml:space="preserve">“good-faith estimates and are not guarantees”</w:t>
            </w:r>
          </w:p>
        </w:tc>
        <w:tc>
          <w:tcPr>
            <w:tcW w:type="dxa" w:w="1300"/>
            <w:tcMar>
              <w:top w:type="dxa" w:w="56"/>
              <w:left w:type="dxa" w:w="104"/>
              <w:bottom w:type="dxa" w:w="56"/>
              <w:right w:type="dxa" w:w="104"/>
            </w:tcMar>
          </w:tcPr>
          <w:p>
            <w:pPr>
              <w:spacing w:after="0" w:line="248"/>
            </w:pPr>
            <w:r>
              <w:rPr>
                <w:b w:val="false"/>
                <w:bCs w:val="false"/>
                <w:color w:val="000000"/>
                <w:sz w:val="20"/>
                <w:szCs w:val="20"/>
              </w:rPr>
              <w:t xml:space="preserve">S3 §4</w:t>
            </w:r>
          </w:p>
        </w:tc>
        <w:tc>
          <w:tcPr>
            <w:tcW w:type="dxa" w:w="1160"/>
            <w:tcMar>
              <w:top w:type="dxa" w:w="56"/>
              <w:left w:type="dxa" w:w="104"/>
              <w:bottom w:type="dxa" w:w="56"/>
              <w:right w:type="dxa" w:w="104"/>
            </w:tcMar>
          </w:tcPr>
          <w:p>
            <w:pPr>
              <w:spacing w:after="0" w:line="248"/>
            </w:pPr>
            <w:r>
              <w:rPr>
                <w:b w:val="false"/>
                <w:bCs w:val="false"/>
                <w:color w:val="000000"/>
                <w:sz w:val="20"/>
                <w:szCs w:val="20"/>
              </w:rPr>
              <w:t xml:space="preserve">Verified</w:t>
            </w:r>
          </w:p>
        </w:tc>
      </w:tr>
      <w:tr>
        <w:tc>
          <w:tcPr>
            <w:tcW w:type="dxa" w:w="3500"/>
            <w:shd w:fill="E9EEF4" w:color="auto" w:val="clear"/>
            <w:tcMar>
              <w:top w:type="dxa" w:w="56"/>
              <w:left w:type="dxa" w:w="104"/>
              <w:bottom w:type="dxa" w:w="56"/>
              <w:right w:type="dxa" w:w="104"/>
            </w:tcMar>
          </w:tcPr>
          <w:p>
            <w:pPr>
              <w:spacing w:after="0" w:line="248"/>
            </w:pPr>
            <w:r>
              <w:rPr>
                <w:b/>
                <w:bCs/>
                <w:color w:val="000000"/>
                <w:sz w:val="20"/>
                <w:szCs w:val="20"/>
              </w:rPr>
              <w:t xml:space="preserve">No penalty exists for a late shipment.</w:t>
            </w:r>
          </w:p>
        </w:tc>
        <w:tc>
          <w:tcPr>
            <w:tcW w:type="dxa" w:w="34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“no liquidated damages, price reduction, or penalty”</w:t>
            </w:r>
          </w:p>
        </w:tc>
        <w:tc>
          <w:tcPr>
            <w:tcW w:type="dxa" w:w="13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S3 §6</w:t>
            </w:r>
          </w:p>
        </w:tc>
        <w:tc>
          <w:tcPr>
            <w:tcW w:type="dxa" w:w="11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Verified</w:t>
            </w:r>
          </w:p>
        </w:tc>
      </w:tr>
      <w:tr>
        <w:tc>
          <w:tcPr>
            <w:tcW w:type="dxa" w:w="3500"/>
            <w:tcMar>
              <w:top w:type="dxa" w:w="56"/>
              <w:left w:type="dxa" w:w="104"/>
              <w:bottom w:type="dxa" w:w="56"/>
              <w:right w:type="dxa" w:w="104"/>
            </w:tcMar>
          </w:tcPr>
          <w:p>
            <w:pPr>
              <w:spacing w:after="0" w:line="248"/>
            </w:pPr>
            <w:r>
              <w:rPr>
                <w:b/>
                <w:bCs/>
                <w:color w:val="000000"/>
                <w:sz w:val="20"/>
                <w:szCs w:val="20"/>
              </w:rPr>
              <w:t xml:space="preserve">Buffer is mandatory for late suppliers.</w:t>
            </w:r>
          </w:p>
        </w:tc>
        <w:tc>
          <w:tcPr>
            <w:tcW w:type="dxa" w:w="3400"/>
            <w:tcMar>
              <w:top w:type="dxa" w:w="56"/>
              <w:left w:type="dxa" w:w="104"/>
              <w:bottom w:type="dxa" w:w="56"/>
              <w:right w:type="dxa" w:w="104"/>
            </w:tcMar>
          </w:tcPr>
          <w:p>
            <w:pPr>
              <w:spacing w:after="0" w:line="248"/>
            </w:pPr>
            <w:r>
              <w:rPr>
                <w:b w:val="false"/>
                <w:bCs w:val="false"/>
                <w:color w:val="000000"/>
                <w:sz w:val="20"/>
                <w:szCs w:val="20"/>
              </w:rPr>
              <w:t xml:space="preserve">“minimum two-week buffer into the order-by date”</w:t>
            </w:r>
          </w:p>
        </w:tc>
        <w:tc>
          <w:tcPr>
            <w:tcW w:type="dxa" w:w="1300"/>
            <w:tcMar>
              <w:top w:type="dxa" w:w="56"/>
              <w:left w:type="dxa" w:w="104"/>
              <w:bottom w:type="dxa" w:w="56"/>
              <w:right w:type="dxa" w:w="104"/>
            </w:tcMar>
          </w:tcPr>
          <w:p>
            <w:pPr>
              <w:spacing w:after="0" w:line="248"/>
            </w:pPr>
            <w:r>
              <w:rPr>
                <w:b w:val="false"/>
                <w:bCs w:val="false"/>
                <w:color w:val="000000"/>
                <w:sz w:val="20"/>
                <w:szCs w:val="20"/>
              </w:rPr>
              <w:t xml:space="preserve">S2</w:t>
            </w:r>
          </w:p>
        </w:tc>
        <w:tc>
          <w:tcPr>
            <w:tcW w:type="dxa" w:w="1160"/>
            <w:tcMar>
              <w:top w:type="dxa" w:w="56"/>
              <w:left w:type="dxa" w:w="104"/>
              <w:bottom w:type="dxa" w:w="56"/>
              <w:right w:type="dxa" w:w="104"/>
            </w:tcMar>
          </w:tcPr>
          <w:p>
            <w:pPr>
              <w:spacing w:after="0" w:line="248"/>
            </w:pPr>
            <w:r>
              <w:rPr>
                <w:b w:val="false"/>
                <w:bCs w:val="false"/>
                <w:color w:val="000000"/>
                <w:sz w:val="20"/>
                <w:szCs w:val="20"/>
              </w:rPr>
              <w:t xml:space="preserve">Verified</w:t>
            </w:r>
          </w:p>
        </w:tc>
      </w:tr>
      <w:tr>
        <w:tc>
          <w:tcPr>
            <w:tcW w:type="dxa" w:w="3500"/>
            <w:shd w:fill="E9EEF4" w:color="auto" w:val="clear"/>
            <w:tcMar>
              <w:top w:type="dxa" w:w="56"/>
              <w:left w:type="dxa" w:w="104"/>
              <w:bottom w:type="dxa" w:w="56"/>
              <w:right w:type="dxa" w:w="104"/>
            </w:tcMar>
          </w:tcPr>
          <w:p>
            <w:pPr>
              <w:spacing w:after="0" w:line="248"/>
            </w:pPr>
            <w:r>
              <w:rPr>
                <w:b/>
                <w:bCs/>
                <w:color w:val="000000"/>
                <w:sz w:val="20"/>
                <w:szCs w:val="20"/>
              </w:rPr>
              <w:t xml:space="preserve">Song Hong has a late-delivery history.</w:t>
            </w:r>
          </w:p>
        </w:tc>
        <w:tc>
          <w:tcPr>
            <w:tcW w:type="dxa" w:w="34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0% on-time across 24 received orders, mean 12.1 days</w:t>
            </w:r>
          </w:p>
        </w:tc>
        <w:tc>
          <w:tcPr>
            <w:tcW w:type="dxa" w:w="13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S4</w:t>
            </w:r>
          </w:p>
        </w:tc>
        <w:tc>
          <w:tcPr>
            <w:tcW w:type="dxa" w:w="11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Verified</w:t>
            </w:r>
          </w:p>
        </w:tc>
      </w:tr>
      <w:tr>
        <w:tc>
          <w:tcPr>
            <w:tcW w:type="dxa" w:w="3500"/>
            <w:tcMar>
              <w:top w:type="dxa" w:w="56"/>
              <w:left w:type="dxa" w:w="104"/>
              <w:bottom w:type="dxa" w:w="56"/>
              <w:right w:type="dxa" w:w="104"/>
            </w:tcMar>
          </w:tcPr>
          <w:p>
            <w:pPr>
              <w:spacing w:after="0" w:line="248"/>
            </w:pPr>
            <w:r>
              <w:rPr>
                <w:b/>
                <w:bCs/>
                <w:color w:val="000000"/>
                <w:sz w:val="20"/>
                <w:szCs w:val="20"/>
              </w:rPr>
              <w:t xml:space="preserve">Projected receipt near 15 Oct.</w:t>
            </w:r>
          </w:p>
        </w:tc>
        <w:tc>
          <w:tcPr>
            <w:tcW w:type="dxa" w:w="3400"/>
            <w:tcMar>
              <w:top w:type="dxa" w:w="56"/>
              <w:left w:type="dxa" w:w="104"/>
              <w:bottom w:type="dxa" w:w="56"/>
              <w:right w:type="dxa" w:w="104"/>
            </w:tcMar>
          </w:tcPr>
          <w:p>
            <w:pPr>
              <w:spacing w:after="0" w:line="248"/>
            </w:pPr>
            <w:r>
              <w:rPr>
                <w:b w:val="false"/>
                <w:bCs w:val="false"/>
                <w:color w:val="000000"/>
                <w:sz w:val="20"/>
                <w:szCs w:val="20"/>
              </w:rPr>
              <w:t xml:space="preserve">3 Oct promise plus 12.1-day historical mean</w:t>
            </w:r>
          </w:p>
        </w:tc>
        <w:tc>
          <w:tcPr>
            <w:tcW w:type="dxa" w:w="1300"/>
            <w:tcMar>
              <w:top w:type="dxa" w:w="56"/>
              <w:left w:type="dxa" w:w="104"/>
              <w:bottom w:type="dxa" w:w="56"/>
              <w:right w:type="dxa" w:w="104"/>
            </w:tcMar>
          </w:tcPr>
          <w:p>
            <w:pPr>
              <w:spacing w:after="0" w:line="248"/>
            </w:pPr>
            <w:r>
              <w:rPr>
                <w:b w:val="false"/>
                <w:bCs w:val="false"/>
                <w:color w:val="000000"/>
                <w:sz w:val="20"/>
                <w:szCs w:val="20"/>
              </w:rPr>
              <w:t xml:space="preserve">S1+S4</w:t>
            </w:r>
          </w:p>
        </w:tc>
        <w:tc>
          <w:tcPr>
            <w:tcW w:type="dxa" w:w="1160"/>
            <w:tcMar>
              <w:top w:type="dxa" w:w="56"/>
              <w:left w:type="dxa" w:w="104"/>
              <w:bottom w:type="dxa" w:w="56"/>
              <w:right w:type="dxa" w:w="104"/>
            </w:tcMar>
          </w:tcPr>
          <w:p>
            <w:pPr>
              <w:spacing w:after="0" w:line="248"/>
            </w:pPr>
            <w:r>
              <w:rPr>
                <w:b w:val="false"/>
                <w:bCs w:val="false"/>
                <w:color w:val="000000"/>
                <w:sz w:val="20"/>
                <w:szCs w:val="20"/>
              </w:rPr>
              <w:t xml:space="preserve">Inference</w:t>
            </w:r>
          </w:p>
        </w:tc>
      </w:tr>
      <w:tr>
        <w:tc>
          <w:tcPr>
            <w:tcW w:type="dxa" w:w="3500"/>
            <w:shd w:fill="E9EEF4" w:color="auto" w:val="clear"/>
            <w:tcMar>
              <w:top w:type="dxa" w:w="56"/>
              <w:left w:type="dxa" w:w="104"/>
              <w:bottom w:type="dxa" w:w="56"/>
              <w:right w:type="dxa" w:w="104"/>
            </w:tcMar>
          </w:tcPr>
          <w:p>
            <w:pPr>
              <w:spacing w:after="0" w:line="248"/>
            </w:pPr>
            <w:r>
              <w:rPr>
                <w:b/>
                <w:bCs/>
                <w:color w:val="000000"/>
                <w:sz w:val="20"/>
                <w:szCs w:val="20"/>
              </w:rPr>
              <w:t xml:space="preserve">Denver required in-store date.</w:t>
            </w:r>
          </w:p>
        </w:tc>
        <w:tc>
          <w:tcPr>
            <w:tcW w:type="dxa" w:w="34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No passage located in S1, S2, or S3</w:t>
            </w:r>
          </w:p>
        </w:tc>
        <w:tc>
          <w:tcPr>
            <w:tcW w:type="dxa" w:w="130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n/a</w:t>
            </w:r>
          </w:p>
        </w:tc>
        <w:tc>
          <w:tcPr>
            <w:tcW w:type="dxa" w:w="1160"/>
            <w:shd w:fill="E9EEF4" w:color="auto" w:val="clear"/>
            <w:tcMar>
              <w:top w:type="dxa" w:w="56"/>
              <w:left w:type="dxa" w:w="104"/>
              <w:bottom w:type="dxa" w:w="56"/>
              <w:right w:type="dxa" w:w="104"/>
            </w:tcMar>
          </w:tcPr>
          <w:p>
            <w:pPr>
              <w:spacing w:after="0" w:line="248"/>
            </w:pPr>
            <w:r>
              <w:rPr>
                <w:b w:val="false"/>
                <w:bCs w:val="false"/>
                <w:color w:val="000000"/>
                <w:sz w:val="20"/>
                <w:szCs w:val="20"/>
              </w:rPr>
              <w:t xml:space="preserve">Unverified</w:t>
            </w:r>
          </w:p>
        </w:tc>
      </w:tr>
      <w:tr>
        <w:tc>
          <w:tcPr>
            <w:tcW w:type="dxa" w:w="3500"/>
            <w:tcMar>
              <w:top w:type="dxa" w:w="56"/>
              <w:left w:type="dxa" w:w="104"/>
              <w:bottom w:type="dxa" w:w="56"/>
              <w:right w:type="dxa" w:w="104"/>
            </w:tcMar>
          </w:tcPr>
          <w:p>
            <w:pPr>
              <w:spacing w:after="0" w:line="248"/>
            </w:pPr>
            <w:r>
              <w:rPr>
                <w:b/>
                <w:bCs/>
                <w:color w:val="000000"/>
                <w:sz w:val="20"/>
                <w:szCs w:val="20"/>
              </w:rPr>
              <w:t xml:space="preserve">Container load date scheduled.</w:t>
            </w:r>
          </w:p>
        </w:tc>
        <w:tc>
          <w:tcPr>
            <w:tcW w:type="dxa" w:w="3400"/>
            <w:tcMar>
              <w:top w:type="dxa" w:w="56"/>
              <w:left w:type="dxa" w:w="104"/>
              <w:bottom w:type="dxa" w:w="56"/>
              <w:right w:type="dxa" w:w="104"/>
            </w:tcMar>
          </w:tcPr>
          <w:p>
            <w:pPr>
              <w:spacing w:after="0" w:line="248"/>
            </w:pPr>
            <w:r>
              <w:rPr>
                <w:b w:val="false"/>
                <w:bCs w:val="false"/>
                <w:color w:val="000000"/>
                <w:sz w:val="20"/>
                <w:szCs w:val="20"/>
              </w:rPr>
              <w:t xml:space="preserve">No passage; tracking deferred “once the vessel is confirmed”</w:t>
            </w:r>
          </w:p>
        </w:tc>
        <w:tc>
          <w:tcPr>
            <w:tcW w:type="dxa" w:w="1300"/>
            <w:tcMar>
              <w:top w:type="dxa" w:w="56"/>
              <w:left w:type="dxa" w:w="104"/>
              <w:bottom w:type="dxa" w:w="56"/>
              <w:right w:type="dxa" w:w="104"/>
            </w:tcMar>
          </w:tcPr>
          <w:p>
            <w:pPr>
              <w:spacing w:after="0" w:line="248"/>
            </w:pPr>
            <w:r>
              <w:rPr>
                <w:b w:val="false"/>
                <w:bCs w:val="false"/>
                <w:color w:val="000000"/>
                <w:sz w:val="20"/>
                <w:szCs w:val="20"/>
              </w:rPr>
              <w:t xml:space="preserve">S1</w:t>
            </w:r>
          </w:p>
        </w:tc>
        <w:tc>
          <w:tcPr>
            <w:tcW w:type="dxa" w:w="1160"/>
            <w:tcMar>
              <w:top w:type="dxa" w:w="56"/>
              <w:left w:type="dxa" w:w="104"/>
              <w:bottom w:type="dxa" w:w="56"/>
              <w:right w:type="dxa" w:w="104"/>
            </w:tcMar>
          </w:tcPr>
          <w:p>
            <w:pPr>
              <w:spacing w:after="0" w:line="248"/>
            </w:pPr>
            <w:r>
              <w:rPr>
                <w:b w:val="false"/>
                <w:bCs w:val="false"/>
                <w:color w:val="000000"/>
                <w:sz w:val="20"/>
                <w:szCs w:val="20"/>
              </w:rPr>
              <w:t xml:space="preserve">Unverified</w:t>
            </w:r>
          </w:p>
        </w:tc>
      </w:tr>
    </w:tbl>
    <w:p>
      <w:pPr>
        <w:spacing w:after="90"/>
      </w:pPr>
    </w:p>
    <w:p>
      <w:pPr>
        <w:spacing w:after="130" w:line="274"/>
        <w:jc w:val="both"/>
      </w:pPr>
      <w:r>
        <w:rPr>
          <w:sz w:val="22"/>
          <w:szCs w:val="22"/>
        </w:rPr>
        <w:t xml:space="preserve">Two items are flagged Unverified and were left unresolved rather than estimated: the Denver required in-store date appears nowhere in the set, and the container load date does not exist yet. One item is flagged as an inference, the projected 15 October receipt, and is labeled that way wherever it appears. The second pass also corrected a real omission, since the first reading of S3 under-weighted sections 5 and 7, the middle-of-document failure mode the readings warn about, and those sections held the remedy-window problem that became central to the brief.</w:t>
      </w:r>
    </w:p>
    <w:p>
      <w:pPr>
        <w:pStyle w:val="Heading2"/>
        <w:spacing w:after="70" w:before="170"/>
      </w:pPr>
      <w:r>
        <w:rPr>
          <w:b/>
          <w:bCs/>
          <w:color w:val="1F3A5F"/>
          <w:sz w:val="24"/>
          <w:szCs w:val="24"/>
        </w:rPr>
        <w:t xml:space="preserve">D. Data Governance Consideration</w:t>
      </w:r>
    </w:p>
    <w:p>
      <w:pPr>
        <w:spacing w:after="130" w:line="274"/>
        <w:jc w:val="both"/>
      </w:pPr>
      <w:r>
        <w:rPr>
          <w:sz w:val="22"/>
          <w:szCs w:val="22"/>
        </w:rPr>
        <w:t xml:space="preserve">Source S3 is a signed supplier agreement and S1 contains unit-level supplier pricing, so neither should be pasted into a consumer AI tool. Consistent with the split in our Functional Brief, this is a company-wide executive guardrail rather than a local rule, because the exposure is identical whichever store or function does the pasting. The rule we would write is that executed contracts and supplier pricing may be processed only in a company-approved enterprise AI environment covered by a data processing agreement, and that any use of a public tool on supplier material requires redacting counterparty names, unit costs, and totals first. The narrower local rule beneath it is that Operations may use AI freely on our own shipment performance data, which carries no counterparty pricing and is the basis for our reliability scoring.</w:t>
      </w:r>
    </w:p>
    <w:p>
      <w:pPr>
        <w:pStyle w:val="Heading1"/>
        <w:spacing w:after="110" w:before="240"/>
      </w:pPr>
      <w:r>
        <w:rPr>
          <w:b/>
          <w:bCs/>
          <w:color w:val="1F3A5F"/>
          <w:sz w:val="28"/>
          <w:szCs w:val="28"/>
        </w:rPr>
        <w:t xml:space="preserve">References</w:t>
      </w:r>
    </w:p>
    <w:p>
      <w:pPr>
        <w:spacing w:after="100" w:line="262"/>
        <w:ind w:left="360" w:hanging="360"/>
      </w:pPr>
      <w:r>
        <w:rPr>
          <w:sz w:val="20"/>
          <w:szCs w:val="20"/>
        </w:rPr>
        <w:t xml:space="preserve">Mollick, E. (2025). Thinking like an AI. One Useful Thing.</w:t>
      </w:r>
    </w:p>
    <w:p>
      <w:pPr>
        <w:spacing w:after="100" w:line="262"/>
        <w:ind w:left="360" w:hanging="360"/>
      </w:pPr>
      <w:r>
        <w:rPr>
          <w:sz w:val="20"/>
          <w:szCs w:val="20"/>
        </w:rPr>
        <w:t xml:space="preserve">OpenAI. (2025). Introducing Deep Research.</w:t>
      </w:r>
    </w:p>
    <w:p>
      <w:pPr>
        <w:spacing w:after="100" w:line="262"/>
        <w:ind w:left="360" w:hanging="360"/>
      </w:pPr>
      <w:r>
        <w:rPr>
          <w:sz w:val="20"/>
          <w:szCs w:val="20"/>
        </w:rPr>
        <w:t xml:space="preserve">U.S. Securities and Exchange Commission. Supply and Purchase Agreement, EDGAR filing (Exhibit 10.25). https://www.sec.gov/Archives/edgar/data/1381272/000119312506261688/dex1025.htm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GreenThreads Operations: Document Intelligence Synthesis Brief</dc:title>
  <dc:creator>GreenThreads Operations Team</dc:creator>
  <cp:lastModifiedBy>Un-named</cp:lastModifiedBy>
  <cp:revision>1</cp:revision>
  <dcterms:created xsi:type="dcterms:W3CDTF">2026-07-30T19:15:28.582Z</dcterms:created>
  <dcterms:modified xsi:type="dcterms:W3CDTF">2026-07-30T19:15:28.582Z</dcterms:modified>
</cp:coreProperties>
</file>

<file path=docProps/custom.xml><?xml version="1.0" encoding="utf-8"?>
<Properties xmlns="http://schemas.openxmlformats.org/officeDocument/2006/custom-properties" xmlns:vt="http://schemas.openxmlformats.org/officeDocument/2006/docPropsVTypes"/>
</file>