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6FAC" w14:textId="5E03A385" w:rsidR="000535C0" w:rsidRPr="004F71E1" w:rsidRDefault="00DB48C3" w:rsidP="000535C0">
      <w:pPr>
        <w:pStyle w:val="Titre4"/>
        <w:rPr>
          <w:rStyle w:val="Rfrenceintense"/>
          <w:bCs/>
          <w:smallCaps w:val="0"/>
          <w:spacing w:val="0"/>
        </w:rPr>
      </w:pPr>
      <w:r>
        <w:t>Gouvernance Normes et Standards</w:t>
      </w:r>
    </w:p>
    <w:p w14:paraId="00C0FDF8" w14:textId="3BBA41D6" w:rsidR="000535C0" w:rsidRDefault="000535C0" w:rsidP="000535C0">
      <w:pPr>
        <w:rPr>
          <w:rStyle w:val="Rfrencelgre"/>
        </w:rPr>
      </w:pPr>
      <w:r>
        <w:rPr>
          <w:rStyle w:val="Rfrencelgre"/>
        </w:rPr>
        <w:t xml:space="preserve">Nombre de crédits ECTS : </w:t>
      </w:r>
    </w:p>
    <w:p w14:paraId="06DBB677" w14:textId="0D457A26" w:rsidR="000535C0" w:rsidRDefault="000535C0" w:rsidP="000535C0">
      <w:pPr>
        <w:rPr>
          <w:smallCaps/>
          <w:color w:val="5A5A5A" w:themeColor="text1" w:themeTint="A5"/>
        </w:rPr>
      </w:pPr>
      <w:r w:rsidRPr="00DB07DC">
        <w:rPr>
          <w:rStyle w:val="Rfrencelgre"/>
        </w:rPr>
        <w:t>Nombre d’heures</w:t>
      </w:r>
      <w:r>
        <w:rPr>
          <w:rStyle w:val="Rfrencelgre"/>
        </w:rPr>
        <w:t xml:space="preserve"> dispensées</w:t>
      </w:r>
      <w:r w:rsidR="00350A58">
        <w:rPr>
          <w:rStyle w:val="Rfrencelgre"/>
        </w:rPr>
        <w:t xml:space="preserve"> </w:t>
      </w:r>
      <w:r w:rsidRPr="00DB07DC">
        <w:rPr>
          <w:rStyle w:val="Rfrencelgre"/>
        </w:rPr>
        <w:t xml:space="preserve">: </w:t>
      </w:r>
    </w:p>
    <w:tbl>
      <w:tblPr>
        <w:tblStyle w:val="Grilledutableau"/>
        <w:tblW w:w="0" w:type="auto"/>
        <w:tblLook w:val="04A0" w:firstRow="1" w:lastRow="0" w:firstColumn="1" w:lastColumn="0" w:noHBand="0" w:noVBand="1"/>
      </w:tblPr>
      <w:tblGrid>
        <w:gridCol w:w="2265"/>
        <w:gridCol w:w="2265"/>
        <w:gridCol w:w="2266"/>
        <w:gridCol w:w="2266"/>
      </w:tblGrid>
      <w:tr w:rsidR="000535C0" w14:paraId="5B1EB376" w14:textId="77777777" w:rsidTr="008F0A10">
        <w:tc>
          <w:tcPr>
            <w:tcW w:w="2265" w:type="dxa"/>
          </w:tcPr>
          <w:p w14:paraId="35F39C85" w14:textId="4C125EDF" w:rsidR="000535C0" w:rsidRDefault="00350A58" w:rsidP="008F0A10">
            <w:pPr>
              <w:rPr>
                <w:rStyle w:val="Rfrencelgre"/>
              </w:rPr>
            </w:pPr>
            <w:r>
              <w:rPr>
                <w:rStyle w:val="Rfrencelgre"/>
              </w:rPr>
              <w:t>cours magistraux</w:t>
            </w:r>
          </w:p>
        </w:tc>
        <w:tc>
          <w:tcPr>
            <w:tcW w:w="2265" w:type="dxa"/>
          </w:tcPr>
          <w:p w14:paraId="5DC85C84" w14:textId="4821D99F" w:rsidR="000535C0" w:rsidRDefault="00350A58" w:rsidP="008F0A10">
            <w:pPr>
              <w:rPr>
                <w:rStyle w:val="Rfrencelgre"/>
              </w:rPr>
            </w:pPr>
            <w:r>
              <w:rPr>
                <w:rStyle w:val="Rfrencelgre"/>
              </w:rPr>
              <w:t>travaux dirigés</w:t>
            </w:r>
          </w:p>
        </w:tc>
        <w:tc>
          <w:tcPr>
            <w:tcW w:w="2266" w:type="dxa"/>
          </w:tcPr>
          <w:p w14:paraId="6A920CF7" w14:textId="703D9BFE" w:rsidR="000535C0" w:rsidRDefault="00350A58" w:rsidP="008F0A10">
            <w:pPr>
              <w:rPr>
                <w:rStyle w:val="Rfrencelgre"/>
              </w:rPr>
            </w:pPr>
            <w:r>
              <w:rPr>
                <w:rStyle w:val="Rfrencelgre"/>
              </w:rPr>
              <w:t>travaux pratiques</w:t>
            </w:r>
          </w:p>
        </w:tc>
        <w:tc>
          <w:tcPr>
            <w:tcW w:w="2266" w:type="dxa"/>
          </w:tcPr>
          <w:p w14:paraId="000857D8" w14:textId="51BCDE5C" w:rsidR="000535C0" w:rsidRDefault="00350A58" w:rsidP="008F0A10">
            <w:pPr>
              <w:rPr>
                <w:rStyle w:val="Rfrencelgre"/>
              </w:rPr>
            </w:pPr>
            <w:r>
              <w:rPr>
                <w:rStyle w:val="Rfrencelgre"/>
              </w:rPr>
              <w:t>projets</w:t>
            </w:r>
          </w:p>
        </w:tc>
      </w:tr>
      <w:tr w:rsidR="00051D1C" w:rsidRPr="00051D1C" w14:paraId="31418ACF" w14:textId="77777777" w:rsidTr="008F0A10">
        <w:tc>
          <w:tcPr>
            <w:tcW w:w="2265" w:type="dxa"/>
          </w:tcPr>
          <w:p w14:paraId="43D7A656" w14:textId="508E63AA" w:rsidR="000535C0" w:rsidRPr="00051D1C" w:rsidRDefault="00DC6834" w:rsidP="008F0A10">
            <w:pPr>
              <w:jc w:val="right"/>
              <w:rPr>
                <w:rStyle w:val="Rfrencelgre"/>
                <w:color w:val="FF0000"/>
              </w:rPr>
            </w:pPr>
            <w:r>
              <w:rPr>
                <w:rStyle w:val="Rfrencelgre"/>
                <w:color w:val="FF0000"/>
              </w:rPr>
              <w:t>12H</w:t>
            </w:r>
          </w:p>
        </w:tc>
        <w:tc>
          <w:tcPr>
            <w:tcW w:w="2265" w:type="dxa"/>
          </w:tcPr>
          <w:p w14:paraId="43150B02" w14:textId="3A958273" w:rsidR="000535C0" w:rsidRPr="00051D1C" w:rsidRDefault="00DC6834" w:rsidP="008F0A10">
            <w:pPr>
              <w:jc w:val="right"/>
              <w:rPr>
                <w:rStyle w:val="Rfrencelgre"/>
                <w:color w:val="FF0000"/>
              </w:rPr>
            </w:pPr>
            <w:r>
              <w:rPr>
                <w:rStyle w:val="Rfrencelgre"/>
                <w:color w:val="FF0000"/>
              </w:rPr>
              <w:t>3</w:t>
            </w:r>
          </w:p>
        </w:tc>
        <w:tc>
          <w:tcPr>
            <w:tcW w:w="2266" w:type="dxa"/>
          </w:tcPr>
          <w:p w14:paraId="1954166F" w14:textId="6510B812" w:rsidR="000535C0" w:rsidRPr="00051D1C" w:rsidRDefault="00DC6834" w:rsidP="008F0A10">
            <w:pPr>
              <w:jc w:val="right"/>
              <w:rPr>
                <w:rStyle w:val="Rfrencelgre"/>
                <w:color w:val="FF0000"/>
              </w:rPr>
            </w:pPr>
            <w:r>
              <w:rPr>
                <w:rStyle w:val="Rfrencelgre"/>
                <w:color w:val="FF0000"/>
              </w:rPr>
              <w:t>1</w:t>
            </w:r>
          </w:p>
        </w:tc>
        <w:tc>
          <w:tcPr>
            <w:tcW w:w="2266" w:type="dxa"/>
          </w:tcPr>
          <w:p w14:paraId="49ED5779" w14:textId="77777777" w:rsidR="000535C0" w:rsidRPr="00051D1C" w:rsidRDefault="000535C0" w:rsidP="008F0A10">
            <w:pPr>
              <w:jc w:val="right"/>
              <w:rPr>
                <w:rStyle w:val="Rfrencelgre"/>
                <w:color w:val="FF0000"/>
              </w:rPr>
            </w:pPr>
            <w:r w:rsidRPr="00051D1C">
              <w:rPr>
                <w:rStyle w:val="Rfrencelgre"/>
                <w:color w:val="FF0000"/>
              </w:rPr>
              <w:t>0</w:t>
            </w:r>
          </w:p>
        </w:tc>
      </w:tr>
    </w:tbl>
    <w:p w14:paraId="3A76F679" w14:textId="3EC83737" w:rsidR="000535C0" w:rsidRDefault="000535C0" w:rsidP="000535C0">
      <w:pPr>
        <w:rPr>
          <w:smallCaps/>
          <w:color w:val="5A5A5A" w:themeColor="text1" w:themeTint="A5"/>
        </w:rPr>
      </w:pPr>
      <w:r w:rsidRPr="00DB07DC">
        <w:rPr>
          <w:rStyle w:val="Rfrencelgre"/>
        </w:rPr>
        <w:t>Nombre d’heures</w:t>
      </w:r>
      <w:r>
        <w:rPr>
          <w:rStyle w:val="Rfrencelgre"/>
        </w:rPr>
        <w:t xml:space="preserve"> de travail personnel</w:t>
      </w:r>
      <w:r w:rsidR="00350A58">
        <w:rPr>
          <w:rStyle w:val="Rfrencelgre"/>
        </w:rPr>
        <w:t xml:space="preserve"> </w:t>
      </w:r>
      <w:r w:rsidRPr="00DB07DC">
        <w:rPr>
          <w:rStyle w:val="Rfrencelgre"/>
        </w:rPr>
        <w:t xml:space="preserve">: </w:t>
      </w:r>
      <w:r w:rsidR="00350A58" w:rsidRPr="00051D1C">
        <w:rPr>
          <w:rStyle w:val="Rfrencelgre"/>
          <w:color w:val="FF0000"/>
        </w:rPr>
        <w:t>0</w:t>
      </w:r>
    </w:p>
    <w:p w14:paraId="00DA608B" w14:textId="57412720" w:rsidR="000535C0" w:rsidRDefault="000535C0" w:rsidP="000535C0">
      <w:pPr>
        <w:rPr>
          <w:rStyle w:val="Rfrencelgre"/>
        </w:rPr>
      </w:pPr>
      <w:r>
        <w:rPr>
          <w:smallCaps/>
          <w:color w:val="5A5A5A" w:themeColor="text1" w:themeTint="A5"/>
        </w:rPr>
        <w:t xml:space="preserve">Modalités pedagogiques : </w:t>
      </w:r>
      <w:r w:rsidR="00350A58">
        <w:rPr>
          <w:smallCaps/>
          <w:color w:val="5A5A5A" w:themeColor="text1" w:themeTint="A5"/>
        </w:rPr>
        <w:t>distanciel</w:t>
      </w:r>
    </w:p>
    <w:p w14:paraId="54B66D24" w14:textId="27A93F46" w:rsidR="000535C0" w:rsidRDefault="000535C0" w:rsidP="000535C0">
      <w:pPr>
        <w:rPr>
          <w:rStyle w:val="Rfrencelgre"/>
        </w:rPr>
      </w:pPr>
      <w:r w:rsidRPr="00DB07DC">
        <w:rPr>
          <w:rStyle w:val="Rfrencelgre"/>
        </w:rPr>
        <w:t>Langue :</w:t>
      </w:r>
      <w:r>
        <w:rPr>
          <w:rStyle w:val="Rfrencelgre"/>
        </w:rPr>
        <w:t xml:space="preserve"> </w:t>
      </w:r>
      <w:r w:rsidR="00350A58">
        <w:rPr>
          <w:smallCaps/>
          <w:color w:val="5A5A5A" w:themeColor="text1" w:themeTint="A5"/>
        </w:rPr>
        <w:t>français</w:t>
      </w:r>
    </w:p>
    <w:p w14:paraId="7585E434" w14:textId="24C57D01" w:rsidR="000535C0" w:rsidRDefault="000535C0" w:rsidP="000535C0">
      <w:pPr>
        <w:pStyle w:val="Titre5"/>
        <w:rPr>
          <w:rStyle w:val="lev"/>
        </w:rPr>
      </w:pPr>
      <w:r w:rsidRPr="00F32589">
        <w:rPr>
          <w:rStyle w:val="lev"/>
        </w:rPr>
        <w:t>Objectifs</w:t>
      </w:r>
    </w:p>
    <w:p w14:paraId="0C3B4326" w14:textId="7209E434" w:rsidR="00DB48C3" w:rsidRPr="00DB48C3" w:rsidRDefault="00DB48C3" w:rsidP="00DB48C3">
      <w:r w:rsidRPr="00DB48C3">
        <w:t>Ce cours vise à fournir aux étudiants en ingénierie informatique une compréhension approfondie des gouvernances, des normes et des standards qui régissent le domaine de l'informatique. Les étudiants exploreront les principaux concepts, les bonnes pratiques et les organismes de normalisation qui façonnent l'industrie informatique moderne. Ils acquerront les compétences nécessaires pour concevoir, mettre en œuvre et maintenir des systèmes informatiques conformes aux normes et aux exigences de gouvernance.</w:t>
      </w:r>
    </w:p>
    <w:p w14:paraId="427C35BE" w14:textId="48CA483B" w:rsidR="000535C0" w:rsidRDefault="000535C0" w:rsidP="000535C0">
      <w:pPr>
        <w:pStyle w:val="Titre5"/>
        <w:rPr>
          <w:rStyle w:val="lev"/>
        </w:rPr>
      </w:pPr>
      <w:r w:rsidRPr="00A01534">
        <w:rPr>
          <w:rStyle w:val="lev"/>
        </w:rPr>
        <w:t>Prérequis</w:t>
      </w:r>
    </w:p>
    <w:p w14:paraId="1341DD66" w14:textId="620BD136" w:rsidR="007065A9" w:rsidRPr="00FE0E71" w:rsidRDefault="00051D1C" w:rsidP="007065A9">
      <w:r w:rsidRPr="00FE0E71">
        <w:t>Aucun</w:t>
      </w:r>
    </w:p>
    <w:p w14:paraId="639CCE22" w14:textId="77777777" w:rsidR="00DB48C3" w:rsidRDefault="00DB48C3">
      <w:pPr>
        <w:jc w:val="left"/>
        <w:rPr>
          <w:rStyle w:val="lev"/>
          <w:rFonts w:asciiTheme="majorHAnsi" w:eastAsiaTheme="majorEastAsia" w:hAnsiTheme="majorHAnsi" w:cstheme="majorBidi"/>
          <w:color w:val="007179"/>
          <w:szCs w:val="28"/>
        </w:rPr>
      </w:pPr>
      <w:r>
        <w:rPr>
          <w:rStyle w:val="lev"/>
        </w:rPr>
        <w:br w:type="page"/>
      </w:r>
    </w:p>
    <w:p w14:paraId="3C4B92D2" w14:textId="699A6836" w:rsidR="007065A9" w:rsidRDefault="000535C0" w:rsidP="000535C0">
      <w:pPr>
        <w:pStyle w:val="Titre5"/>
        <w:rPr>
          <w:rStyle w:val="lev"/>
        </w:rPr>
      </w:pPr>
      <w:r w:rsidRPr="00A01534">
        <w:rPr>
          <w:rStyle w:val="lev"/>
        </w:rPr>
        <w:lastRenderedPageBreak/>
        <w:t>Contenu</w:t>
      </w:r>
    </w:p>
    <w:p w14:paraId="014A5886" w14:textId="7EBFBE7D" w:rsidR="00DB48C3" w:rsidRPr="00DB48C3" w:rsidRDefault="00DB48C3" w:rsidP="00DB48C3">
      <w:pPr>
        <w:pStyle w:val="Titre5"/>
        <w:rPr>
          <w:rFonts w:asciiTheme="minorHAnsi" w:eastAsiaTheme="minorHAnsi" w:hAnsiTheme="minorHAnsi" w:cstheme="minorBidi"/>
          <w:b/>
          <w:bCs/>
          <w:color w:val="auto"/>
          <w:sz w:val="22"/>
          <w:szCs w:val="22"/>
        </w:rPr>
      </w:pPr>
      <w:r w:rsidRPr="00DB48C3">
        <w:rPr>
          <w:rFonts w:asciiTheme="minorHAnsi" w:eastAsiaTheme="minorHAnsi" w:hAnsiTheme="minorHAnsi" w:cstheme="minorBidi"/>
          <w:b/>
          <w:bCs/>
          <w:color w:val="auto"/>
          <w:sz w:val="22"/>
          <w:szCs w:val="22"/>
        </w:rPr>
        <w:t xml:space="preserve">Module </w:t>
      </w:r>
      <w:r w:rsidR="0057076E" w:rsidRPr="00DB48C3">
        <w:rPr>
          <w:rFonts w:asciiTheme="minorHAnsi" w:eastAsiaTheme="minorHAnsi" w:hAnsiTheme="minorHAnsi" w:cstheme="minorBidi"/>
          <w:b/>
          <w:bCs/>
          <w:color w:val="auto"/>
          <w:sz w:val="22"/>
          <w:szCs w:val="22"/>
        </w:rPr>
        <w:t>1 :</w:t>
      </w:r>
      <w:r w:rsidRPr="00DB48C3">
        <w:rPr>
          <w:rFonts w:asciiTheme="minorHAnsi" w:eastAsiaTheme="minorHAnsi" w:hAnsiTheme="minorHAnsi" w:cstheme="minorBidi"/>
          <w:b/>
          <w:bCs/>
          <w:color w:val="auto"/>
          <w:sz w:val="22"/>
          <w:szCs w:val="22"/>
        </w:rPr>
        <w:t xml:space="preserve"> Introduction aux Gouvernances, Normes et Standards</w:t>
      </w:r>
    </w:p>
    <w:p w14:paraId="3301E61A"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Définitions et concepts de base</w:t>
      </w:r>
    </w:p>
    <w:p w14:paraId="6AE54770"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Importance de la gouvernance en informatique</w:t>
      </w:r>
    </w:p>
    <w:p w14:paraId="78F28547"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Principaux acteurs et organismes de normalisation</w:t>
      </w:r>
    </w:p>
    <w:p w14:paraId="38EDBF14" w14:textId="77777777" w:rsidR="00DB48C3" w:rsidRDefault="00DB48C3" w:rsidP="00DB48C3">
      <w:pPr>
        <w:pStyle w:val="Titre5"/>
        <w:rPr>
          <w:rFonts w:asciiTheme="minorHAnsi" w:eastAsiaTheme="minorHAnsi" w:hAnsiTheme="minorHAnsi" w:cstheme="minorBidi"/>
          <w:b/>
          <w:bCs/>
          <w:color w:val="auto"/>
          <w:sz w:val="22"/>
          <w:szCs w:val="22"/>
        </w:rPr>
      </w:pPr>
    </w:p>
    <w:p w14:paraId="2DBF166B" w14:textId="733903F8" w:rsidR="00DB48C3" w:rsidRPr="00DB48C3" w:rsidRDefault="00DB48C3" w:rsidP="00DB48C3">
      <w:pPr>
        <w:pStyle w:val="Titre5"/>
        <w:rPr>
          <w:rFonts w:asciiTheme="minorHAnsi" w:eastAsiaTheme="minorHAnsi" w:hAnsiTheme="minorHAnsi" w:cstheme="minorBidi"/>
          <w:b/>
          <w:bCs/>
          <w:color w:val="auto"/>
          <w:sz w:val="22"/>
          <w:szCs w:val="22"/>
        </w:rPr>
      </w:pPr>
      <w:r w:rsidRPr="00DB48C3">
        <w:rPr>
          <w:rFonts w:asciiTheme="minorHAnsi" w:eastAsiaTheme="minorHAnsi" w:hAnsiTheme="minorHAnsi" w:cstheme="minorBidi"/>
          <w:b/>
          <w:bCs/>
          <w:color w:val="auto"/>
          <w:sz w:val="22"/>
          <w:szCs w:val="22"/>
        </w:rPr>
        <w:t xml:space="preserve">Module </w:t>
      </w:r>
      <w:r w:rsidR="0057076E" w:rsidRPr="00DB48C3">
        <w:rPr>
          <w:rFonts w:asciiTheme="minorHAnsi" w:eastAsiaTheme="minorHAnsi" w:hAnsiTheme="minorHAnsi" w:cstheme="minorBidi"/>
          <w:b/>
          <w:bCs/>
          <w:color w:val="auto"/>
          <w:sz w:val="22"/>
          <w:szCs w:val="22"/>
        </w:rPr>
        <w:t>2 :</w:t>
      </w:r>
      <w:r w:rsidRPr="00DB48C3">
        <w:rPr>
          <w:rFonts w:asciiTheme="minorHAnsi" w:eastAsiaTheme="minorHAnsi" w:hAnsiTheme="minorHAnsi" w:cstheme="minorBidi"/>
          <w:b/>
          <w:bCs/>
          <w:color w:val="auto"/>
          <w:sz w:val="22"/>
          <w:szCs w:val="22"/>
        </w:rPr>
        <w:t xml:space="preserve"> Normes et Standards Informatiques</w:t>
      </w:r>
    </w:p>
    <w:p w14:paraId="48420762" w14:textId="25A31AC8"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ISO 27001 pour la sécurité de l'information</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(ISO)</w:t>
      </w:r>
      <w:r w:rsidR="00FB661D" w:rsidRPr="00FB661D">
        <w:rPr>
          <w:rFonts w:asciiTheme="minorHAnsi" w:eastAsiaTheme="minorHAnsi" w:hAnsiTheme="minorHAnsi" w:cstheme="minorBidi"/>
          <w:i/>
          <w:iCs/>
          <w:color w:val="auto"/>
          <w:sz w:val="22"/>
          <w:szCs w:val="22"/>
        </w:rPr>
        <w:t xml:space="preserve"> </w:t>
      </w:r>
    </w:p>
    <w:p w14:paraId="282224C7" w14:textId="4C0BC30E" w:rsidR="00DB48C3" w:rsidRPr="00FB661D" w:rsidRDefault="00DB48C3" w:rsidP="00DB48C3">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ITIL pour la gestion des services informatiques</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(CCTA, UK)</w:t>
      </w:r>
    </w:p>
    <w:p w14:paraId="40E9A888" w14:textId="0556560E" w:rsidR="00DB48C3" w:rsidRPr="00FB661D" w:rsidRDefault="00DB48C3" w:rsidP="00DB48C3">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ISO 9001 pour la gestion de la qualité</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(ISO)</w:t>
      </w:r>
    </w:p>
    <w:p w14:paraId="5EF332C2" w14:textId="3D6F207C" w:rsidR="00DB48C3" w:rsidRPr="00FB661D" w:rsidRDefault="00DB48C3" w:rsidP="00DB48C3">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PCI DSS pour la sécurité des paiements par carte</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(Conseil des normes de sécurité PCI)</w:t>
      </w:r>
    </w:p>
    <w:p w14:paraId="29DEE47B" w14:textId="77777777" w:rsidR="00DB48C3" w:rsidRPr="00DB48C3" w:rsidRDefault="00DB48C3" w:rsidP="00DB48C3"/>
    <w:p w14:paraId="1DF7DC65" w14:textId="6D5A3DFF" w:rsidR="00DB48C3" w:rsidRPr="00DB48C3" w:rsidRDefault="00DB48C3" w:rsidP="00DB48C3">
      <w:pPr>
        <w:pStyle w:val="Titre5"/>
        <w:rPr>
          <w:rFonts w:asciiTheme="minorHAnsi" w:eastAsiaTheme="minorHAnsi" w:hAnsiTheme="minorHAnsi" w:cstheme="minorBidi"/>
          <w:b/>
          <w:bCs/>
          <w:color w:val="auto"/>
          <w:sz w:val="22"/>
          <w:szCs w:val="22"/>
        </w:rPr>
      </w:pPr>
      <w:r w:rsidRPr="00DB48C3">
        <w:rPr>
          <w:rFonts w:asciiTheme="minorHAnsi" w:eastAsiaTheme="minorHAnsi" w:hAnsiTheme="minorHAnsi" w:cstheme="minorBidi"/>
          <w:b/>
          <w:bCs/>
          <w:color w:val="auto"/>
          <w:sz w:val="22"/>
          <w:szCs w:val="22"/>
        </w:rPr>
        <w:t>Module 3</w:t>
      </w:r>
      <w:r w:rsidR="0057076E">
        <w:rPr>
          <w:rFonts w:asciiTheme="minorHAnsi" w:eastAsiaTheme="minorHAnsi" w:hAnsiTheme="minorHAnsi" w:cstheme="minorBidi"/>
          <w:b/>
          <w:bCs/>
          <w:color w:val="auto"/>
          <w:sz w:val="22"/>
          <w:szCs w:val="22"/>
        </w:rPr>
        <w:t xml:space="preserve"> </w:t>
      </w:r>
      <w:r w:rsidRPr="00DB48C3">
        <w:rPr>
          <w:rFonts w:asciiTheme="minorHAnsi" w:eastAsiaTheme="minorHAnsi" w:hAnsiTheme="minorHAnsi" w:cstheme="minorBidi"/>
          <w:b/>
          <w:bCs/>
          <w:color w:val="auto"/>
          <w:sz w:val="22"/>
          <w:szCs w:val="22"/>
        </w:rPr>
        <w:t>: Gouvernance Informatique</w:t>
      </w:r>
    </w:p>
    <w:p w14:paraId="0E20BF70" w14:textId="19B98902" w:rsidR="0057076E" w:rsidRPr="00FB661D" w:rsidRDefault="00DB48C3" w:rsidP="0057076E">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COBIT comme cadre de gouvernance informatique</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(ISACA)</w:t>
      </w:r>
    </w:p>
    <w:p w14:paraId="53F8E113" w14:textId="4D6701A2" w:rsidR="0057076E" w:rsidRPr="00FB661D" w:rsidRDefault="0057076E" w:rsidP="0057076E">
      <w:pPr>
        <w:pStyle w:val="Titre5"/>
        <w:ind w:left="708"/>
        <w:rPr>
          <w:rFonts w:asciiTheme="minorHAnsi" w:eastAsiaTheme="minorHAnsi" w:hAnsiTheme="minorHAnsi" w:cstheme="minorBidi"/>
          <w:i/>
          <w:iCs/>
          <w:color w:val="auto"/>
          <w:sz w:val="22"/>
          <w:szCs w:val="22"/>
        </w:rPr>
      </w:pPr>
      <w:r w:rsidRPr="0057076E">
        <w:rPr>
          <w:rFonts w:asciiTheme="minorHAnsi" w:eastAsiaTheme="minorHAnsi" w:hAnsiTheme="minorHAnsi" w:cstheme="minorBidi"/>
          <w:color w:val="auto"/>
          <w:sz w:val="22"/>
          <w:szCs w:val="22"/>
        </w:rPr>
        <w:t xml:space="preserve">Le Data </w:t>
      </w:r>
      <w:proofErr w:type="spellStart"/>
      <w:r w:rsidRPr="0057076E">
        <w:rPr>
          <w:rFonts w:asciiTheme="minorHAnsi" w:eastAsiaTheme="minorHAnsi" w:hAnsiTheme="minorHAnsi" w:cstheme="minorBidi"/>
          <w:color w:val="auto"/>
          <w:sz w:val="22"/>
          <w:szCs w:val="22"/>
        </w:rPr>
        <w:t>Governance</w:t>
      </w:r>
      <w:proofErr w:type="spellEnd"/>
      <w:r w:rsidRPr="0057076E">
        <w:rPr>
          <w:rFonts w:asciiTheme="minorHAnsi" w:eastAsiaTheme="minorHAnsi" w:hAnsiTheme="minorHAnsi" w:cstheme="minorBidi"/>
          <w:color w:val="auto"/>
          <w:sz w:val="22"/>
          <w:szCs w:val="22"/>
        </w:rPr>
        <w:t xml:space="preserve"> </w:t>
      </w:r>
      <w:proofErr w:type="spellStart"/>
      <w:r w:rsidRPr="0057076E">
        <w:rPr>
          <w:rFonts w:asciiTheme="minorHAnsi" w:eastAsiaTheme="minorHAnsi" w:hAnsiTheme="minorHAnsi" w:cstheme="minorBidi"/>
          <w:color w:val="auto"/>
          <w:sz w:val="22"/>
          <w:szCs w:val="22"/>
        </w:rPr>
        <w:t>Act</w:t>
      </w:r>
      <w:proofErr w:type="spellEnd"/>
      <w:r w:rsidRPr="0057076E">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et</w:t>
      </w:r>
      <w:r w:rsidRPr="0057076E">
        <w:rPr>
          <w:rFonts w:asciiTheme="minorHAnsi" w:eastAsiaTheme="minorHAnsi" w:hAnsiTheme="minorHAnsi" w:cstheme="minorBidi"/>
          <w:color w:val="auto"/>
          <w:sz w:val="22"/>
          <w:szCs w:val="22"/>
        </w:rPr>
        <w:t xml:space="preserve"> le Data </w:t>
      </w:r>
      <w:proofErr w:type="spellStart"/>
      <w:r w:rsidRPr="0057076E">
        <w:rPr>
          <w:rFonts w:asciiTheme="minorHAnsi" w:eastAsiaTheme="minorHAnsi" w:hAnsiTheme="minorHAnsi" w:cstheme="minorBidi"/>
          <w:color w:val="auto"/>
          <w:sz w:val="22"/>
          <w:szCs w:val="22"/>
        </w:rPr>
        <w:t>Act</w:t>
      </w:r>
      <w:proofErr w:type="spellEnd"/>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(U.E)</w:t>
      </w:r>
    </w:p>
    <w:p w14:paraId="422378F4" w14:textId="41E11F14"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Rôles et responsabilités des parties prenantes</w:t>
      </w:r>
    </w:p>
    <w:p w14:paraId="00715A57" w14:textId="6726D686" w:rsidR="0057076E" w:rsidRPr="0057076E" w:rsidRDefault="00DB48C3" w:rsidP="0057076E">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Mise en œuvre de la gouvernance informatique</w:t>
      </w:r>
    </w:p>
    <w:p w14:paraId="1F7E2C2A" w14:textId="445BC704" w:rsidR="00DB48C3" w:rsidRPr="00DB48C3" w:rsidRDefault="0057076E" w:rsidP="00DB48C3">
      <w:r>
        <w:tab/>
      </w:r>
    </w:p>
    <w:p w14:paraId="6AAC877D" w14:textId="3A09580C" w:rsidR="00DB48C3" w:rsidRPr="00DB48C3" w:rsidRDefault="00DB48C3" w:rsidP="00DB48C3">
      <w:pPr>
        <w:pStyle w:val="Titre5"/>
        <w:rPr>
          <w:rFonts w:asciiTheme="minorHAnsi" w:eastAsiaTheme="minorHAnsi" w:hAnsiTheme="minorHAnsi" w:cstheme="minorBidi"/>
          <w:b/>
          <w:bCs/>
          <w:color w:val="auto"/>
          <w:sz w:val="22"/>
          <w:szCs w:val="22"/>
        </w:rPr>
      </w:pPr>
      <w:r w:rsidRPr="00DB48C3">
        <w:rPr>
          <w:rFonts w:asciiTheme="minorHAnsi" w:eastAsiaTheme="minorHAnsi" w:hAnsiTheme="minorHAnsi" w:cstheme="minorBidi"/>
          <w:b/>
          <w:bCs/>
          <w:color w:val="auto"/>
          <w:sz w:val="22"/>
          <w:szCs w:val="22"/>
        </w:rPr>
        <w:t>Module 4</w:t>
      </w:r>
      <w:r w:rsidR="0057076E">
        <w:rPr>
          <w:rFonts w:asciiTheme="minorHAnsi" w:eastAsiaTheme="minorHAnsi" w:hAnsiTheme="minorHAnsi" w:cstheme="minorBidi"/>
          <w:b/>
          <w:bCs/>
          <w:color w:val="auto"/>
          <w:sz w:val="22"/>
          <w:szCs w:val="22"/>
        </w:rPr>
        <w:t xml:space="preserve"> </w:t>
      </w:r>
      <w:r w:rsidRPr="00DB48C3">
        <w:rPr>
          <w:rFonts w:asciiTheme="minorHAnsi" w:eastAsiaTheme="minorHAnsi" w:hAnsiTheme="minorHAnsi" w:cstheme="minorBidi"/>
          <w:b/>
          <w:bCs/>
          <w:color w:val="auto"/>
          <w:sz w:val="22"/>
          <w:szCs w:val="22"/>
        </w:rPr>
        <w:t>: Normes pour la Confidentialité et la Sécurité</w:t>
      </w:r>
    </w:p>
    <w:p w14:paraId="77D6BB85" w14:textId="4B99345A" w:rsidR="00DB48C3" w:rsidRPr="00FB661D" w:rsidRDefault="00DB48C3" w:rsidP="00DB48C3">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RGPD (Règlement général sur la protection des données)</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(U.E)</w:t>
      </w:r>
    </w:p>
    <w:p w14:paraId="41BC61D3" w14:textId="0F7AEB14" w:rsidR="00FB661D" w:rsidRPr="00FB661D" w:rsidRDefault="00FB661D" w:rsidP="00FB661D">
      <w:pPr>
        <w:pStyle w:val="Titre5"/>
        <w:ind w:left="708"/>
        <w:rPr>
          <w:rFonts w:asciiTheme="minorHAnsi" w:eastAsiaTheme="minorHAnsi" w:hAnsiTheme="minorHAnsi" w:cstheme="minorBidi"/>
          <w:i/>
          <w:iCs/>
          <w:color w:val="auto"/>
          <w:sz w:val="22"/>
          <w:szCs w:val="22"/>
        </w:rPr>
      </w:pPr>
      <w:r w:rsidRPr="00FB661D">
        <w:rPr>
          <w:rFonts w:asciiTheme="minorHAnsi" w:eastAsiaTheme="minorHAnsi" w:hAnsiTheme="minorHAnsi" w:cstheme="minorBidi"/>
          <w:color w:val="auto"/>
          <w:sz w:val="22"/>
          <w:szCs w:val="22"/>
        </w:rPr>
        <w:t xml:space="preserve">Le Référentiel Général de Sécurité (RGS) </w:t>
      </w:r>
      <w:r w:rsidRPr="00FB661D">
        <w:rPr>
          <w:rFonts w:asciiTheme="minorHAnsi" w:eastAsiaTheme="minorHAnsi" w:hAnsiTheme="minorHAnsi" w:cstheme="minorBidi"/>
          <w:b/>
          <w:bCs/>
          <w:i/>
          <w:iCs/>
          <w:color w:val="auto"/>
          <w:sz w:val="22"/>
          <w:szCs w:val="22"/>
        </w:rPr>
        <w:t>(ANSSI)</w:t>
      </w:r>
    </w:p>
    <w:p w14:paraId="01FF640B" w14:textId="1CFB4138" w:rsidR="00FB661D" w:rsidRPr="00FB661D" w:rsidRDefault="00FB661D" w:rsidP="00FB661D">
      <w:pPr>
        <w:pStyle w:val="Titre5"/>
        <w:ind w:left="708"/>
        <w:rPr>
          <w:rFonts w:asciiTheme="minorHAnsi" w:eastAsiaTheme="minorHAnsi" w:hAnsiTheme="minorHAnsi" w:cstheme="minorBidi"/>
          <w:i/>
          <w:iCs/>
          <w:color w:val="auto"/>
          <w:sz w:val="22"/>
          <w:szCs w:val="22"/>
        </w:rPr>
      </w:pPr>
      <w:r w:rsidRPr="00FB661D">
        <w:rPr>
          <w:rFonts w:asciiTheme="minorHAnsi" w:eastAsiaTheme="minorHAnsi" w:hAnsiTheme="minorHAnsi" w:cstheme="minorBidi"/>
          <w:color w:val="auto"/>
          <w:sz w:val="22"/>
          <w:szCs w:val="22"/>
        </w:rPr>
        <w:t xml:space="preserve">La Certification de Sécurité de Premier Niveau (CSPN) </w:t>
      </w:r>
      <w:r w:rsidRPr="00FB661D">
        <w:rPr>
          <w:rFonts w:asciiTheme="minorHAnsi" w:eastAsiaTheme="minorHAnsi" w:hAnsiTheme="minorHAnsi" w:cstheme="minorBidi"/>
          <w:b/>
          <w:bCs/>
          <w:i/>
          <w:iCs/>
          <w:color w:val="auto"/>
          <w:sz w:val="22"/>
          <w:szCs w:val="22"/>
        </w:rPr>
        <w:t>(ANSSI)</w:t>
      </w:r>
    </w:p>
    <w:p w14:paraId="44E48D67" w14:textId="6E01C441" w:rsidR="00FB661D" w:rsidRPr="00FB661D" w:rsidRDefault="00FB661D" w:rsidP="00FB661D">
      <w:pPr>
        <w:pStyle w:val="Titre5"/>
        <w:ind w:left="708"/>
        <w:rPr>
          <w:rFonts w:asciiTheme="minorHAnsi" w:eastAsiaTheme="minorHAnsi" w:hAnsiTheme="minorHAnsi" w:cstheme="minorBidi"/>
          <w:i/>
          <w:iCs/>
          <w:color w:val="auto"/>
          <w:sz w:val="22"/>
          <w:szCs w:val="22"/>
        </w:rPr>
      </w:pPr>
      <w:r w:rsidRPr="00FB661D">
        <w:rPr>
          <w:rFonts w:asciiTheme="minorHAnsi" w:eastAsiaTheme="minorHAnsi" w:hAnsiTheme="minorHAnsi" w:cstheme="minorBidi"/>
          <w:color w:val="auto"/>
          <w:sz w:val="22"/>
          <w:szCs w:val="22"/>
        </w:rPr>
        <w:t xml:space="preserve">La Certification de Sécurité de Second Niveau (CSP) </w:t>
      </w:r>
      <w:r w:rsidRPr="00FB661D">
        <w:rPr>
          <w:rFonts w:asciiTheme="minorHAnsi" w:eastAsiaTheme="minorHAnsi" w:hAnsiTheme="minorHAnsi" w:cstheme="minorBidi"/>
          <w:b/>
          <w:bCs/>
          <w:i/>
          <w:iCs/>
          <w:color w:val="auto"/>
          <w:sz w:val="22"/>
          <w:szCs w:val="22"/>
        </w:rPr>
        <w:t>(ANSSI)</w:t>
      </w:r>
    </w:p>
    <w:p w14:paraId="3325B225" w14:textId="54D2D352" w:rsidR="00FB661D" w:rsidRPr="00FB661D" w:rsidRDefault="00FB661D" w:rsidP="00FB661D">
      <w:pPr>
        <w:pStyle w:val="Titre5"/>
        <w:ind w:left="708"/>
        <w:rPr>
          <w:rFonts w:asciiTheme="minorHAnsi" w:eastAsiaTheme="minorHAnsi" w:hAnsiTheme="minorHAnsi" w:cstheme="minorBidi"/>
          <w:i/>
          <w:iCs/>
          <w:color w:val="auto"/>
          <w:sz w:val="22"/>
          <w:szCs w:val="22"/>
        </w:rPr>
      </w:pPr>
      <w:r w:rsidRPr="00FB661D">
        <w:rPr>
          <w:rFonts w:asciiTheme="minorHAnsi" w:eastAsiaTheme="minorHAnsi" w:hAnsiTheme="minorHAnsi" w:cstheme="minorBidi"/>
          <w:color w:val="auto"/>
          <w:sz w:val="22"/>
          <w:szCs w:val="22"/>
        </w:rPr>
        <w:t xml:space="preserve">La Politique de Sécurité des Systèmes d’Information (PSSI) </w:t>
      </w:r>
      <w:r w:rsidRPr="00FB661D">
        <w:rPr>
          <w:rFonts w:asciiTheme="minorHAnsi" w:eastAsiaTheme="minorHAnsi" w:hAnsiTheme="minorHAnsi" w:cstheme="minorBidi"/>
          <w:b/>
          <w:bCs/>
          <w:i/>
          <w:iCs/>
          <w:color w:val="auto"/>
          <w:sz w:val="22"/>
          <w:szCs w:val="22"/>
        </w:rPr>
        <w:t>(ANSSI)</w:t>
      </w:r>
    </w:p>
    <w:p w14:paraId="03E4D9DA" w14:textId="7E2AFE6F" w:rsidR="00DB48C3" w:rsidRPr="00FB661D" w:rsidRDefault="00FB661D" w:rsidP="00DB48C3">
      <w:pPr>
        <w:pStyle w:val="Titre5"/>
        <w:ind w:left="708"/>
        <w:rPr>
          <w:rFonts w:asciiTheme="minorHAnsi" w:eastAsiaTheme="minorHAnsi" w:hAnsiTheme="minorHAnsi" w:cstheme="minorBidi"/>
          <w:i/>
          <w:iCs/>
          <w:color w:val="auto"/>
          <w:sz w:val="22"/>
          <w:szCs w:val="22"/>
        </w:rPr>
      </w:pPr>
      <w:r>
        <w:rPr>
          <w:rFonts w:asciiTheme="minorHAnsi" w:eastAsiaTheme="minorHAnsi" w:hAnsiTheme="minorHAnsi" w:cstheme="minorBidi"/>
          <w:color w:val="auto"/>
          <w:sz w:val="22"/>
          <w:szCs w:val="22"/>
        </w:rPr>
        <w:t xml:space="preserve">Le </w:t>
      </w:r>
      <w:r w:rsidR="00DB48C3" w:rsidRPr="00DB48C3">
        <w:rPr>
          <w:rFonts w:asciiTheme="minorHAnsi" w:eastAsiaTheme="minorHAnsi" w:hAnsiTheme="minorHAnsi" w:cstheme="minorBidi"/>
          <w:color w:val="auto"/>
          <w:sz w:val="22"/>
          <w:szCs w:val="22"/>
        </w:rPr>
        <w:t xml:space="preserve">NIST </w:t>
      </w:r>
      <w:proofErr w:type="spellStart"/>
      <w:r w:rsidR="00DB48C3" w:rsidRPr="00DB48C3">
        <w:rPr>
          <w:rFonts w:asciiTheme="minorHAnsi" w:eastAsiaTheme="minorHAnsi" w:hAnsiTheme="minorHAnsi" w:cstheme="minorBidi"/>
          <w:color w:val="auto"/>
          <w:sz w:val="22"/>
          <w:szCs w:val="22"/>
        </w:rPr>
        <w:t>Cybersecurity</w:t>
      </w:r>
      <w:proofErr w:type="spellEnd"/>
      <w:r w:rsidR="00DB48C3" w:rsidRPr="00DB48C3">
        <w:rPr>
          <w:rFonts w:asciiTheme="minorHAnsi" w:eastAsiaTheme="minorHAnsi" w:hAnsiTheme="minorHAnsi" w:cstheme="minorBidi"/>
          <w:color w:val="auto"/>
          <w:sz w:val="22"/>
          <w:szCs w:val="22"/>
        </w:rPr>
        <w:t xml:space="preserve"> Framework</w:t>
      </w:r>
      <w:r>
        <w:rPr>
          <w:rFonts w:asciiTheme="minorHAnsi" w:eastAsiaTheme="minorHAnsi" w:hAnsiTheme="minorHAnsi" w:cstheme="minorBidi"/>
          <w:color w:val="auto"/>
          <w:sz w:val="22"/>
          <w:szCs w:val="22"/>
        </w:rPr>
        <w:t xml:space="preserve"> </w:t>
      </w:r>
      <w:r w:rsidRPr="00FB661D">
        <w:rPr>
          <w:rFonts w:asciiTheme="minorHAnsi" w:eastAsiaTheme="minorHAnsi" w:hAnsiTheme="minorHAnsi" w:cstheme="minorBidi"/>
          <w:b/>
          <w:bCs/>
          <w:i/>
          <w:iCs/>
          <w:color w:val="auto"/>
          <w:sz w:val="22"/>
          <w:szCs w:val="22"/>
        </w:rPr>
        <w:t xml:space="preserve">(National Institute of Standards &amp; </w:t>
      </w:r>
      <w:proofErr w:type="spellStart"/>
      <w:r w:rsidRPr="00FB661D">
        <w:rPr>
          <w:rFonts w:asciiTheme="minorHAnsi" w:eastAsiaTheme="minorHAnsi" w:hAnsiTheme="minorHAnsi" w:cstheme="minorBidi"/>
          <w:b/>
          <w:bCs/>
          <w:i/>
          <w:iCs/>
          <w:color w:val="auto"/>
          <w:sz w:val="22"/>
          <w:szCs w:val="22"/>
        </w:rPr>
        <w:t>Technology</w:t>
      </w:r>
      <w:proofErr w:type="spellEnd"/>
      <w:r w:rsidRPr="00FB661D">
        <w:rPr>
          <w:rFonts w:asciiTheme="minorHAnsi" w:eastAsiaTheme="minorHAnsi" w:hAnsiTheme="minorHAnsi" w:cstheme="minorBidi"/>
          <w:b/>
          <w:bCs/>
          <w:i/>
          <w:iCs/>
          <w:color w:val="auto"/>
          <w:sz w:val="22"/>
          <w:szCs w:val="22"/>
        </w:rPr>
        <w:t>)</w:t>
      </w:r>
    </w:p>
    <w:p w14:paraId="7D862F79" w14:textId="5BFD8733" w:rsidR="00DB48C3" w:rsidRPr="00FB661D" w:rsidRDefault="00DB48C3" w:rsidP="00DB48C3">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HIPAA (</w:t>
      </w:r>
      <w:proofErr w:type="spellStart"/>
      <w:r w:rsidRPr="00DB48C3">
        <w:rPr>
          <w:rFonts w:asciiTheme="minorHAnsi" w:eastAsiaTheme="minorHAnsi" w:hAnsiTheme="minorHAnsi" w:cstheme="minorBidi"/>
          <w:color w:val="auto"/>
          <w:sz w:val="22"/>
          <w:szCs w:val="22"/>
        </w:rPr>
        <w:t>Health</w:t>
      </w:r>
      <w:proofErr w:type="spellEnd"/>
      <w:r w:rsidRPr="00DB48C3">
        <w:rPr>
          <w:rFonts w:asciiTheme="minorHAnsi" w:eastAsiaTheme="minorHAnsi" w:hAnsiTheme="minorHAnsi" w:cstheme="minorBidi"/>
          <w:color w:val="auto"/>
          <w:sz w:val="22"/>
          <w:szCs w:val="22"/>
        </w:rPr>
        <w:t xml:space="preserve"> </w:t>
      </w:r>
      <w:proofErr w:type="spellStart"/>
      <w:r w:rsidRPr="00DB48C3">
        <w:rPr>
          <w:rFonts w:asciiTheme="minorHAnsi" w:eastAsiaTheme="minorHAnsi" w:hAnsiTheme="minorHAnsi" w:cstheme="minorBidi"/>
          <w:color w:val="auto"/>
          <w:sz w:val="22"/>
          <w:szCs w:val="22"/>
        </w:rPr>
        <w:t>Insurance</w:t>
      </w:r>
      <w:proofErr w:type="spellEnd"/>
      <w:r w:rsidRPr="00DB48C3">
        <w:rPr>
          <w:rFonts w:asciiTheme="minorHAnsi" w:eastAsiaTheme="minorHAnsi" w:hAnsiTheme="minorHAnsi" w:cstheme="minorBidi"/>
          <w:color w:val="auto"/>
          <w:sz w:val="22"/>
          <w:szCs w:val="22"/>
        </w:rPr>
        <w:t xml:space="preserve"> </w:t>
      </w:r>
      <w:proofErr w:type="spellStart"/>
      <w:r w:rsidRPr="00DB48C3">
        <w:rPr>
          <w:rFonts w:asciiTheme="minorHAnsi" w:eastAsiaTheme="minorHAnsi" w:hAnsiTheme="minorHAnsi" w:cstheme="minorBidi"/>
          <w:color w:val="auto"/>
          <w:sz w:val="22"/>
          <w:szCs w:val="22"/>
        </w:rPr>
        <w:t>Portability</w:t>
      </w:r>
      <w:proofErr w:type="spellEnd"/>
      <w:r w:rsidRPr="00DB48C3">
        <w:rPr>
          <w:rFonts w:asciiTheme="minorHAnsi" w:eastAsiaTheme="minorHAnsi" w:hAnsiTheme="minorHAnsi" w:cstheme="minorBidi"/>
          <w:color w:val="auto"/>
          <w:sz w:val="22"/>
          <w:szCs w:val="22"/>
        </w:rPr>
        <w:t xml:space="preserve"> and </w:t>
      </w:r>
      <w:proofErr w:type="spellStart"/>
      <w:r w:rsidRPr="00DB48C3">
        <w:rPr>
          <w:rFonts w:asciiTheme="minorHAnsi" w:eastAsiaTheme="minorHAnsi" w:hAnsiTheme="minorHAnsi" w:cstheme="minorBidi"/>
          <w:color w:val="auto"/>
          <w:sz w:val="22"/>
          <w:szCs w:val="22"/>
        </w:rPr>
        <w:t>Accountability</w:t>
      </w:r>
      <w:proofErr w:type="spellEnd"/>
      <w:r w:rsidRPr="00DB48C3">
        <w:rPr>
          <w:rFonts w:asciiTheme="minorHAnsi" w:eastAsiaTheme="minorHAnsi" w:hAnsiTheme="minorHAnsi" w:cstheme="minorBidi"/>
          <w:color w:val="auto"/>
          <w:sz w:val="22"/>
          <w:szCs w:val="22"/>
        </w:rPr>
        <w:t xml:space="preserve"> </w:t>
      </w:r>
      <w:proofErr w:type="spellStart"/>
      <w:r w:rsidRPr="00DB48C3">
        <w:rPr>
          <w:rFonts w:asciiTheme="minorHAnsi" w:eastAsiaTheme="minorHAnsi" w:hAnsiTheme="minorHAnsi" w:cstheme="minorBidi"/>
          <w:color w:val="auto"/>
          <w:sz w:val="22"/>
          <w:szCs w:val="22"/>
        </w:rPr>
        <w:t>Act</w:t>
      </w:r>
      <w:proofErr w:type="spellEnd"/>
      <w:r w:rsidRPr="00DB48C3">
        <w:rPr>
          <w:rFonts w:asciiTheme="minorHAnsi" w:eastAsiaTheme="minorHAnsi" w:hAnsiTheme="minorHAnsi" w:cstheme="minorBidi"/>
          <w:color w:val="auto"/>
          <w:sz w:val="22"/>
          <w:szCs w:val="22"/>
        </w:rPr>
        <w:t>)</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(U.S)</w:t>
      </w:r>
    </w:p>
    <w:p w14:paraId="7B289D02" w14:textId="77777777" w:rsidR="0057076E" w:rsidRDefault="0057076E" w:rsidP="0057076E">
      <w:pPr>
        <w:pStyle w:val="Titre5"/>
        <w:rPr>
          <w:rFonts w:asciiTheme="minorHAnsi" w:eastAsiaTheme="minorHAnsi" w:hAnsiTheme="minorHAnsi" w:cstheme="minorBidi"/>
          <w:color w:val="auto"/>
          <w:sz w:val="22"/>
          <w:szCs w:val="22"/>
        </w:rPr>
      </w:pPr>
    </w:p>
    <w:p w14:paraId="4245F132" w14:textId="16DEC497" w:rsidR="00DB48C3" w:rsidRPr="0057076E" w:rsidRDefault="00DB48C3" w:rsidP="0057076E">
      <w:pPr>
        <w:pStyle w:val="Titre5"/>
        <w:rPr>
          <w:rFonts w:asciiTheme="minorHAnsi" w:eastAsiaTheme="minorHAnsi" w:hAnsiTheme="minorHAnsi" w:cstheme="minorBidi"/>
          <w:b/>
          <w:bCs/>
          <w:color w:val="auto"/>
          <w:sz w:val="22"/>
          <w:szCs w:val="22"/>
        </w:rPr>
      </w:pPr>
      <w:r w:rsidRPr="0057076E">
        <w:rPr>
          <w:rFonts w:asciiTheme="minorHAnsi" w:eastAsiaTheme="minorHAnsi" w:hAnsiTheme="minorHAnsi" w:cstheme="minorBidi"/>
          <w:b/>
          <w:bCs/>
          <w:color w:val="auto"/>
          <w:sz w:val="22"/>
          <w:szCs w:val="22"/>
        </w:rPr>
        <w:t xml:space="preserve">Module </w:t>
      </w:r>
      <w:proofErr w:type="gramStart"/>
      <w:r w:rsidRPr="0057076E">
        <w:rPr>
          <w:rFonts w:asciiTheme="minorHAnsi" w:eastAsiaTheme="minorHAnsi" w:hAnsiTheme="minorHAnsi" w:cstheme="minorBidi"/>
          <w:b/>
          <w:bCs/>
          <w:color w:val="auto"/>
          <w:sz w:val="22"/>
          <w:szCs w:val="22"/>
        </w:rPr>
        <w:t>5:</w:t>
      </w:r>
      <w:proofErr w:type="gramEnd"/>
      <w:r w:rsidRPr="0057076E">
        <w:rPr>
          <w:rFonts w:asciiTheme="minorHAnsi" w:eastAsiaTheme="minorHAnsi" w:hAnsiTheme="minorHAnsi" w:cstheme="minorBidi"/>
          <w:b/>
          <w:bCs/>
          <w:color w:val="auto"/>
          <w:sz w:val="22"/>
          <w:szCs w:val="22"/>
        </w:rPr>
        <w:t xml:space="preserve"> Normes pour la Gestion des Risques</w:t>
      </w:r>
    </w:p>
    <w:p w14:paraId="1042D259" w14:textId="285A59EA" w:rsid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ISO 31000 pour la gestion des risques</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(ISO)</w:t>
      </w:r>
    </w:p>
    <w:p w14:paraId="59F85D78" w14:textId="332DB014" w:rsidR="00FB661D" w:rsidRPr="00FB661D" w:rsidRDefault="00FB661D" w:rsidP="00FB661D">
      <w:pPr>
        <w:pStyle w:val="Titre5"/>
        <w:ind w:left="708"/>
        <w:rPr>
          <w:rFonts w:asciiTheme="minorHAnsi" w:eastAsiaTheme="minorHAnsi" w:hAnsiTheme="minorHAnsi" w:cstheme="minorBidi"/>
          <w:color w:val="auto"/>
          <w:sz w:val="22"/>
          <w:szCs w:val="22"/>
        </w:rPr>
      </w:pPr>
      <w:r w:rsidRPr="00FB661D">
        <w:rPr>
          <w:rFonts w:asciiTheme="minorHAnsi" w:eastAsiaTheme="minorHAnsi" w:hAnsiTheme="minorHAnsi" w:cstheme="minorBidi"/>
          <w:color w:val="auto"/>
          <w:sz w:val="22"/>
          <w:szCs w:val="22"/>
        </w:rPr>
        <w:t xml:space="preserve">La gestion des incidents de sécurité </w:t>
      </w:r>
      <w:r w:rsidRPr="00FB661D">
        <w:rPr>
          <w:rFonts w:asciiTheme="minorHAnsi" w:eastAsiaTheme="minorHAnsi" w:hAnsiTheme="minorHAnsi" w:cstheme="minorBidi"/>
          <w:b/>
          <w:bCs/>
          <w:i/>
          <w:iCs/>
          <w:color w:val="auto"/>
          <w:sz w:val="22"/>
          <w:szCs w:val="22"/>
        </w:rPr>
        <w:t>(ANSSI)</w:t>
      </w:r>
    </w:p>
    <w:p w14:paraId="6E8C693C" w14:textId="08AAE272" w:rsidR="00DB48C3" w:rsidRPr="00FB661D" w:rsidRDefault="00DB48C3" w:rsidP="00DB48C3">
      <w:pPr>
        <w:pStyle w:val="Titre5"/>
        <w:ind w:left="708"/>
        <w:rPr>
          <w:rFonts w:asciiTheme="minorHAnsi" w:eastAsiaTheme="minorHAnsi" w:hAnsiTheme="minorHAnsi" w:cstheme="minorBidi"/>
          <w:i/>
          <w:iCs/>
          <w:color w:val="auto"/>
          <w:sz w:val="22"/>
          <w:szCs w:val="22"/>
        </w:rPr>
      </w:pPr>
      <w:r w:rsidRPr="00DB48C3">
        <w:rPr>
          <w:rFonts w:asciiTheme="minorHAnsi" w:eastAsiaTheme="minorHAnsi" w:hAnsiTheme="minorHAnsi" w:cstheme="minorBidi"/>
          <w:color w:val="auto"/>
          <w:sz w:val="22"/>
          <w:szCs w:val="22"/>
        </w:rPr>
        <w:t>COSO ERM (Enterprise Risk Management)</w:t>
      </w:r>
      <w:r w:rsidR="00FB661D">
        <w:rPr>
          <w:rFonts w:asciiTheme="minorHAnsi" w:eastAsiaTheme="minorHAnsi" w:hAnsiTheme="minorHAnsi" w:cstheme="minorBidi"/>
          <w:color w:val="auto"/>
          <w:sz w:val="22"/>
          <w:szCs w:val="22"/>
        </w:rPr>
        <w:t xml:space="preserve"> </w:t>
      </w:r>
      <w:r w:rsidR="00FB661D" w:rsidRPr="00FB661D">
        <w:rPr>
          <w:rFonts w:asciiTheme="minorHAnsi" w:eastAsiaTheme="minorHAnsi" w:hAnsiTheme="minorHAnsi" w:cstheme="minorBidi"/>
          <w:b/>
          <w:bCs/>
          <w:i/>
          <w:iCs/>
          <w:color w:val="auto"/>
          <w:sz w:val="22"/>
          <w:szCs w:val="22"/>
        </w:rPr>
        <w:t>(</w:t>
      </w:r>
      <w:proofErr w:type="spellStart"/>
      <w:r w:rsidR="00FB661D" w:rsidRPr="00FB661D">
        <w:rPr>
          <w:rFonts w:asciiTheme="minorHAnsi" w:eastAsiaTheme="minorHAnsi" w:hAnsiTheme="minorHAnsi" w:cstheme="minorBidi"/>
          <w:b/>
          <w:bCs/>
          <w:i/>
          <w:iCs/>
          <w:color w:val="auto"/>
          <w:sz w:val="22"/>
          <w:szCs w:val="22"/>
        </w:rPr>
        <w:t>Treadway</w:t>
      </w:r>
      <w:proofErr w:type="spellEnd"/>
      <w:r w:rsidR="00FB661D" w:rsidRPr="00FB661D">
        <w:rPr>
          <w:rFonts w:asciiTheme="minorHAnsi" w:eastAsiaTheme="minorHAnsi" w:hAnsiTheme="minorHAnsi" w:cstheme="minorBidi"/>
          <w:b/>
          <w:bCs/>
          <w:i/>
          <w:iCs/>
          <w:color w:val="auto"/>
          <w:sz w:val="22"/>
          <w:szCs w:val="22"/>
        </w:rPr>
        <w:t xml:space="preserve"> Commission)</w:t>
      </w:r>
    </w:p>
    <w:p w14:paraId="1BAE18E3" w14:textId="77777777" w:rsid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Méthodologies de gestion des risques en informatique</w:t>
      </w:r>
    </w:p>
    <w:p w14:paraId="77586F94" w14:textId="77777777" w:rsidR="00DB48C3" w:rsidRPr="00DB48C3" w:rsidRDefault="00DB48C3" w:rsidP="00DB48C3"/>
    <w:p w14:paraId="174330A3" w14:textId="52A33C25" w:rsidR="00DB48C3" w:rsidRPr="00DB48C3" w:rsidRDefault="00DB48C3" w:rsidP="00DB48C3">
      <w:pPr>
        <w:pStyle w:val="Titre5"/>
        <w:rPr>
          <w:rFonts w:asciiTheme="minorHAnsi" w:eastAsiaTheme="minorHAnsi" w:hAnsiTheme="minorHAnsi" w:cstheme="minorBidi"/>
          <w:b/>
          <w:bCs/>
          <w:color w:val="auto"/>
          <w:sz w:val="22"/>
          <w:szCs w:val="22"/>
        </w:rPr>
      </w:pPr>
      <w:r w:rsidRPr="00DB48C3">
        <w:rPr>
          <w:rFonts w:asciiTheme="minorHAnsi" w:eastAsiaTheme="minorHAnsi" w:hAnsiTheme="minorHAnsi" w:cstheme="minorBidi"/>
          <w:b/>
          <w:bCs/>
          <w:color w:val="auto"/>
          <w:sz w:val="22"/>
          <w:szCs w:val="22"/>
        </w:rPr>
        <w:t xml:space="preserve">Module </w:t>
      </w:r>
      <w:r w:rsidR="0057076E">
        <w:rPr>
          <w:rFonts w:asciiTheme="minorHAnsi" w:eastAsiaTheme="minorHAnsi" w:hAnsiTheme="minorHAnsi" w:cstheme="minorBidi"/>
          <w:b/>
          <w:bCs/>
          <w:color w:val="auto"/>
          <w:sz w:val="22"/>
          <w:szCs w:val="22"/>
        </w:rPr>
        <w:t xml:space="preserve">6 </w:t>
      </w:r>
      <w:r w:rsidRPr="00DB48C3">
        <w:rPr>
          <w:rFonts w:asciiTheme="minorHAnsi" w:eastAsiaTheme="minorHAnsi" w:hAnsiTheme="minorHAnsi" w:cstheme="minorBidi"/>
          <w:b/>
          <w:bCs/>
          <w:color w:val="auto"/>
          <w:sz w:val="22"/>
          <w:szCs w:val="22"/>
        </w:rPr>
        <w:t>: Conception de Systèmes Conformes aux Normes</w:t>
      </w:r>
    </w:p>
    <w:p w14:paraId="07AD9F3B"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Intégration des normes dès la phase de conception</w:t>
      </w:r>
    </w:p>
    <w:p w14:paraId="2AC25A63"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Validation et vérification de la conformité</w:t>
      </w:r>
    </w:p>
    <w:p w14:paraId="30D1DB1F" w14:textId="109B594D"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Documentation et rapports de conformité</w:t>
      </w:r>
    </w:p>
    <w:p w14:paraId="7892DB2C" w14:textId="77777777" w:rsidR="00DC6834" w:rsidRPr="00DC6834" w:rsidRDefault="00DC6834" w:rsidP="00DC6834"/>
    <w:p w14:paraId="7E907C52" w14:textId="77777777" w:rsidR="00EF4CF4" w:rsidRDefault="00EF4CF4" w:rsidP="00FE0E71">
      <w:pPr>
        <w:pStyle w:val="Titre5"/>
        <w:rPr>
          <w:rFonts w:asciiTheme="minorHAnsi" w:eastAsiaTheme="minorHAnsi" w:hAnsiTheme="minorHAnsi" w:cstheme="minorBidi"/>
          <w:color w:val="auto"/>
          <w:sz w:val="22"/>
          <w:szCs w:val="22"/>
        </w:rPr>
      </w:pPr>
    </w:p>
    <w:p w14:paraId="7B74FB94" w14:textId="5AA4C7C3" w:rsidR="000535C0" w:rsidRDefault="000535C0" w:rsidP="00FE0E71">
      <w:pPr>
        <w:pStyle w:val="Titre5"/>
        <w:rPr>
          <w:rStyle w:val="lev"/>
        </w:rPr>
      </w:pPr>
      <w:r w:rsidRPr="00A01534">
        <w:rPr>
          <w:rStyle w:val="lev"/>
        </w:rPr>
        <w:t>Compétences à acquérir</w:t>
      </w:r>
    </w:p>
    <w:p w14:paraId="0A5B0793" w14:textId="5226AB7E" w:rsidR="00DB48C3" w:rsidRDefault="00DB48C3" w:rsidP="00DB48C3">
      <w:r>
        <w:t>À la fin du cours, les étudiants seront en mesure de :</w:t>
      </w:r>
    </w:p>
    <w:p w14:paraId="613E38EA" w14:textId="69E5DD4A" w:rsidR="00DB48C3" w:rsidRDefault="00DB48C3" w:rsidP="00DB48C3">
      <w:pPr>
        <w:pStyle w:val="Paragraphedeliste"/>
        <w:numPr>
          <w:ilvl w:val="0"/>
          <w:numId w:val="3"/>
        </w:numPr>
      </w:pPr>
      <w:r>
        <w:t>Comprendre les concepts de base de</w:t>
      </w:r>
      <w:r>
        <w:t xml:space="preserve"> </w:t>
      </w:r>
      <w:r>
        <w:t>gouvernance, des normes et des standards en informatique.</w:t>
      </w:r>
    </w:p>
    <w:p w14:paraId="2B1A50C9" w14:textId="23033B2D" w:rsidR="00DB48C3" w:rsidRDefault="00DB48C3" w:rsidP="00DB48C3">
      <w:pPr>
        <w:pStyle w:val="Paragraphedeliste"/>
        <w:numPr>
          <w:ilvl w:val="0"/>
          <w:numId w:val="3"/>
        </w:numPr>
      </w:pPr>
      <w:r>
        <w:t>Identifier les principaux organismes de normalisation et leurs rôles dans l'industrie informatique</w:t>
      </w:r>
      <w:r>
        <w:t xml:space="preserve"> comme l’ANSSI ou l’IEEE</w:t>
      </w:r>
      <w:r>
        <w:t>.</w:t>
      </w:r>
    </w:p>
    <w:p w14:paraId="2B99F873" w14:textId="77777777" w:rsidR="00DB48C3" w:rsidRDefault="00DB48C3" w:rsidP="00DB48C3">
      <w:pPr>
        <w:pStyle w:val="Paragraphedeliste"/>
        <w:numPr>
          <w:ilvl w:val="0"/>
          <w:numId w:val="3"/>
        </w:numPr>
      </w:pPr>
      <w:r>
        <w:t>Appliquer les meilleures pratiques de gouvernance informatique pour garantir la conformité et la qualité des systèmes.</w:t>
      </w:r>
    </w:p>
    <w:p w14:paraId="4CDD2DEA" w14:textId="77777777" w:rsidR="00DB48C3" w:rsidRDefault="00DB48C3" w:rsidP="00DB48C3">
      <w:pPr>
        <w:pStyle w:val="Paragraphedeliste"/>
        <w:numPr>
          <w:ilvl w:val="0"/>
          <w:numId w:val="3"/>
        </w:numPr>
      </w:pPr>
      <w:r>
        <w:t>Évaluer l'impact des normes sur la sécurité, la confidentialité et la gestion des risques en informatique.</w:t>
      </w:r>
    </w:p>
    <w:p w14:paraId="3E61B18F" w14:textId="5C37578D" w:rsidR="007065A9" w:rsidRPr="007065A9" w:rsidRDefault="00DB48C3" w:rsidP="00DB48C3">
      <w:pPr>
        <w:pStyle w:val="Paragraphedeliste"/>
        <w:numPr>
          <w:ilvl w:val="0"/>
          <w:numId w:val="3"/>
        </w:numPr>
      </w:pPr>
      <w:r>
        <w:t>Concevoir des systèmes informatiques conformes aux normes et aux exigences réglementaires.</w:t>
      </w:r>
    </w:p>
    <w:p w14:paraId="68CD2422" w14:textId="1F32D2ED" w:rsidR="00DB48C3" w:rsidRPr="00DB48C3" w:rsidRDefault="000535C0" w:rsidP="00DB48C3">
      <w:pPr>
        <w:pStyle w:val="Titre5"/>
      </w:pPr>
      <w:r w:rsidRPr="00A01534">
        <w:rPr>
          <w:rStyle w:val="lev"/>
        </w:rPr>
        <w:t>Modalités d’évaluation</w:t>
      </w:r>
    </w:p>
    <w:p w14:paraId="56A866FE" w14:textId="77777777" w:rsidR="00DB48C3" w:rsidRPr="00DB48C3" w:rsidRDefault="00DB48C3" w:rsidP="00DB48C3">
      <w:pPr>
        <w:pStyle w:val="Titre5"/>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L'évaluation des étudiants sera basée sur les critères suivants :</w:t>
      </w:r>
    </w:p>
    <w:p w14:paraId="1583F86A"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Examens écrits couvrant les concepts et les normes</w:t>
      </w:r>
    </w:p>
    <w:p w14:paraId="02DDC1B2" w14:textId="77777777" w:rsidR="00DB48C3" w:rsidRPr="00DB48C3" w:rsidRDefault="00DB48C3" w:rsidP="00DB48C3">
      <w:pPr>
        <w:pStyle w:val="Titre5"/>
        <w:ind w:left="708"/>
        <w:rPr>
          <w:rFonts w:asciiTheme="minorHAnsi" w:eastAsiaTheme="minorHAnsi" w:hAnsiTheme="minorHAnsi" w:cstheme="minorBidi"/>
          <w:color w:val="auto"/>
          <w:sz w:val="22"/>
          <w:szCs w:val="22"/>
        </w:rPr>
      </w:pPr>
      <w:r w:rsidRPr="00DB48C3">
        <w:rPr>
          <w:rFonts w:asciiTheme="minorHAnsi" w:eastAsiaTheme="minorHAnsi" w:hAnsiTheme="minorHAnsi" w:cstheme="minorBidi"/>
          <w:color w:val="auto"/>
          <w:sz w:val="22"/>
          <w:szCs w:val="22"/>
        </w:rPr>
        <w:t>Travaux pratiques de conception et de mise en œuvre conformes aux normes</w:t>
      </w:r>
    </w:p>
    <w:p w14:paraId="105C6C36" w14:textId="77777777" w:rsidR="00DB48C3" w:rsidRDefault="00DB48C3" w:rsidP="00DB48C3">
      <w:pPr>
        <w:pStyle w:val="Titre5"/>
        <w:ind w:left="708"/>
        <w:rPr>
          <w:rFonts w:asciiTheme="minorHAnsi" w:eastAsiaTheme="minorHAnsi" w:hAnsiTheme="minorHAnsi" w:cstheme="minorBidi"/>
          <w:b/>
          <w:bCs/>
          <w:color w:val="auto"/>
          <w:sz w:val="22"/>
          <w:szCs w:val="22"/>
        </w:rPr>
      </w:pPr>
      <w:r w:rsidRPr="00DB48C3">
        <w:rPr>
          <w:rFonts w:asciiTheme="minorHAnsi" w:eastAsiaTheme="minorHAnsi" w:hAnsiTheme="minorHAnsi" w:cstheme="minorBidi"/>
          <w:color w:val="auto"/>
          <w:sz w:val="22"/>
          <w:szCs w:val="22"/>
        </w:rPr>
        <w:t>Participation en classe et discussions sur les études de cas</w:t>
      </w:r>
    </w:p>
    <w:p w14:paraId="72CF64AA" w14:textId="77777777" w:rsidR="00DB48C3" w:rsidRPr="00DB48C3" w:rsidRDefault="00DB48C3" w:rsidP="00DB48C3"/>
    <w:p w14:paraId="4DFFCD42" w14:textId="77777777" w:rsidR="000535C0" w:rsidRPr="00A01534" w:rsidRDefault="000535C0" w:rsidP="000535C0">
      <w:pPr>
        <w:pStyle w:val="Titre5"/>
        <w:rPr>
          <w:rStyle w:val="lev"/>
        </w:rPr>
      </w:pPr>
      <w:r w:rsidRPr="00A01534">
        <w:rPr>
          <w:rStyle w:val="lev"/>
        </w:rPr>
        <w:t>Références externes</w:t>
      </w:r>
    </w:p>
    <w:p w14:paraId="6988B30C" w14:textId="433A663C" w:rsidR="00012F03" w:rsidRDefault="00FB661D" w:rsidP="000535C0">
      <w:r w:rsidRPr="00FB661D">
        <w:t>Normes et documents de référence des organismes de normalisation</w:t>
      </w:r>
    </w:p>
    <w:sectPr w:rsidR="00012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C0D04"/>
    <w:multiLevelType w:val="hybridMultilevel"/>
    <w:tmpl w:val="0D282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6B6F4A"/>
    <w:multiLevelType w:val="hybridMultilevel"/>
    <w:tmpl w:val="4EB4E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1">
    <w:nsid w:val="78163B79"/>
    <w:multiLevelType w:val="hybridMultilevel"/>
    <w:tmpl w:val="E688AD46"/>
    <w:lvl w:ilvl="0" w:tplc="040C0001">
      <w:start w:val="1"/>
      <w:numFmt w:val="bullet"/>
      <w:lvlText w:val=""/>
      <w:lvlJc w:val="left"/>
      <w:pPr>
        <w:ind w:left="720" w:hanging="360"/>
      </w:pPr>
      <w:rPr>
        <w:rFonts w:ascii="Symbol" w:hAnsi="Symbol" w:hint="default"/>
      </w:rPr>
    </w:lvl>
    <w:lvl w:ilvl="1" w:tplc="97E470C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5724553">
    <w:abstractNumId w:val="2"/>
  </w:num>
  <w:num w:numId="2" w16cid:durableId="135878566">
    <w:abstractNumId w:val="0"/>
  </w:num>
  <w:num w:numId="3" w16cid:durableId="1568880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C0"/>
    <w:rsid w:val="00012F03"/>
    <w:rsid w:val="00051D1C"/>
    <w:rsid w:val="000535C0"/>
    <w:rsid w:val="00092676"/>
    <w:rsid w:val="00350A58"/>
    <w:rsid w:val="00491515"/>
    <w:rsid w:val="0057076E"/>
    <w:rsid w:val="006D2867"/>
    <w:rsid w:val="007065A9"/>
    <w:rsid w:val="0071127C"/>
    <w:rsid w:val="009A4D79"/>
    <w:rsid w:val="00A41C96"/>
    <w:rsid w:val="00B55D52"/>
    <w:rsid w:val="00C11E13"/>
    <w:rsid w:val="00DB48C3"/>
    <w:rsid w:val="00DC6834"/>
    <w:rsid w:val="00EF4CF4"/>
    <w:rsid w:val="00FB661D"/>
    <w:rsid w:val="00FE0E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DE41"/>
  <w15:chartTrackingRefBased/>
  <w15:docId w15:val="{2F3EBE2E-5876-4F98-B82E-0B0015E7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C0"/>
    <w:pPr>
      <w:jc w:val="both"/>
    </w:pPr>
  </w:style>
  <w:style w:type="paragraph" w:styleId="Titre2">
    <w:name w:val="heading 2"/>
    <w:basedOn w:val="Normal"/>
    <w:next w:val="Normal"/>
    <w:link w:val="Titre2Car"/>
    <w:uiPriority w:val="9"/>
    <w:semiHidden/>
    <w:unhideWhenUsed/>
    <w:qFormat/>
    <w:rsid w:val="00053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Titre2"/>
    <w:next w:val="Normal"/>
    <w:link w:val="Titre4Car"/>
    <w:uiPriority w:val="9"/>
    <w:unhideWhenUsed/>
    <w:qFormat/>
    <w:rsid w:val="000535C0"/>
    <w:pPr>
      <w:pBdr>
        <w:bottom w:val="single" w:sz="4" w:space="1" w:color="007179"/>
      </w:pBdr>
      <w:spacing w:line="240" w:lineRule="auto"/>
      <w:outlineLvl w:val="3"/>
    </w:pPr>
    <w:rPr>
      <w:rFonts w:cstheme="majorHAnsi"/>
      <w:b/>
      <w:bCs/>
      <w:color w:val="007179"/>
      <w:sz w:val="32"/>
      <w:szCs w:val="32"/>
    </w:rPr>
  </w:style>
  <w:style w:type="paragraph" w:styleId="Titre5">
    <w:name w:val="heading 5"/>
    <w:basedOn w:val="Normal"/>
    <w:next w:val="Normal"/>
    <w:link w:val="Titre5Car"/>
    <w:uiPriority w:val="9"/>
    <w:unhideWhenUsed/>
    <w:qFormat/>
    <w:rsid w:val="000535C0"/>
    <w:pPr>
      <w:keepNext/>
      <w:keepLines/>
      <w:pBdr>
        <w:bottom w:val="single" w:sz="4" w:space="1" w:color="007179"/>
      </w:pBdr>
      <w:spacing w:before="40" w:after="0"/>
      <w:outlineLvl w:val="4"/>
    </w:pPr>
    <w:rPr>
      <w:rFonts w:asciiTheme="majorHAnsi" w:eastAsiaTheme="majorEastAsia" w:hAnsiTheme="majorHAnsi" w:cstheme="majorBidi"/>
      <w:color w:val="007179"/>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535C0"/>
    <w:rPr>
      <w:rFonts w:asciiTheme="majorHAnsi" w:eastAsiaTheme="majorEastAsia" w:hAnsiTheme="majorHAnsi" w:cstheme="majorHAnsi"/>
      <w:b/>
      <w:bCs/>
      <w:noProof/>
      <w:color w:val="007179"/>
      <w:sz w:val="32"/>
      <w:szCs w:val="32"/>
    </w:rPr>
  </w:style>
  <w:style w:type="character" w:customStyle="1" w:styleId="Titre5Car">
    <w:name w:val="Titre 5 Car"/>
    <w:basedOn w:val="Policepardfaut"/>
    <w:link w:val="Titre5"/>
    <w:uiPriority w:val="9"/>
    <w:rsid w:val="000535C0"/>
    <w:rPr>
      <w:rFonts w:asciiTheme="majorHAnsi" w:eastAsiaTheme="majorEastAsia" w:hAnsiTheme="majorHAnsi" w:cstheme="majorBidi"/>
      <w:noProof/>
      <w:color w:val="007179"/>
      <w:sz w:val="28"/>
      <w:szCs w:val="28"/>
    </w:rPr>
  </w:style>
  <w:style w:type="table" w:styleId="Grilledutableau">
    <w:name w:val="Table Grid"/>
    <w:basedOn w:val="TableauNormal"/>
    <w:uiPriority w:val="39"/>
    <w:rsid w:val="00053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0535C0"/>
    <w:rPr>
      <w:bCs/>
      <w:smallCaps/>
      <w:color w:val="007179"/>
      <w:spacing w:val="5"/>
    </w:rPr>
  </w:style>
  <w:style w:type="character" w:styleId="Rfrencelgre">
    <w:name w:val="Subtle Reference"/>
    <w:basedOn w:val="Policepardfaut"/>
    <w:uiPriority w:val="31"/>
    <w:qFormat/>
    <w:rsid w:val="000535C0"/>
    <w:rPr>
      <w:smallCaps/>
      <w:color w:val="5A5A5A" w:themeColor="text1" w:themeTint="A5"/>
    </w:rPr>
  </w:style>
  <w:style w:type="character" w:styleId="lev">
    <w:name w:val="Strong"/>
    <w:basedOn w:val="Policepardfaut"/>
    <w:uiPriority w:val="22"/>
    <w:qFormat/>
    <w:rsid w:val="000535C0"/>
    <w:rPr>
      <w:sz w:val="28"/>
    </w:rPr>
  </w:style>
  <w:style w:type="paragraph" w:styleId="Paragraphedeliste">
    <w:name w:val="List Paragraph"/>
    <w:basedOn w:val="Normal"/>
    <w:uiPriority w:val="34"/>
    <w:qFormat/>
    <w:rsid w:val="000535C0"/>
    <w:pPr>
      <w:ind w:left="720"/>
      <w:contextualSpacing/>
    </w:pPr>
  </w:style>
  <w:style w:type="character" w:customStyle="1" w:styleId="Titre2Car">
    <w:name w:val="Titre 2 Car"/>
    <w:basedOn w:val="Policepardfaut"/>
    <w:link w:val="Titre2"/>
    <w:uiPriority w:val="9"/>
    <w:semiHidden/>
    <w:rsid w:val="000535C0"/>
    <w:rPr>
      <w:rFonts w:asciiTheme="majorHAnsi" w:eastAsiaTheme="majorEastAsia" w:hAnsiTheme="majorHAnsi" w:cstheme="majorBidi"/>
      <w:noProof/>
      <w:color w:val="2F5496" w:themeColor="accent1" w:themeShade="BF"/>
      <w:sz w:val="26"/>
      <w:szCs w:val="26"/>
    </w:rPr>
  </w:style>
  <w:style w:type="paragraph" w:customStyle="1" w:styleId="paragraph">
    <w:name w:val="paragraph"/>
    <w:basedOn w:val="Normal"/>
    <w:rsid w:val="00051D1C"/>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51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2884">
      <w:bodyDiv w:val="1"/>
      <w:marLeft w:val="0"/>
      <w:marRight w:val="0"/>
      <w:marTop w:val="0"/>
      <w:marBottom w:val="0"/>
      <w:divBdr>
        <w:top w:val="none" w:sz="0" w:space="0" w:color="auto"/>
        <w:left w:val="none" w:sz="0" w:space="0" w:color="auto"/>
        <w:bottom w:val="none" w:sz="0" w:space="0" w:color="auto"/>
        <w:right w:val="none" w:sz="0" w:space="0" w:color="auto"/>
      </w:divBdr>
    </w:div>
    <w:div w:id="404038059">
      <w:bodyDiv w:val="1"/>
      <w:marLeft w:val="0"/>
      <w:marRight w:val="0"/>
      <w:marTop w:val="0"/>
      <w:marBottom w:val="0"/>
      <w:divBdr>
        <w:top w:val="none" w:sz="0" w:space="0" w:color="auto"/>
        <w:left w:val="none" w:sz="0" w:space="0" w:color="auto"/>
        <w:bottom w:val="none" w:sz="0" w:space="0" w:color="auto"/>
        <w:right w:val="none" w:sz="0" w:space="0" w:color="auto"/>
      </w:divBdr>
    </w:div>
    <w:div w:id="2061173196">
      <w:bodyDiv w:val="1"/>
      <w:marLeft w:val="0"/>
      <w:marRight w:val="0"/>
      <w:marTop w:val="0"/>
      <w:marBottom w:val="0"/>
      <w:divBdr>
        <w:top w:val="none" w:sz="0" w:space="0" w:color="auto"/>
        <w:left w:val="none" w:sz="0" w:space="0" w:color="auto"/>
        <w:bottom w:val="none" w:sz="0" w:space="0" w:color="auto"/>
        <w:right w:val="none" w:sz="0" w:space="0" w:color="auto"/>
      </w:divBdr>
    </w:div>
    <w:div w:id="211408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525</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 Stephanie</dc:creator>
  <cp:keywords/>
  <dc:description/>
  <cp:lastModifiedBy>Yann FORNIER</cp:lastModifiedBy>
  <cp:revision>4</cp:revision>
  <dcterms:created xsi:type="dcterms:W3CDTF">2023-09-25T10:35:00Z</dcterms:created>
  <dcterms:modified xsi:type="dcterms:W3CDTF">2023-09-25T10:55:00Z</dcterms:modified>
</cp:coreProperties>
</file>