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Times New Roman" w:hAnsi="Times New Roman"/>
          <w:b/>
          <w:color w:val="003366"/>
          <w:sz w:val="36"/>
        </w:rPr>
        <w:t>QUY TRÌNH: [ĐỘNG TỪ + DANH TỪ] (BUSINESS PROCESS DOCUMENT)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**Mã quy trình**: `PROC-001`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**Trạng thái**: [Draft / In Review / Approved]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**Áp dụng chuẩn**: Bridging The Gap (Laura Brandenburg, CBAP)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1. THÔNG TIN QUY TRÌNH (DOCUMENT INFORMATION)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Trường Thông Tin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Giá Trị Chi Tiết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**Tiêu đề quy trình (Process Title)**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[Động từ + Danh từ — Ví dụ: Tiếp Nhận và Xử Lý Yêu Cầu Hỗ Trợ]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**Chủ sở hữu quy trình (Process Owner)**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[Họ tên, Chức vụ - Trưởng phòng vận hành / nghiệp vụ]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**Phiên bản (Version)**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**Trạng thái (Status)**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[Draft / Approved]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**Ngày cập nhật (Date)**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[YYYY-MM-DD]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2. MỤC ĐÍCH &amp; PHẠM VI (PURPOSE &amp; SCOPE)</w:t>
      </w:r>
    </w:p>
    <w:p>
      <w:r>
        <w:rPr>
          <w:i/>
        </w:rPr>
        <w:t>[Hướng dẫn: Đoạn văn ngắn 2 - 4 câu nêu lý do tồn tại, chỉ rõ As-Is hay To-Be, và bắt buộc chứa câu cú pháp chuẩn]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"Quy trình này mô tả trạng thái [Hiện trạng As-Is / Tương lai To-Be] của hoạt động [Tên hoạt động]. Mục đích nhằm chuẩn hóa các thao tác, rút ngắn thời gian xử lý và giảm thiểu sai sót.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**Quy trình này bắt đầu khi** [Mô tả sự kiện / điều kiện kích hoạt ban đầu] **và kết thúc khi** [Mô tả sự kiện / trạng thái hoàn tất cuối cùng]."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3. ĐIỀU KIỆN KÍCH HOẠT (ENTRY CRITERIA)</w:t>
      </w:r>
    </w:p>
    <w:p>
      <w:r>
        <w:rPr>
          <w:i/>
        </w:rPr>
        <w:t>[Hướng dẫn: Các điều kiện trạng thái bắt buộc phải có trước khi quy trình bắt đầu; do Process Owner quy định]</w:t>
      </w:r>
    </w:p>
    <w:p>
      <w:pPr>
        <w:pStyle w:val="ListBullet"/>
        <w:spacing w:after="40" w:line="300" w:lineRule="auto"/>
      </w:pPr>
      <w:r>
        <w:t>[ ] Điều kiện 1: [Trạng thái tài khoản / hồ sơ hợp lệ]</w:t>
      </w:r>
    </w:p>
    <w:p>
      <w:pPr>
        <w:pStyle w:val="ListBullet"/>
        <w:spacing w:after="40" w:line="300" w:lineRule="auto"/>
      </w:pPr>
      <w:r>
        <w:t>[ ] Điều kiện 2: [Đã được cấp ngân sách / phê duyệt quyền thao tác]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4. DỮ LIỆU &amp; VẬT PHẨM ĐẦU VÀO (INPUTS)</w:t>
      </w:r>
    </w:p>
    <w:p>
      <w:r>
        <w:rPr>
          <w:i/>
        </w:rPr>
        <w:t>[Hướng dẫn: Các chứng từ, form, email, bản ghi DB hữu hình nhận được để bắt đầu công việc]</w:t>
      </w:r>
    </w:p>
    <w:p>
      <w:pPr>
        <w:pStyle w:val="ListBullet"/>
        <w:spacing w:after="40" w:line="300" w:lineRule="auto"/>
      </w:pPr>
      <w:r>
        <w:rPr>
          <w:b/>
        </w:rPr>
        <w:t>Đầu vào 1</w:t>
      </w:r>
      <w:r>
        <w:t>: [Form đăng ký yêu cầu trực tuyến / Email khiếu nại]</w:t>
      </w:r>
    </w:p>
    <w:p>
      <w:pPr>
        <w:pStyle w:val="ListBullet"/>
        <w:spacing w:after="40" w:line="300" w:lineRule="auto"/>
      </w:pPr>
      <w:r>
        <w:rPr>
          <w:b/>
        </w:rPr>
        <w:t>Đầu vào 2</w:t>
      </w:r>
      <w:r>
        <w:t>: [Tệp ảnh hoặc tài liệu đính kèm]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5. SƠ ĐỒ LUỒNG CÔNG VIỆC PHÂN LÀN (WORKFLOW SWIMLANE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25588"/>
                <w:sz w:val="19"/>
              </w:rPr>
              <w:t>[MERMAID]</w:t>
            </w:r>
          </w:p>
          <w:p>
            <w:pPr>
              <w:spacing w:line="276" w:lineRule="auto" w:after="0"/>
            </w:pPr>
            <w:r>
              <w:rPr>
                <w:rFonts w:ascii="Consolas" w:hAnsi="Consolas"/>
                <w:color w:val="333333"/>
                <w:sz w:val="20"/>
              </w:rPr>
              <w:t>flowchart TD</w:t>
              <w:br/>
              <w:t xml:space="preserve">    subgraph Role_A [Vai Trò A: Người Yêu Cầu]</w:t>
              <w:br/>
              <w:t xml:space="preserve">        A1([Bắt đầu: Phát sinh yêu cầu]) --&gt; A2[Nhập thông tin &amp; Gửi yêu cầu]</w:t>
              <w:br/>
              <w:t xml:space="preserve">    end</w:t>
              <w:br/>
              <w:br/>
              <w:t xml:space="preserve">    subgraph Role_B [Vai Trò B: Bộ Phận Tiếp Nhận &amp; Thẩm Định]</w:t>
              <w:br/>
              <w:t xml:space="preserve">        A2 --&gt; B1{Kiểm tra tính hợp lệ}</w:t>
              <w:br/>
              <w:t xml:space="preserve">        B1 --&gt;|Hợp lệ| B2[Chuyển tiếp cho chuyên viên xử lý]</w:t>
              <w:br/>
              <w:t xml:space="preserve">        B1 --&gt;|Không hợp lệ| B3[Gửi thông báo từ chối &amp; Hướng dẫn bổ sung]</w:t>
              <w:br/>
              <w:t xml:space="preserve">    end</w:t>
              <w:br/>
              <w:br/>
              <w:t xml:space="preserve">    subgraph Role_C [Vai Trò C: Chuyên Viên Xử Lý]</w:t>
              <w:br/>
              <w:t xml:space="preserve">        B2 --&gt; C1[Xử lý nghiệp vụ chuyên môn]</w:t>
              <w:br/>
              <w:t xml:space="preserve">        C1 --&gt; C2([Kết thúc: Cập nhật trạng thái hoàn thành])</w:t>
              <w:br/>
              <w:t xml:space="preserve">    end</w:t>
              <w:br/>
              <w:br/>
              <w:t xml:space="preserve">    classDef startEnd fill:#e1f5fe,stroke:#0288d1,stroke-width:2px;</w:t>
              <w:br/>
              <w:t xml:space="preserve">    classDef decision fill:#fff9c4,stroke:#fbc02d,stroke-width:2px;</w:t>
              <w:br/>
              <w:t xml:space="preserve">    class A1,C2 startEnd;</w:t>
              <w:br/>
              <w:t xml:space="preserve">    class B1 decision;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6. MÔ TẢ CHI TIẾT TỪNG BƯỚC HOẠT ĐỘNG (ACTIVITY DESCRIPTIONS)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Bước 1: [Tên bước thao tác 1]</w:t>
      </w:r>
    </w:p>
    <w:p>
      <w:pPr>
        <w:pStyle w:val="ListBullet"/>
        <w:spacing w:after="40" w:line="300" w:lineRule="auto"/>
      </w:pPr>
      <w:r>
        <w:rPr>
          <w:b/>
        </w:rPr>
        <w:t>Người thực hiện (Actor)</w:t>
      </w:r>
      <w:r>
        <w:t>: [Vai trò đảm nhiệm]</w:t>
      </w:r>
    </w:p>
    <w:p>
      <w:pPr>
        <w:pStyle w:val="ListBullet"/>
        <w:spacing w:after="40" w:line="300" w:lineRule="auto"/>
      </w:pPr>
      <w:r>
        <w:rPr>
          <w:b/>
        </w:rPr>
        <w:t>Mô tả hành động</w:t>
      </w:r>
      <w:r>
        <w:t>: [Mô tả văn xuôi chi tiết các thao tác thực hiện]</w:t>
      </w:r>
    </w:p>
    <w:p>
      <w:pPr>
        <w:pStyle w:val="ListBullet"/>
        <w:spacing w:after="40" w:line="300" w:lineRule="auto"/>
      </w:pPr>
      <w:r>
        <w:rPr>
          <w:b/>
        </w:rPr>
        <w:t>Quy tắc liên quan</w:t>
      </w:r>
      <w:r>
        <w:t>: Tuân thủ quy tắc nghiệp vụ `BR-01`.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Bước 2: [Tên bước thao tác 2]</w:t>
      </w:r>
    </w:p>
    <w:p>
      <w:pPr>
        <w:pStyle w:val="ListBullet"/>
        <w:spacing w:after="40" w:line="300" w:lineRule="auto"/>
      </w:pPr>
      <w:r>
        <w:rPr>
          <w:b/>
        </w:rPr>
        <w:t>Người thực hiện (Actor)</w:t>
      </w:r>
      <w:r>
        <w:t>: [Vai trò đảm nhiệm]</w:t>
      </w:r>
    </w:p>
    <w:p>
      <w:pPr>
        <w:pStyle w:val="ListBullet"/>
        <w:spacing w:after="40" w:line="300" w:lineRule="auto"/>
      </w:pPr>
      <w:r>
        <w:rPr>
          <w:b/>
        </w:rPr>
        <w:t>Mô tả hành động</w:t>
      </w:r>
      <w:r>
        <w:t>: [Mô tả văn xuôi chi tiết các thao tác thực hiện]</w:t>
      </w:r>
    </w:p>
    <w:p>
      <w:pPr>
        <w:pStyle w:val="ListBullet"/>
        <w:spacing w:after="40" w:line="300" w:lineRule="auto"/>
      </w:pPr>
      <w:r>
        <w:rPr>
          <w:b/>
        </w:rPr>
        <w:t>Điểm rẽ nhánh</w:t>
      </w:r>
      <w:r>
        <w:t>: Nếu [Điều kiện đúng] thì chuyển sang Bước 3; nếu [Điều kiện sai] thì xử lý theo Ngoại lệ `EX-01`.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7. CÁC TÌNH HUỐNG NGOẠI LỆ (EXCEPTIONS)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Mã Ngoại Lệ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Điểm Phát Sinh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Mô Tả Tình Huống Ngoại Lệ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Hướng Xử Lý Khắc Phục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**EX-01**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Bước 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Khách hàng không cung cấp đủ chứng từ sau 3 ngày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Hệ thống tự động gửi email nhắc nhở lần 2; nếu sau 7 ngày không bổ sung sẽ đóng hồ sơ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**EX-02**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Bước 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Người xử lý chính vắng mặt đột xuất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Tự động phân phối lại hồ sơ cho người dự phòng (Backup Role)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8. BẢNG QUY TẮC NGHIỆP VỤ (BUSINESS RULES MATRIX)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Mã Quy Tắc (Rule ID)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Nội Dung Quy Tắc Nghiệp Vụ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Bước Áp Dụng (Activity Step)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**BR-01**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[Chính sách / Luật lệ quy định về thẩm quyền, hạn mức, thời gian]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Bước 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**BR-02**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[Chính sách / Luật lệ quy định về bảo mật, định dạng, điều kiện]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Bước 2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9. SẢN PHẨM ĐẦU RA (OUTPUTS)</w:t>
      </w:r>
    </w:p>
    <w:p>
      <w:r>
        <w:rPr>
          <w:i/>
        </w:rPr>
        <w:t>[Hướng dẫn: Sản phẩm hữu hình sinh ra từ quy trình]</w:t>
      </w:r>
    </w:p>
    <w:p>
      <w:pPr>
        <w:pStyle w:val="ListBullet"/>
        <w:spacing w:after="40" w:line="300" w:lineRule="auto"/>
      </w:pPr>
      <w:r>
        <w:rPr>
          <w:b/>
        </w:rPr>
        <w:t>Đầu ra 1</w:t>
      </w:r>
      <w:r>
        <w:t>: [Biên bản nghiệm thu / Hóa đơn điện tử / Email xác nhận giải quyết]</w:t>
      </w:r>
    </w:p>
    <w:p>
      <w:pPr>
        <w:pStyle w:val="ListBullet"/>
        <w:spacing w:after="40" w:line="300" w:lineRule="auto"/>
      </w:pPr>
      <w:r>
        <w:rPr>
          <w:b/>
        </w:rPr>
        <w:t>Đầu ra 2</w:t>
      </w:r>
      <w:r>
        <w:t>: [Bản ghi nhật ký trạng thái đã được lưu trong cơ sở dữ liệu]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10. TIÊU CHUẨN HOÀN TẤT QUY TRÌNH (EXIT CRITERIA)</w:t>
      </w:r>
    </w:p>
    <w:p>
      <w:r>
        <w:rPr>
          <w:i/>
        </w:rPr>
        <w:t>[Hướng dẫn: Tiêu chuẩn xác nhận quy trình kết thúc thành công; là Entry Criteria của quy trình downstream]</w:t>
      </w:r>
    </w:p>
    <w:p>
      <w:pPr>
        <w:pStyle w:val="ListBullet"/>
        <w:spacing w:after="40" w:line="300" w:lineRule="auto"/>
      </w:pPr>
      <w:r>
        <w:t>[ ] Tiêu chuẩn 1: [Khách hàng nhận được kết quả và xác nhận hài lòng / Không còn khiếu nại]</w:t>
      </w:r>
    </w:p>
    <w:p>
      <w:pPr>
        <w:pStyle w:val="ListBullet"/>
        <w:spacing w:after="40" w:line="300" w:lineRule="auto"/>
      </w:pPr>
      <w:r>
        <w:t>[ ] Tiêu chuẩn 2: [Toàn bộ dữ liệu giao dịch đã được đồng bộ với hệ thống kế toán / ERP]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11. PHÂN QUYỀN VAI TRÒ &amp; CHỈ SỐ ĐO LƯỜNG (ROLES &amp; METRICS)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Bảng Phân Quyền Vai Trò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Vai Trò (Role)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Trách Nhiệm Cụ Thể (Responsibilities)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Ai Đảm Nhận (Who Fulfills)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**[Vai trò 1]**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[Mô tả trách nhiệm cốt lõi]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[Bộ phận / Chức danh]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**[Vai trò 2]**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[Mô tả trách nhiệm cốt lõi]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[Bộ phận / Chức danh]</w:t>
            </w:r>
          </w:p>
        </w:tc>
      </w:tr>
    </w:tbl>
    <w:p/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Chỉ Số Đo Lường Hiệu Quả (Metrics)</w:t>
      </w:r>
    </w:p>
    <w:p>
      <w:pPr>
        <w:pStyle w:val="ListNumber"/>
        <w:spacing w:after="40" w:line="300" w:lineRule="auto"/>
      </w:pPr>
      <w:r>
        <w:rPr>
          <w:b/>
        </w:rPr>
        <w:t>Thời gian chu kỳ (Cycle Time)</w:t>
      </w:r>
      <w:r>
        <w:t>: Thời gian từ lúc tiếp nhận đến khi xử lý dứt điểm $\le$ [X giờ / ngày].</w:t>
      </w:r>
    </w:p>
    <w:p>
      <w:pPr>
        <w:pStyle w:val="ListNumber"/>
        <w:spacing w:after="40" w:line="300" w:lineRule="auto"/>
      </w:pPr>
      <w:r>
        <w:rPr>
          <w:b/>
        </w:rPr>
        <w:t>Tỷ lệ hoàn thành đúng hạn (SLA Compliance)</w:t>
      </w:r>
      <w:r>
        <w:t>: Đạt tối thiểu [Y]% trên tổng số yêu cầu hàng tháng.</w:t>
      </w:r>
    </w:p>
    <w:p>
      <w:pPr>
        <w:pStyle w:val="ListNumber"/>
        <w:spacing w:after="40" w:line="300" w:lineRule="auto"/>
      </w:pPr>
      <w:r>
        <w:rPr>
          <w:b/>
        </w:rPr>
        <w:t>Mức độ hài lòng của khách hàng (CSAT)</w:t>
      </w:r>
      <w:r>
        <w:t>: Điểm trung bình đánh giá đạt $\ge$ [Z/5 sao].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