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Times New Roman" w:hAnsi="Times New Roman"/>
          <w:b/>
          <w:color w:val="003366"/>
          <w:sz w:val="36"/>
        </w:rPr>
        <w:t>[TÊN DỰ ÁN] — ĐẶC TẢ ÁNH XẠ DỮ LIỆU &amp; TÍCH HỢP HỆ THỐNG (DATA MAPPING &amp; API SPECIFICATION)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**Mã tài liệu**: `DOC-DATA-MAP-001`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**Trạng thái**: Draft / In Review / Approved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**Áp dụng chuẩn**: Bridging The Gap (Laura Brandenburg, CBAP) &amp; Tích Hợp API Doanh Nghiệp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1. THÔNG TIN GIAO TIẾP TÍCH HỢP (INTEGRATION OVERVIEW)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Thông Tin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Giá Trị Chi Tiết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**Tên giao thức / API**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[Tên giao thức — Ví dụ: API Tạo mã VietQR động / Webhook Đối soát]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**Hệ thống gửi (Source System)**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[Hệ thống nội bộ — Ví dụ: Ứng dụng Bồi thường Bảo hiểm]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**Hệ thống nhận (Target System)**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[Hệ thống đối tác — Ví dụ: Cổng thanh toán Napas / Ngân hàng thụ hưởng]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**Giao thức kết nối (Protocol)**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RESTful API / JSON over HTTPS / Webhook HMAC-SHA256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**Tần suất / Kích hoạt (Trigger)**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Hướng sự kiện (Event-driven): Khi người dùng bấm xác nhận thanh toán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**Người lập (Prepared By)**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[Họ tên - Business Analyst]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**Ngày cập nhật (Date)**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[YYYY-MM-DD]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2. SƠ ĐỒ NGỮ CẢNH HỆ THỐNG &amp; DÒNG CHẢY DỮ LIỆU (SYSTEM CONTEXT DIAGRAM)</w:t>
      </w:r>
    </w:p>
    <w:p>
      <w:r>
        <w:rPr>
          <w:i/>
        </w:rPr>
        <w:t>[Hướng dẫn: Mô tả luồng thông tin qua lại giữa hệ thống hiện tại và các hệ thống vệ tinh bằng Mermaid Sequence hoặc Flowchart]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[MERMAID]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sequenceDiagram</w:t>
              <w:br/>
              <w:t xml:space="preserve">    autonumber</w:t>
              <w:br/>
              <w:t xml:space="preserve">    actor User as Khách hàng</w:t>
              <w:br/>
              <w:t xml:space="preserve">    participant App as Ứng dụng Frontend</w:t>
              <w:br/>
              <w:t xml:space="preserve">    participant Backend as Máy chủ Hệ thống (Source)</w:t>
              <w:br/>
              <w:t xml:space="preserve">    participant Gateway as Cổng Thanh Toán / Ngân hàng (Target)</w:t>
              <w:br/>
              <w:br/>
              <w:t xml:space="preserve">    User-&gt;&gt;App: Chọn phương thức VietQR và bấm "Thanh toán"</w:t>
              <w:br/>
              <w:t xml:space="preserve">    App-&gt;&gt;Backend: POST /api/v1/payments/create-qr</w:t>
              <w:br/>
              <w:t xml:space="preserve">    Backend-&gt;&gt;Gateway: POST /api/v2/vietqr/generate (HMAC Signed)</w:t>
              <w:br/>
              <w:t xml:space="preserve">    Gateway--&gt;&gt;Backend: 200 OK + QR String &amp; Payment URL</w:t>
              <w:br/>
              <w:t xml:space="preserve">    Backend--&gt;&gt;App: Trả về mã VietQR động &amp; Đồng hồ 15 phút</w:t>
              <w:br/>
              <w:t xml:space="preserve">    App--&gt;&gt;User: Hiển thị mã QR để quét tiền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3. MA TRẬN ÁNH XẠ DỮ LIỆU (DATA MAPPING MATRIX)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Hướng Dữ Liệu: `Yêu Cầu (Request Payload: Source -&gt; Target)`</w:t>
      </w:r>
    </w:p>
    <w:p>
      <w:r>
        <w:rPr>
          <w:i/>
        </w:rPr>
        <w:t>Mô tả: Dữ liệu hệ thống gửi sang đối tác để khởi tạo giao dịch.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STT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Dữ Liệu Nguồn (Source Field)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Kiểu Dữ Liệu Nguồn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Dữ Liệu Đích (Target Field)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Kiểu Dữ Liệu Đích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Bắt Buộc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Quy Tắc Chuyển Đổi &amp; Biến Đổi (Transformation Logic)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`claim_file.claim_id`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UUIDv7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`orderId`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String(32)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Lấy 8 ký tự đầu gạch nối mã hóa: `CLM-XXXXX`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`claim_file.approved_amount`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Decimal(15,2)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`amount`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Long Integer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Làm tròn thành số nguyên VNĐ (nhân 1, loại bỏ phần thập phân)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`bank_account.bank_code`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String(6)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`beneficiaryBank`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String(6)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Chuẩn hóa theo mã định danh ngân hàng BIN của Napas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`bank_account.account_num`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String(20)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`beneficiaryAccount`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String(20)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Loại bỏ toàn bộ dấu cách và ký tự đặc biệt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`current_timestamp`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DateTime UTC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`requestTime`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ISO 8601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Chuyển đổi sang định dạng `YYYY-MM-DDTHH:mm:ss+07:00`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*Tự động sinh tại Server*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`signature`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String(64)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Băm HMAC-SHA256(`orderId + amount + secret_key`)</w:t>
            </w:r>
          </w:p>
        </w:tc>
      </w:tr>
    </w:tbl>
    <w:p/>
    <w:p>
      <w:r>
        <w:t>---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Hướng Dữ Liệu: `Phản Hồi / Webhook (Response / IPN Payload: Target -&gt; Source)`</w:t>
      </w:r>
    </w:p>
    <w:p>
      <w:r>
        <w:rPr>
          <w:i/>
        </w:rPr>
        <w:t>Mô tả: Dữ liệu máy chủ đối tác đẩy ngược về để cập nhật trạng thái.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STT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Đối Tác Đẩy Về (Target Field)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Kiểu Dữ Liệu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Cập Nhật Nguồn (Source Field)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Bắt Buộc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Quy Tắc Xử Lý &amp; Đối Soát Nghiệp Vụ (Reconciliation Rule)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`gatewayTransactionId`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String(64)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`payments.gateway_trans_id`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Lưu vết mã giao dịch ngân hàng để đối soát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`orderId`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String(32)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`payments.order_code`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Tìm kiếm bản ghi thanh toán tương ứng trong hệ thống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`paidAmount`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Long Integer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`payments.actual_amount`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Đối soát: Nếu `paidAmount == claim.approved_amount` $\to$ Thành công. Nếu khác $\to$ Treo cờ lệch tiền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`statusCode`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String(10)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`payments.status`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Nếu `00` $\to$ Cập nhật `PAID`. Nếu khác `00` $\to$ Cập nhật `FAILED`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`signature`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String(64)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Kiểm tra chữ ký hợp lệ trước khi thực hiện ghi dữ liệu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4. XỬ LÝ LỖI, BÙ TRỪ &amp; TIMEOUT (ERROR HANDLING &amp; RETRY POLICY)</w:t>
      </w:r>
    </w:p>
    <w:p>
      <w:pPr>
        <w:pStyle w:val="ListNumber"/>
        <w:spacing w:after="40" w:line="300" w:lineRule="auto"/>
      </w:pPr>
      <w:r>
        <w:rPr>
          <w:b/>
        </w:rPr>
        <w:t>Chính sách Thử lại Tự động (Retry Policy)</w:t>
      </w:r>
      <w:r>
        <w:t>:</w:t>
      </w:r>
    </w:p>
    <w:p>
      <w:pPr>
        <w:pStyle w:val="ListBullet"/>
        <w:spacing w:after="40" w:line="300" w:lineRule="auto"/>
      </w:pPr>
      <w:r>
        <w:t>Nếu gọi API thất bại do mất mạng hoặc Timeout (HTTP 502/504): Kích hoạt cơ chế Thử lại lũy tiến (Exponential Backoff: sau 5s, 15s, 60s, tối đa 3 lần).</w:t>
      </w:r>
    </w:p>
    <w:p>
      <w:pPr>
        <w:pStyle w:val="ListNumber"/>
        <w:spacing w:after="40" w:line="300" w:lineRule="auto"/>
      </w:pPr>
      <w:r>
        <w:rPr>
          <w:b/>
        </w:rPr>
        <w:t>Cơ chế Bù trừ Trạng thái (Reconciliation Fallback)</w:t>
      </w:r>
      <w:r>
        <w:t>:</w:t>
      </w:r>
    </w:p>
    <w:p>
      <w:pPr>
        <w:pStyle w:val="ListBullet"/>
        <w:spacing w:after="40" w:line="300" w:lineRule="auto"/>
      </w:pPr>
      <w:r>
        <w:t>Nếu không nhận được Webhook trong vòng 15 phút: Cronjob chạy mỗi phút tự động gọi API tra cứu trạng thái giao dịch (`GET /api/v2/transactions/{orderId}/status`) để đối soát bù.</w:t>
      </w:r>
    </w:p>
    <w:p>
      <w:pPr>
        <w:pStyle w:val="ListNumber"/>
        <w:spacing w:after="40" w:line="300" w:lineRule="auto"/>
      </w:pPr>
      <w:r>
        <w:rPr>
          <w:b/>
        </w:rPr>
        <w:t>Quy định Idempotency (Tránh xử lý lặp lại)</w:t>
      </w:r>
      <w:r>
        <w:t>:</w:t>
      </w:r>
    </w:p>
    <w:p>
      <w:pPr>
        <w:pStyle w:val="ListBullet"/>
        <w:spacing w:after="40" w:line="300" w:lineRule="auto"/>
      </w:pPr>
      <w:r>
        <w:t>Mọi bản tin Webhook nhận từ đối tác bắt buộc phải kiểm tra `gatewayTransactionId`. Nếu mã giao dịch đã được xử lý trước đó, trả về HTTP 200 OK ngay lập tức và bỏ qua bước ghi dữ liệu trùng lặp.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