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3BBF" w14:textId="77777777" w:rsidR="004F240E" w:rsidRPr="004F240E" w:rsidRDefault="004F240E" w:rsidP="004F240E">
      <w:pPr>
        <w:rPr>
          <w:b/>
          <w:bCs/>
        </w:rPr>
      </w:pPr>
      <w:r w:rsidRPr="004F240E">
        <w:rPr>
          <w:b/>
          <w:bCs/>
        </w:rPr>
        <w:t>Annotated Bibliography: The French Revolution Travel Blog Project</w:t>
      </w:r>
    </w:p>
    <w:p w14:paraId="428E1003" w14:textId="77777777" w:rsidR="004F240E" w:rsidRPr="004F240E" w:rsidRDefault="004F240E" w:rsidP="004F240E">
      <w:pPr>
        <w:rPr>
          <w:b/>
          <w:bCs/>
        </w:rPr>
      </w:pPr>
      <w:r w:rsidRPr="004F240E">
        <w:rPr>
          <w:b/>
          <w:bCs/>
        </w:rPr>
        <w:pict w14:anchorId="699D8D25">
          <v:rect id="_x0000_i1181" style="width:0;height:1.5pt" o:hralign="center" o:hrstd="t" o:hr="t" fillcolor="#a0a0a0" stroked="f"/>
        </w:pict>
      </w:r>
    </w:p>
    <w:p w14:paraId="5F092638" w14:textId="77777777" w:rsidR="004F240E" w:rsidRPr="004F240E" w:rsidRDefault="004F240E" w:rsidP="004F240E">
      <w:pPr>
        <w:rPr>
          <w:b/>
          <w:bCs/>
        </w:rPr>
      </w:pPr>
      <w:r w:rsidRPr="004F240E">
        <w:rPr>
          <w:b/>
          <w:bCs/>
        </w:rPr>
        <w:t>Primary Sources</w:t>
      </w:r>
    </w:p>
    <w:p w14:paraId="7D0C1818" w14:textId="77777777" w:rsidR="004F240E" w:rsidRPr="004F240E" w:rsidRDefault="004F240E" w:rsidP="004F240E">
      <w:pPr>
        <w:rPr>
          <w:b/>
          <w:bCs/>
        </w:rPr>
      </w:pPr>
      <w:r w:rsidRPr="004F240E">
        <w:rPr>
          <w:b/>
          <w:bCs/>
        </w:rPr>
        <w:t xml:space="preserve">“Declaration of the Rights of Man and of the Citizen.” </w:t>
      </w:r>
      <w:r w:rsidRPr="004F240E">
        <w:rPr>
          <w:b/>
          <w:bCs/>
          <w:i/>
          <w:iCs/>
        </w:rPr>
        <w:t>The Avalon Project</w:t>
      </w:r>
      <w:r w:rsidRPr="004F240E">
        <w:rPr>
          <w:b/>
          <w:bCs/>
        </w:rPr>
        <w:t xml:space="preserve">, Yale Law School, 1789, </w:t>
      </w:r>
      <w:hyperlink r:id="rId4" w:tgtFrame="_new" w:history="1">
        <w:r w:rsidRPr="004F240E">
          <w:rPr>
            <w:rStyle w:val="Hyperlink"/>
            <w:b/>
            <w:bCs/>
          </w:rPr>
          <w:t>https://avalon.law.yale.edu/18th_century/rightsof.asp</w:t>
        </w:r>
      </w:hyperlink>
      <w:r w:rsidRPr="004F240E">
        <w:rPr>
          <w:b/>
          <w:bCs/>
        </w:rPr>
        <w:t>.</w:t>
      </w:r>
      <w:r w:rsidRPr="004F240E">
        <w:rPr>
          <w:b/>
          <w:bCs/>
        </w:rPr>
        <w:br/>
        <w:t>This foundational document of the French Revolution declares the natural rights of citizens, such as liberty, property, and resistance to oppression. Written in 1789 by the National Assembly, it captures Enlightenment ideals that inspired revolutionary change. The document’s clear articulation of equality and freedom challenged the absolute monarchy and set a precedent for modern democratic constitutions. Its primary value lies in showing the philosophical foundations of the Revolution and the people’s demand for justice and reform. For a travel blog, this text helps explain the ideological atmosphere behind key revolutionary sites like Versailles and the Bastille.</w:t>
      </w:r>
    </w:p>
    <w:p w14:paraId="5405442F" w14:textId="77777777" w:rsidR="004F240E" w:rsidRPr="004F240E" w:rsidRDefault="004F240E" w:rsidP="004F240E">
      <w:pPr>
        <w:rPr>
          <w:b/>
          <w:bCs/>
        </w:rPr>
      </w:pPr>
      <w:r w:rsidRPr="004F240E">
        <w:rPr>
          <w:b/>
          <w:bCs/>
        </w:rPr>
        <w:pict w14:anchorId="5C3CA626">
          <v:rect id="_x0000_i1182" style="width:0;height:1.5pt" o:hralign="center" o:hrstd="t" o:hr="t" fillcolor="#a0a0a0" stroked="f"/>
        </w:pict>
      </w:r>
    </w:p>
    <w:p w14:paraId="69159577" w14:textId="77777777" w:rsidR="004F240E" w:rsidRPr="004F240E" w:rsidRDefault="004F240E" w:rsidP="004F240E">
      <w:pPr>
        <w:rPr>
          <w:b/>
          <w:bCs/>
        </w:rPr>
      </w:pPr>
      <w:r w:rsidRPr="004F240E">
        <w:rPr>
          <w:b/>
          <w:bCs/>
        </w:rPr>
        <w:t xml:space="preserve">“Declaration of the Rights of Man and of the Citizen (1793).” </w:t>
      </w:r>
      <w:r w:rsidRPr="004F240E">
        <w:rPr>
          <w:b/>
          <w:bCs/>
          <w:i/>
          <w:iCs/>
        </w:rPr>
        <w:t>Columbia University</w:t>
      </w:r>
      <w:r w:rsidRPr="004F240E">
        <w:rPr>
          <w:b/>
          <w:bCs/>
        </w:rPr>
        <w:t xml:space="preserve">, 1793, </w:t>
      </w:r>
      <w:hyperlink r:id="rId5" w:tgtFrame="_new" w:history="1">
        <w:r w:rsidRPr="004F240E">
          <w:rPr>
            <w:rStyle w:val="Hyperlink"/>
            <w:b/>
            <w:bCs/>
          </w:rPr>
          <w:t>https://www.columbia.edu/~iw6/docs/dec1793.html</w:t>
        </w:r>
      </w:hyperlink>
      <w:r w:rsidRPr="004F240E">
        <w:rPr>
          <w:b/>
          <w:bCs/>
        </w:rPr>
        <w:t>.</w:t>
      </w:r>
      <w:r w:rsidRPr="004F240E">
        <w:rPr>
          <w:b/>
          <w:bCs/>
        </w:rPr>
        <w:br/>
        <w:t>The 1793 Declaration was adopted during the radical phase of the Revolution and represents a more egalitarian and populist version of the earlier declaration. It emphasizes economic and social rights, including work, education, and welfare, reflecting the Jacobins’ influence. This primary document highlights the growing tension between liberty and equality during the Reign of Terror. Its tone is more urgent and revolutionary, aligning with the radical political climate of 1793. For the project, it provides firsthand evidence of how revolutionary ideals evolved and became more inclusive yet extreme as political instability deepened.</w:t>
      </w:r>
    </w:p>
    <w:p w14:paraId="7C13E0A0" w14:textId="77777777" w:rsidR="004F240E" w:rsidRPr="004F240E" w:rsidRDefault="004F240E" w:rsidP="004F240E">
      <w:pPr>
        <w:rPr>
          <w:b/>
          <w:bCs/>
        </w:rPr>
      </w:pPr>
      <w:r w:rsidRPr="004F240E">
        <w:rPr>
          <w:b/>
          <w:bCs/>
        </w:rPr>
        <w:pict w14:anchorId="1DBED440">
          <v:rect id="_x0000_i1183" style="width:0;height:1.5pt" o:hralign="center" o:hrstd="t" o:hr="t" fillcolor="#a0a0a0" stroked="f"/>
        </w:pict>
      </w:r>
    </w:p>
    <w:p w14:paraId="219D57A2" w14:textId="77777777" w:rsidR="004F240E" w:rsidRPr="004F240E" w:rsidRDefault="004F240E" w:rsidP="004F240E">
      <w:pPr>
        <w:rPr>
          <w:b/>
          <w:bCs/>
        </w:rPr>
      </w:pPr>
      <w:r w:rsidRPr="004F240E">
        <w:rPr>
          <w:b/>
          <w:bCs/>
        </w:rPr>
        <w:t xml:space="preserve">“French Revolution Digital Archive.” </w:t>
      </w:r>
      <w:r w:rsidRPr="004F240E">
        <w:rPr>
          <w:b/>
          <w:bCs/>
          <w:i/>
          <w:iCs/>
        </w:rPr>
        <w:t>Stanford University Libraries</w:t>
      </w:r>
      <w:r w:rsidRPr="004F240E">
        <w:rPr>
          <w:b/>
          <w:bCs/>
        </w:rPr>
        <w:t xml:space="preserve"> and </w:t>
      </w:r>
      <w:r w:rsidRPr="004F240E">
        <w:rPr>
          <w:b/>
          <w:bCs/>
          <w:i/>
          <w:iCs/>
        </w:rPr>
        <w:t xml:space="preserve">Bibliothèque </w:t>
      </w:r>
      <w:proofErr w:type="spellStart"/>
      <w:r w:rsidRPr="004F240E">
        <w:rPr>
          <w:b/>
          <w:bCs/>
          <w:i/>
          <w:iCs/>
        </w:rPr>
        <w:t>nationale</w:t>
      </w:r>
      <w:proofErr w:type="spellEnd"/>
      <w:r w:rsidRPr="004F240E">
        <w:rPr>
          <w:b/>
          <w:bCs/>
          <w:i/>
          <w:iCs/>
        </w:rPr>
        <w:t xml:space="preserve"> de France</w:t>
      </w:r>
      <w:r w:rsidRPr="004F240E">
        <w:rPr>
          <w:b/>
          <w:bCs/>
        </w:rPr>
        <w:t xml:space="preserve">, 2024, </w:t>
      </w:r>
      <w:hyperlink r:id="rId6" w:tgtFrame="_new" w:history="1">
        <w:r w:rsidRPr="004F240E">
          <w:rPr>
            <w:rStyle w:val="Hyperlink"/>
            <w:b/>
            <w:bCs/>
          </w:rPr>
          <w:t>https://frda.stanford.edu/</w:t>
        </w:r>
      </w:hyperlink>
      <w:r w:rsidRPr="004F240E">
        <w:rPr>
          <w:b/>
          <w:bCs/>
        </w:rPr>
        <w:t>.</w:t>
      </w:r>
      <w:r w:rsidRPr="004F240E">
        <w:rPr>
          <w:b/>
          <w:bCs/>
        </w:rPr>
        <w:br/>
        <w:t>This digital archive hosts a vast collection of original documents, debates, and images from the French Revolution. It includes minutes from the National Assembly, pamphlets, and engravings that illustrate both the political and emotional climate of the era. By providing direct access to historical records, it allows researchers to experience the Revolution through authentic voices and artifacts. Its quality and reliability are ensured through collaboration between two respected institutions. For the travel blog, it’s valuable for sourcing quotes, visuals, and public reactions from the time, bringing historical sites like the Tuileries and Place de la Concorde to life.</w:t>
      </w:r>
    </w:p>
    <w:p w14:paraId="2C379EEB" w14:textId="77777777" w:rsidR="004F240E" w:rsidRPr="004F240E" w:rsidRDefault="004F240E" w:rsidP="004F240E">
      <w:pPr>
        <w:rPr>
          <w:b/>
          <w:bCs/>
        </w:rPr>
      </w:pPr>
      <w:r w:rsidRPr="004F240E">
        <w:rPr>
          <w:b/>
          <w:bCs/>
        </w:rPr>
        <w:pict w14:anchorId="3CE169ED">
          <v:rect id="_x0000_i1184" style="width:0;height:1.5pt" o:hralign="center" o:hrstd="t" o:hr="t" fillcolor="#a0a0a0" stroked="f"/>
        </w:pict>
      </w:r>
    </w:p>
    <w:p w14:paraId="6CD878A2" w14:textId="77777777" w:rsidR="004F240E" w:rsidRPr="004F240E" w:rsidRDefault="004F240E" w:rsidP="004F240E">
      <w:pPr>
        <w:rPr>
          <w:b/>
          <w:bCs/>
        </w:rPr>
      </w:pPr>
      <w:r w:rsidRPr="004F240E">
        <w:rPr>
          <w:b/>
          <w:bCs/>
        </w:rPr>
        <w:lastRenderedPageBreak/>
        <w:t xml:space="preserve">“Documents of the French Revolution.” </w:t>
      </w:r>
      <w:r w:rsidRPr="004F240E">
        <w:rPr>
          <w:b/>
          <w:bCs/>
          <w:i/>
          <w:iCs/>
        </w:rPr>
        <w:t>Columbia University</w:t>
      </w:r>
      <w:r w:rsidRPr="004F240E">
        <w:rPr>
          <w:b/>
          <w:bCs/>
        </w:rPr>
        <w:t xml:space="preserve">, 2024, </w:t>
      </w:r>
      <w:hyperlink r:id="rId7" w:tgtFrame="_new" w:history="1">
        <w:r w:rsidRPr="004F240E">
          <w:rPr>
            <w:rStyle w:val="Hyperlink"/>
            <w:b/>
            <w:bCs/>
          </w:rPr>
          <w:t>https://www.columbia.edu/~iw6/doc_frv.html</w:t>
        </w:r>
      </w:hyperlink>
      <w:r w:rsidRPr="004F240E">
        <w:rPr>
          <w:b/>
          <w:bCs/>
        </w:rPr>
        <w:t>.</w:t>
      </w:r>
      <w:r w:rsidRPr="004F240E">
        <w:rPr>
          <w:b/>
          <w:bCs/>
        </w:rPr>
        <w:br/>
        <w:t>This collection compiles various primary documents from the French Revolution, including speeches, decrees, and reports from political clubs. It offers a broad perspective on the Revolution’s political development, showing the complexity of events leading from monarchy to republic. The material’s credibility stems from its academic curation and faithful translation. Its value lies in demonstrating the voices and decisions that shaped revolutionary France. It is particularly relevant for understanding public policy, popular movements, and the execution of Louis XVI. For the blog, it can enrich posts about leadership, revolution, and civic identity.</w:t>
      </w:r>
    </w:p>
    <w:p w14:paraId="4798C1D5" w14:textId="77777777" w:rsidR="004F240E" w:rsidRPr="004F240E" w:rsidRDefault="004F240E" w:rsidP="004F240E">
      <w:pPr>
        <w:rPr>
          <w:b/>
          <w:bCs/>
        </w:rPr>
      </w:pPr>
      <w:r w:rsidRPr="004F240E">
        <w:rPr>
          <w:b/>
          <w:bCs/>
        </w:rPr>
        <w:pict w14:anchorId="2EA9784C">
          <v:rect id="_x0000_i1185" style="width:0;height:1.5pt" o:hralign="center" o:hrstd="t" o:hr="t" fillcolor="#a0a0a0" stroked="f"/>
        </w:pict>
      </w:r>
    </w:p>
    <w:p w14:paraId="4A50E045" w14:textId="77777777" w:rsidR="004F240E" w:rsidRPr="004F240E" w:rsidRDefault="004F240E" w:rsidP="004F240E">
      <w:pPr>
        <w:rPr>
          <w:b/>
          <w:bCs/>
        </w:rPr>
      </w:pPr>
      <w:r w:rsidRPr="004F240E">
        <w:rPr>
          <w:b/>
          <w:bCs/>
        </w:rPr>
        <w:t xml:space="preserve">“Primary Sources: French Revolution and Napoleon.” </w:t>
      </w:r>
      <w:r w:rsidRPr="004F240E">
        <w:rPr>
          <w:b/>
          <w:bCs/>
          <w:i/>
          <w:iCs/>
        </w:rPr>
        <w:t>Massachusetts College of Liberal Arts Library</w:t>
      </w:r>
      <w:r w:rsidRPr="004F240E">
        <w:rPr>
          <w:b/>
          <w:bCs/>
        </w:rPr>
        <w:t xml:space="preserve">, 2024, </w:t>
      </w:r>
      <w:hyperlink r:id="rId8" w:tgtFrame="_new" w:history="1">
        <w:r w:rsidRPr="004F240E">
          <w:rPr>
            <w:rStyle w:val="Hyperlink"/>
            <w:b/>
            <w:bCs/>
          </w:rPr>
          <w:t>https://library.mcla.edu/frenchrevolution/primarysources</w:t>
        </w:r>
      </w:hyperlink>
      <w:r w:rsidRPr="004F240E">
        <w:rPr>
          <w:b/>
          <w:bCs/>
        </w:rPr>
        <w:t>.</w:t>
      </w:r>
      <w:r w:rsidRPr="004F240E">
        <w:rPr>
          <w:b/>
          <w:bCs/>
        </w:rPr>
        <w:br/>
        <w:t>This online guide organizes multiple authentic documents, such as political decrees, letters, and contemporary newspaper articles. It serves as an accessible entry point for researchers and students studying the Revolution’s firsthand accounts. The curated materials are reliable and contextually rich, revealing how different social classes responded to revolutionary change. Its relevance lies in helping users trace the timeline of political and social transformation. For a travel-oriented historical blog, this collection provides contextual depth to places associated with revolutionary events, such as the National Convention or revolutionary Parisian districts.</w:t>
      </w:r>
    </w:p>
    <w:p w14:paraId="1BB89361" w14:textId="77777777" w:rsidR="004F240E" w:rsidRPr="004F240E" w:rsidRDefault="004F240E" w:rsidP="004F240E">
      <w:pPr>
        <w:rPr>
          <w:b/>
          <w:bCs/>
        </w:rPr>
      </w:pPr>
      <w:r w:rsidRPr="004F240E">
        <w:rPr>
          <w:b/>
          <w:bCs/>
        </w:rPr>
        <w:pict w14:anchorId="3678D539">
          <v:rect id="_x0000_i1186" style="width:0;height:1.5pt" o:hralign="center" o:hrstd="t" o:hr="t" fillcolor="#a0a0a0" stroked="f"/>
        </w:pict>
      </w:r>
    </w:p>
    <w:p w14:paraId="12FAC1B0" w14:textId="77777777" w:rsidR="004F240E" w:rsidRPr="004F240E" w:rsidRDefault="004F240E" w:rsidP="004F240E">
      <w:pPr>
        <w:rPr>
          <w:b/>
          <w:bCs/>
        </w:rPr>
      </w:pPr>
      <w:r w:rsidRPr="004F240E">
        <w:rPr>
          <w:b/>
          <w:bCs/>
        </w:rPr>
        <w:t>Secondary Sources</w:t>
      </w:r>
    </w:p>
    <w:p w14:paraId="38E5416C" w14:textId="77777777" w:rsidR="004F240E" w:rsidRPr="004F240E" w:rsidRDefault="004F240E" w:rsidP="004F240E">
      <w:pPr>
        <w:rPr>
          <w:b/>
          <w:bCs/>
        </w:rPr>
      </w:pPr>
      <w:r w:rsidRPr="004F240E">
        <w:rPr>
          <w:b/>
          <w:bCs/>
        </w:rPr>
        <w:t xml:space="preserve">Kennedy, Emmet. </w:t>
      </w:r>
      <w:r w:rsidRPr="004F240E">
        <w:rPr>
          <w:b/>
          <w:bCs/>
          <w:i/>
          <w:iCs/>
        </w:rPr>
        <w:t>A Cultural History of the French Revolution</w:t>
      </w:r>
      <w:r w:rsidRPr="004F240E">
        <w:rPr>
          <w:b/>
          <w:bCs/>
        </w:rPr>
        <w:t>. Yale University Press, 1989.</w:t>
      </w:r>
      <w:r w:rsidRPr="004F240E">
        <w:rPr>
          <w:b/>
          <w:bCs/>
        </w:rPr>
        <w:br/>
        <w:t>Kennedy’s book explores how art, religion, theater, and education shaped revolutionary identity and culture in late eighteenth-century France. Rather than focusing solely on politics, Kennedy examines how cultural institutions reflected and reinforced revolutionary ideals. His analysis offers a multidimensional view of how citizens internalized liberty and equality. The work’s academic tone and extensive documentation make it a reliable source. For the travel blog, it deepens understanding of sites such as Parisian theaters and schools that served as centers of revolutionary propaganda and public education, showing how culture and ideology intertwined during the Revolution.</w:t>
      </w:r>
    </w:p>
    <w:p w14:paraId="4E0BA6D2" w14:textId="77777777" w:rsidR="004F240E" w:rsidRPr="004F240E" w:rsidRDefault="004F240E" w:rsidP="004F240E">
      <w:pPr>
        <w:rPr>
          <w:b/>
          <w:bCs/>
        </w:rPr>
      </w:pPr>
      <w:r w:rsidRPr="004F240E">
        <w:rPr>
          <w:b/>
          <w:bCs/>
        </w:rPr>
        <w:pict w14:anchorId="5498CED6">
          <v:rect id="_x0000_i1187" style="width:0;height:1.5pt" o:hralign="center" o:hrstd="t" o:hr="t" fillcolor="#a0a0a0" stroked="f"/>
        </w:pict>
      </w:r>
    </w:p>
    <w:p w14:paraId="300BB748" w14:textId="77777777" w:rsidR="004F240E" w:rsidRPr="004F240E" w:rsidRDefault="004F240E" w:rsidP="004F240E">
      <w:pPr>
        <w:rPr>
          <w:b/>
          <w:bCs/>
        </w:rPr>
      </w:pPr>
      <w:r w:rsidRPr="004F240E">
        <w:rPr>
          <w:b/>
          <w:bCs/>
        </w:rPr>
        <w:t xml:space="preserve">Doyle, William. </w:t>
      </w:r>
      <w:r w:rsidRPr="004F240E">
        <w:rPr>
          <w:b/>
          <w:bCs/>
          <w:i/>
          <w:iCs/>
        </w:rPr>
        <w:t>The Oxford History of the French Revolution</w:t>
      </w:r>
      <w:r w:rsidRPr="004F240E">
        <w:rPr>
          <w:b/>
          <w:bCs/>
        </w:rPr>
        <w:t>. Oxford University Press, 1989.</w:t>
      </w:r>
      <w:r w:rsidRPr="004F240E">
        <w:rPr>
          <w:b/>
          <w:bCs/>
        </w:rPr>
        <w:br/>
        <w:t xml:space="preserve">Doyle’s comprehensive account of the Revolution combines political, social, and economic perspectives to explain why the monarchy fell and how revolutionary ideals evolved. His </w:t>
      </w:r>
      <w:r w:rsidRPr="004F240E">
        <w:rPr>
          <w:b/>
          <w:bCs/>
        </w:rPr>
        <w:lastRenderedPageBreak/>
        <w:t>balanced approach avoids romanticism and presents the Revolution as both a movement for liberty and a period of turmoil. The book’s scholarly authority and clear organization make it a valuable resource for students and historians alike. For the blog, Doyle’s interpretations provide essential background to major events like the Reign of Terror and the execution of Louis XVI, helping contextualize historical landmarks with factual and interpretive depth.</w:t>
      </w:r>
    </w:p>
    <w:p w14:paraId="4C831BB3" w14:textId="77777777" w:rsidR="004F240E" w:rsidRPr="004F240E" w:rsidRDefault="004F240E" w:rsidP="004F240E">
      <w:pPr>
        <w:rPr>
          <w:b/>
          <w:bCs/>
        </w:rPr>
      </w:pPr>
      <w:r w:rsidRPr="004F240E">
        <w:rPr>
          <w:b/>
          <w:bCs/>
        </w:rPr>
        <w:pict w14:anchorId="0543CD80">
          <v:rect id="_x0000_i1188" style="width:0;height:1.5pt" o:hralign="center" o:hrstd="t" o:hr="t" fillcolor="#a0a0a0" stroked="f"/>
        </w:pict>
      </w:r>
    </w:p>
    <w:p w14:paraId="5CCA73FF" w14:textId="77777777" w:rsidR="004F240E" w:rsidRPr="004F240E" w:rsidRDefault="004F240E" w:rsidP="004F240E">
      <w:pPr>
        <w:rPr>
          <w:b/>
          <w:bCs/>
        </w:rPr>
      </w:pPr>
      <w:r w:rsidRPr="004F240E">
        <w:rPr>
          <w:b/>
          <w:bCs/>
        </w:rPr>
        <w:t xml:space="preserve">Schama, Simon. </w:t>
      </w:r>
      <w:r w:rsidRPr="004F240E">
        <w:rPr>
          <w:b/>
          <w:bCs/>
          <w:i/>
          <w:iCs/>
        </w:rPr>
        <w:t>Citizens: A Chronicle of the French Revolution</w:t>
      </w:r>
      <w:r w:rsidRPr="004F240E">
        <w:rPr>
          <w:b/>
          <w:bCs/>
        </w:rPr>
        <w:t>. Vintage Books, 1989.</w:t>
      </w:r>
      <w:r w:rsidRPr="004F240E">
        <w:rPr>
          <w:b/>
          <w:bCs/>
        </w:rPr>
        <w:br/>
        <w:t>Schama’s narrative history presents the Revolution as a dramatic and often violent story of human ambition and chaos. While it reads almost like a novel, the book is deeply researched and challenges traditional heroic views of the Revolution. Schama emphasizes the emotional and psychological forces that drove citizens to radicalism. Though sometimes controversial, his vivid descriptions make historical events come alive. This source’s strength lies in its storytelling, making it useful for a travel blog seeking to capture the atmosphere of the time, especially when describing locations like Versailles or the Place de la Concorde.</w:t>
      </w:r>
    </w:p>
    <w:p w14:paraId="5DD0F2E6" w14:textId="77777777" w:rsidR="004F240E" w:rsidRPr="004F240E" w:rsidRDefault="004F240E" w:rsidP="004F240E">
      <w:pPr>
        <w:rPr>
          <w:b/>
          <w:bCs/>
        </w:rPr>
      </w:pPr>
      <w:r w:rsidRPr="004F240E">
        <w:rPr>
          <w:b/>
          <w:bCs/>
        </w:rPr>
        <w:pict w14:anchorId="152F4E3E">
          <v:rect id="_x0000_i1189" style="width:0;height:1.5pt" o:hralign="center" o:hrstd="t" o:hr="t" fillcolor="#a0a0a0" stroked="f"/>
        </w:pict>
      </w:r>
    </w:p>
    <w:p w14:paraId="340345A9" w14:textId="77777777" w:rsidR="004F240E" w:rsidRPr="004F240E" w:rsidRDefault="004F240E" w:rsidP="004F240E">
      <w:pPr>
        <w:rPr>
          <w:b/>
          <w:bCs/>
        </w:rPr>
      </w:pPr>
      <w:r w:rsidRPr="004F240E">
        <w:rPr>
          <w:b/>
          <w:bCs/>
        </w:rPr>
        <w:t xml:space="preserve">“French Revolution Research Guide.” </w:t>
      </w:r>
      <w:r w:rsidRPr="004F240E">
        <w:rPr>
          <w:b/>
          <w:bCs/>
          <w:i/>
          <w:iCs/>
        </w:rPr>
        <w:t>University of North Carolina at Charlotte Library</w:t>
      </w:r>
      <w:r w:rsidRPr="004F240E">
        <w:rPr>
          <w:b/>
          <w:bCs/>
        </w:rPr>
        <w:t xml:space="preserve">, 2024, </w:t>
      </w:r>
      <w:hyperlink r:id="rId9" w:tgtFrame="_new" w:history="1">
        <w:r w:rsidRPr="004F240E">
          <w:rPr>
            <w:rStyle w:val="Hyperlink"/>
            <w:b/>
            <w:bCs/>
          </w:rPr>
          <w:t>https://guides.library.charlotte.edu/frenchrevolution</w:t>
        </w:r>
      </w:hyperlink>
      <w:r w:rsidRPr="004F240E">
        <w:rPr>
          <w:b/>
          <w:bCs/>
        </w:rPr>
        <w:t>.</w:t>
      </w:r>
      <w:r w:rsidRPr="004F240E">
        <w:rPr>
          <w:b/>
          <w:bCs/>
        </w:rPr>
        <w:br/>
        <w:t>This academic guide provides curated access to both primary and secondary sources about the French Revolution, including books, databases, and digital archives. It evaluates the reliability and historical perspective of each resource, making it a trusted reference tool. The guide’s relevance lies in its ability to connect researchers with updated scholarly discussions and digital materials. For the blog project, this source enhances the credibility of research by helping verify facts about revolutionary Paris. It supports deeper exploration of historical contexts for sites like the National Convention and revolutionary clubs.</w:t>
      </w:r>
    </w:p>
    <w:p w14:paraId="7C9431A4" w14:textId="77777777" w:rsidR="004F240E" w:rsidRPr="004F240E" w:rsidRDefault="004F240E" w:rsidP="004F240E">
      <w:pPr>
        <w:rPr>
          <w:b/>
          <w:bCs/>
        </w:rPr>
      </w:pPr>
      <w:r w:rsidRPr="004F240E">
        <w:rPr>
          <w:b/>
          <w:bCs/>
        </w:rPr>
        <w:pict w14:anchorId="52D9507A">
          <v:rect id="_x0000_i1190" style="width:0;height:1.5pt" o:hralign="center" o:hrstd="t" o:hr="t" fillcolor="#a0a0a0" stroked="f"/>
        </w:pict>
      </w:r>
    </w:p>
    <w:p w14:paraId="5C416B32" w14:textId="77777777" w:rsidR="004F240E" w:rsidRPr="004F240E" w:rsidRDefault="004F240E" w:rsidP="004F240E">
      <w:pPr>
        <w:rPr>
          <w:b/>
          <w:bCs/>
        </w:rPr>
      </w:pPr>
      <w:r w:rsidRPr="004F240E">
        <w:rPr>
          <w:b/>
          <w:bCs/>
        </w:rPr>
        <w:t xml:space="preserve">“French Revolution Resource List.” </w:t>
      </w:r>
      <w:r w:rsidRPr="004F240E">
        <w:rPr>
          <w:b/>
          <w:bCs/>
          <w:i/>
          <w:iCs/>
        </w:rPr>
        <w:t>Highline Schools</w:t>
      </w:r>
      <w:r w:rsidRPr="004F240E">
        <w:rPr>
          <w:b/>
          <w:bCs/>
        </w:rPr>
        <w:t>, 2018, https://resources.finalsite.net/images/v1527660909/highlineschoolsorg/fhb3hg7kzvirjim9kg/FrenchRevolution.pdf.</w:t>
      </w:r>
      <w:r w:rsidRPr="004F240E">
        <w:rPr>
          <w:b/>
          <w:bCs/>
        </w:rPr>
        <w:br/>
        <w:t xml:space="preserve">This educational document compiles key scholarly and accessible works about the French Revolution, organized by topic and theme. While designed for students, it includes citations to academic histories and biographies that enrich understanding of both the causes and consequences of the Revolution. Its quality lies in its synthesis of reputable sources and its clear educational purpose. For the travel blog, it helps identify secondary readings that </w:t>
      </w:r>
      <w:r w:rsidRPr="004F240E">
        <w:rPr>
          <w:b/>
          <w:bCs/>
        </w:rPr>
        <w:lastRenderedPageBreak/>
        <w:t>explain events like the Reign of Terror or women’s participation in the Revolution, making historical sites more meaningful to modern readers.</w:t>
      </w:r>
    </w:p>
    <w:p w14:paraId="4289CD2F" w14:textId="77777777" w:rsidR="004F240E" w:rsidRPr="004F240E" w:rsidRDefault="004F240E" w:rsidP="004F240E"/>
    <w:sectPr w:rsidR="004F240E" w:rsidRPr="004F2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0E"/>
    <w:rsid w:val="00113979"/>
    <w:rsid w:val="004F240E"/>
    <w:rsid w:val="00C81388"/>
    <w:rsid w:val="00F4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B922"/>
  <w15:chartTrackingRefBased/>
  <w15:docId w15:val="{A3349F10-F671-4B0B-9902-4FAA1620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4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4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24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24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24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24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24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4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4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24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24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24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24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24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2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4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4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240E"/>
    <w:pPr>
      <w:spacing w:before="160"/>
      <w:jc w:val="center"/>
    </w:pPr>
    <w:rPr>
      <w:i/>
      <w:iCs/>
      <w:color w:val="404040" w:themeColor="text1" w:themeTint="BF"/>
    </w:rPr>
  </w:style>
  <w:style w:type="character" w:customStyle="1" w:styleId="QuoteChar">
    <w:name w:val="Quote Char"/>
    <w:basedOn w:val="DefaultParagraphFont"/>
    <w:link w:val="Quote"/>
    <w:uiPriority w:val="29"/>
    <w:rsid w:val="004F240E"/>
    <w:rPr>
      <w:i/>
      <w:iCs/>
      <w:color w:val="404040" w:themeColor="text1" w:themeTint="BF"/>
    </w:rPr>
  </w:style>
  <w:style w:type="paragraph" w:styleId="ListParagraph">
    <w:name w:val="List Paragraph"/>
    <w:basedOn w:val="Normal"/>
    <w:uiPriority w:val="34"/>
    <w:qFormat/>
    <w:rsid w:val="004F240E"/>
    <w:pPr>
      <w:ind w:left="720"/>
      <w:contextualSpacing/>
    </w:pPr>
  </w:style>
  <w:style w:type="character" w:styleId="IntenseEmphasis">
    <w:name w:val="Intense Emphasis"/>
    <w:basedOn w:val="DefaultParagraphFont"/>
    <w:uiPriority w:val="21"/>
    <w:qFormat/>
    <w:rsid w:val="004F240E"/>
    <w:rPr>
      <w:i/>
      <w:iCs/>
      <w:color w:val="0F4761" w:themeColor="accent1" w:themeShade="BF"/>
    </w:rPr>
  </w:style>
  <w:style w:type="paragraph" w:styleId="IntenseQuote">
    <w:name w:val="Intense Quote"/>
    <w:basedOn w:val="Normal"/>
    <w:next w:val="Normal"/>
    <w:link w:val="IntenseQuoteChar"/>
    <w:uiPriority w:val="30"/>
    <w:qFormat/>
    <w:rsid w:val="004F2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40E"/>
    <w:rPr>
      <w:i/>
      <w:iCs/>
      <w:color w:val="0F4761" w:themeColor="accent1" w:themeShade="BF"/>
    </w:rPr>
  </w:style>
  <w:style w:type="character" w:styleId="IntenseReference">
    <w:name w:val="Intense Reference"/>
    <w:basedOn w:val="DefaultParagraphFont"/>
    <w:uiPriority w:val="32"/>
    <w:qFormat/>
    <w:rsid w:val="004F240E"/>
    <w:rPr>
      <w:b/>
      <w:bCs/>
      <w:smallCaps/>
      <w:color w:val="0F4761" w:themeColor="accent1" w:themeShade="BF"/>
      <w:spacing w:val="5"/>
    </w:rPr>
  </w:style>
  <w:style w:type="character" w:styleId="Hyperlink">
    <w:name w:val="Hyperlink"/>
    <w:basedOn w:val="DefaultParagraphFont"/>
    <w:uiPriority w:val="99"/>
    <w:unhideWhenUsed/>
    <w:rsid w:val="004F240E"/>
    <w:rPr>
      <w:color w:val="467886" w:themeColor="hyperlink"/>
      <w:u w:val="single"/>
    </w:rPr>
  </w:style>
  <w:style w:type="character" w:styleId="UnresolvedMention">
    <w:name w:val="Unresolved Mention"/>
    <w:basedOn w:val="DefaultParagraphFont"/>
    <w:uiPriority w:val="99"/>
    <w:semiHidden/>
    <w:unhideWhenUsed/>
    <w:rsid w:val="004F2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mcla.edu/frenchrevolution/primarysources?utm_source=chatgpt.com" TargetMode="External"/><Relationship Id="rId3" Type="http://schemas.openxmlformats.org/officeDocument/2006/relationships/webSettings" Target="webSettings.xml"/><Relationship Id="rId7" Type="http://schemas.openxmlformats.org/officeDocument/2006/relationships/hyperlink" Target="https://www.columbia.edu/~iw6/doc_frv.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rda.stanford.edu/?utm_source=chatgpt.com" TargetMode="External"/><Relationship Id="rId11" Type="http://schemas.openxmlformats.org/officeDocument/2006/relationships/theme" Target="theme/theme1.xml"/><Relationship Id="rId5" Type="http://schemas.openxmlformats.org/officeDocument/2006/relationships/hyperlink" Target="https://www.columbia.edu/~iw6/docs/dec1793.html?utm_source=chatgpt.com" TargetMode="External"/><Relationship Id="rId10" Type="http://schemas.openxmlformats.org/officeDocument/2006/relationships/fontTable" Target="fontTable.xml"/><Relationship Id="rId4" Type="http://schemas.openxmlformats.org/officeDocument/2006/relationships/hyperlink" Target="https://avalon.law.yale.edu/18th_century/rightsof.asp?utm_source=chatgpt.com" TargetMode="External"/><Relationship Id="rId9" Type="http://schemas.openxmlformats.org/officeDocument/2006/relationships/hyperlink" Target="https://guides.library.charlotte.edu/frenchrevolu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1265</Words>
  <Characters>7215</Characters>
  <Application>Microsoft Office Word</Application>
  <DocSecurity>0</DocSecurity>
  <Lines>60</Lines>
  <Paragraphs>16</Paragraphs>
  <ScaleCrop>false</ScaleCrop>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Nghia Pham</dc:creator>
  <cp:keywords/>
  <dc:description/>
  <cp:lastModifiedBy>Huu Nghia Pham</cp:lastModifiedBy>
  <cp:revision>1</cp:revision>
  <dcterms:created xsi:type="dcterms:W3CDTF">2025-10-26T02:44:00Z</dcterms:created>
  <dcterms:modified xsi:type="dcterms:W3CDTF">2025-10-26T02:46:00Z</dcterms:modified>
</cp:coreProperties>
</file>