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Longevity Health Incentive Program</w:t>
      </w:r>
    </w:p>
    <w:p w:rsidR="00000000" w:rsidDel="00000000" w:rsidP="00000000" w:rsidRDefault="00000000" w:rsidRPr="00000000" w14:paraId="00000002">
      <w:pPr>
        <w:jc w:val="left"/>
        <w:rPr>
          <w:sz w:val="50"/>
          <w:szCs w:val="50"/>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color w:val="6d9eeb"/>
        </w:rPr>
      </w:pPr>
      <w:r w:rsidDel="00000000" w:rsidR="00000000" w:rsidRPr="00000000">
        <w:rPr>
          <w:rtl w:val="0"/>
        </w:rPr>
      </w:r>
    </w:p>
    <w:p w:rsidR="00000000" w:rsidDel="00000000" w:rsidP="00000000" w:rsidRDefault="00000000" w:rsidRPr="00000000" w14:paraId="00000031">
      <w:pPr>
        <w:jc w:val="left"/>
        <w:rPr>
          <w:b w:val="1"/>
          <w:color w:val="cc0000"/>
          <w:sz w:val="36"/>
          <w:szCs w:val="36"/>
        </w:rPr>
      </w:pPr>
      <w:r w:rsidDel="00000000" w:rsidR="00000000" w:rsidRPr="00000000">
        <w:rPr>
          <w:b w:val="1"/>
          <w:color w:val="cc0000"/>
          <w:sz w:val="36"/>
          <w:szCs w:val="36"/>
          <w:rtl w:val="0"/>
        </w:rPr>
        <w:t xml:space="preserve">Table of Contents</w:t>
      </w:r>
    </w:p>
    <w:p w:rsidR="00000000" w:rsidDel="00000000" w:rsidP="00000000" w:rsidRDefault="00000000" w:rsidRPr="00000000" w14:paraId="00000032">
      <w:pPr>
        <w:jc w:val="left"/>
        <w:rPr>
          <w:b w:val="1"/>
          <w:color w:val="cc0000"/>
          <w:sz w:val="36"/>
          <w:szCs w:val="36"/>
        </w:rPr>
      </w:pPr>
      <w:r w:rsidDel="00000000" w:rsidR="00000000" w:rsidRPr="00000000">
        <w:rPr>
          <w:rtl w:val="0"/>
        </w:rPr>
      </w:r>
    </w:p>
    <w:p w:rsidR="00000000" w:rsidDel="00000000" w:rsidP="00000000" w:rsidRDefault="00000000" w:rsidRPr="00000000" w14:paraId="00000033">
      <w:pPr>
        <w:jc w:val="left"/>
        <w:rPr>
          <w:b w:val="1"/>
          <w:color w:val="cc0000"/>
        </w:rPr>
      </w:pPr>
      <w:r w:rsidDel="00000000" w:rsidR="00000000" w:rsidRPr="00000000">
        <w:rPr>
          <w:b w:val="1"/>
          <w:color w:val="cc0000"/>
          <w:rtl w:val="0"/>
        </w:rPr>
        <w:t xml:space="preserve">Executive Summary</w:t>
      </w:r>
    </w:p>
    <w:p w:rsidR="00000000" w:rsidDel="00000000" w:rsidP="00000000" w:rsidRDefault="00000000" w:rsidRPr="00000000" w14:paraId="00000034">
      <w:pPr>
        <w:jc w:val="left"/>
        <w:rPr>
          <w:b w:val="1"/>
          <w:color w:val="cc0000"/>
        </w:rPr>
      </w:pPr>
      <w:r w:rsidDel="00000000" w:rsidR="00000000" w:rsidRPr="00000000">
        <w:rPr>
          <w:rtl w:val="0"/>
        </w:rPr>
      </w:r>
    </w:p>
    <w:p w:rsidR="00000000" w:rsidDel="00000000" w:rsidP="00000000" w:rsidRDefault="00000000" w:rsidRPr="00000000" w14:paraId="00000035">
      <w:pPr>
        <w:jc w:val="left"/>
        <w:rPr>
          <w:b w:val="1"/>
          <w:color w:val="cc0000"/>
        </w:rPr>
      </w:pPr>
      <w:r w:rsidDel="00000000" w:rsidR="00000000" w:rsidRPr="00000000">
        <w:rPr>
          <w:rtl w:val="0"/>
        </w:rPr>
      </w:r>
    </w:p>
    <w:p w:rsidR="00000000" w:rsidDel="00000000" w:rsidP="00000000" w:rsidRDefault="00000000" w:rsidRPr="00000000" w14:paraId="00000036">
      <w:pPr>
        <w:jc w:val="left"/>
        <w:rPr>
          <w:b w:val="1"/>
          <w:color w:val="cc0000"/>
        </w:rPr>
      </w:pPr>
      <w:r w:rsidDel="00000000" w:rsidR="00000000" w:rsidRPr="00000000">
        <w:rPr>
          <w:b w:val="1"/>
          <w:color w:val="cc0000"/>
          <w:rtl w:val="0"/>
        </w:rPr>
        <w:t xml:space="preserve">Program Design</w:t>
      </w:r>
    </w:p>
    <w:p w:rsidR="00000000" w:rsidDel="00000000" w:rsidP="00000000" w:rsidRDefault="00000000" w:rsidRPr="00000000" w14:paraId="00000037">
      <w:pPr>
        <w:jc w:val="left"/>
        <w:rPr>
          <w:b w:val="1"/>
          <w:color w:val="cc0000"/>
        </w:rPr>
      </w:pPr>
      <w:r w:rsidDel="00000000" w:rsidR="00000000" w:rsidRPr="00000000">
        <w:rPr>
          <w:rtl w:val="0"/>
        </w:rPr>
      </w:r>
    </w:p>
    <w:p w:rsidR="00000000" w:rsidDel="00000000" w:rsidP="00000000" w:rsidRDefault="00000000" w:rsidRPr="00000000" w14:paraId="00000038">
      <w:pPr>
        <w:jc w:val="left"/>
        <w:rPr>
          <w:b w:val="1"/>
          <w:color w:val="cc0000"/>
        </w:rPr>
      </w:pPr>
      <w:r w:rsidDel="00000000" w:rsidR="00000000" w:rsidRPr="00000000">
        <w:rPr>
          <w:rtl w:val="0"/>
        </w:rPr>
      </w:r>
    </w:p>
    <w:p w:rsidR="00000000" w:rsidDel="00000000" w:rsidP="00000000" w:rsidRDefault="00000000" w:rsidRPr="00000000" w14:paraId="00000039">
      <w:pPr>
        <w:jc w:val="left"/>
        <w:rPr>
          <w:b w:val="1"/>
          <w:color w:val="cc0000"/>
        </w:rPr>
      </w:pPr>
      <w:r w:rsidDel="00000000" w:rsidR="00000000" w:rsidRPr="00000000">
        <w:rPr>
          <w:b w:val="1"/>
          <w:color w:val="cc0000"/>
          <w:rtl w:val="0"/>
        </w:rPr>
        <w:t xml:space="preserve">Modeling and Pricing</w:t>
      </w:r>
    </w:p>
    <w:p w:rsidR="00000000" w:rsidDel="00000000" w:rsidP="00000000" w:rsidRDefault="00000000" w:rsidRPr="00000000" w14:paraId="0000003A">
      <w:pPr>
        <w:jc w:val="left"/>
        <w:rPr>
          <w:b w:val="1"/>
          <w:color w:val="cc0000"/>
        </w:rPr>
      </w:pPr>
      <w:r w:rsidDel="00000000" w:rsidR="00000000" w:rsidRPr="00000000">
        <w:rPr>
          <w:rtl w:val="0"/>
        </w:rPr>
      </w:r>
    </w:p>
    <w:p w:rsidR="00000000" w:rsidDel="00000000" w:rsidP="00000000" w:rsidRDefault="00000000" w:rsidRPr="00000000" w14:paraId="0000003B">
      <w:pPr>
        <w:jc w:val="left"/>
        <w:rPr>
          <w:b w:val="1"/>
          <w:color w:val="cc0000"/>
        </w:rPr>
      </w:pPr>
      <w:r w:rsidDel="00000000" w:rsidR="00000000" w:rsidRPr="00000000">
        <w:rPr>
          <w:rtl w:val="0"/>
        </w:rPr>
      </w:r>
    </w:p>
    <w:p w:rsidR="00000000" w:rsidDel="00000000" w:rsidP="00000000" w:rsidRDefault="00000000" w:rsidRPr="00000000" w14:paraId="0000003C">
      <w:pPr>
        <w:jc w:val="left"/>
        <w:rPr>
          <w:b w:val="1"/>
          <w:color w:val="cc0000"/>
        </w:rPr>
      </w:pPr>
      <w:r w:rsidDel="00000000" w:rsidR="00000000" w:rsidRPr="00000000">
        <w:rPr>
          <w:rtl w:val="0"/>
        </w:rPr>
      </w:r>
    </w:p>
    <w:p w:rsidR="00000000" w:rsidDel="00000000" w:rsidP="00000000" w:rsidRDefault="00000000" w:rsidRPr="00000000" w14:paraId="0000003D">
      <w:pPr>
        <w:jc w:val="left"/>
        <w:rPr>
          <w:b w:val="1"/>
          <w:color w:val="cc0000"/>
        </w:rPr>
      </w:pPr>
      <w:r w:rsidDel="00000000" w:rsidR="00000000" w:rsidRPr="00000000">
        <w:rPr>
          <w:b w:val="1"/>
          <w:color w:val="cc0000"/>
          <w:rtl w:val="0"/>
        </w:rPr>
        <w:t xml:space="preserve">Final Results</w:t>
      </w:r>
    </w:p>
    <w:p w:rsidR="00000000" w:rsidDel="00000000" w:rsidP="00000000" w:rsidRDefault="00000000" w:rsidRPr="00000000" w14:paraId="0000003E">
      <w:pPr>
        <w:jc w:val="left"/>
        <w:rPr>
          <w:b w:val="1"/>
          <w:color w:val="cc0000"/>
        </w:rPr>
      </w:pPr>
      <w:r w:rsidDel="00000000" w:rsidR="00000000" w:rsidRPr="00000000">
        <w:rPr>
          <w:rtl w:val="0"/>
        </w:rPr>
      </w:r>
    </w:p>
    <w:p w:rsidR="00000000" w:rsidDel="00000000" w:rsidP="00000000" w:rsidRDefault="00000000" w:rsidRPr="00000000" w14:paraId="0000003F">
      <w:pPr>
        <w:jc w:val="left"/>
        <w:rPr>
          <w:b w:val="1"/>
          <w:color w:val="cc0000"/>
        </w:rPr>
      </w:pPr>
      <w:r w:rsidDel="00000000" w:rsidR="00000000" w:rsidRPr="00000000">
        <w:rPr>
          <w:rtl w:val="0"/>
        </w:rPr>
      </w:r>
    </w:p>
    <w:p w:rsidR="00000000" w:rsidDel="00000000" w:rsidP="00000000" w:rsidRDefault="00000000" w:rsidRPr="00000000" w14:paraId="00000040">
      <w:pPr>
        <w:jc w:val="left"/>
        <w:rPr>
          <w:b w:val="1"/>
          <w:color w:val="cc0000"/>
        </w:rPr>
      </w:pPr>
      <w:r w:rsidDel="00000000" w:rsidR="00000000" w:rsidRPr="00000000">
        <w:rPr>
          <w:b w:val="1"/>
          <w:color w:val="cc0000"/>
          <w:rtl w:val="0"/>
        </w:rPr>
        <w:t xml:space="preserve">Limitations and Assumptions</w:t>
      </w:r>
    </w:p>
    <w:p w:rsidR="00000000" w:rsidDel="00000000" w:rsidP="00000000" w:rsidRDefault="00000000" w:rsidRPr="00000000" w14:paraId="00000041">
      <w:pPr>
        <w:jc w:val="left"/>
        <w:rPr>
          <w:b w:val="1"/>
          <w:color w:val="cc0000"/>
        </w:rPr>
      </w:pPr>
      <w:r w:rsidDel="00000000" w:rsidR="00000000" w:rsidRPr="00000000">
        <w:rPr>
          <w:rtl w:val="0"/>
        </w:rPr>
      </w:r>
    </w:p>
    <w:p w:rsidR="00000000" w:rsidDel="00000000" w:rsidP="00000000" w:rsidRDefault="00000000" w:rsidRPr="00000000" w14:paraId="00000042">
      <w:pPr>
        <w:jc w:val="left"/>
        <w:rPr>
          <w:b w:val="1"/>
          <w:color w:val="cc0000"/>
        </w:rPr>
      </w:pPr>
      <w:r w:rsidDel="00000000" w:rsidR="00000000" w:rsidRPr="00000000">
        <w:rPr>
          <w:rtl w:val="0"/>
        </w:rPr>
      </w:r>
    </w:p>
    <w:p w:rsidR="00000000" w:rsidDel="00000000" w:rsidP="00000000" w:rsidRDefault="00000000" w:rsidRPr="00000000" w14:paraId="00000043">
      <w:pPr>
        <w:jc w:val="left"/>
        <w:rPr>
          <w:b w:val="1"/>
          <w:color w:val="cc0000"/>
        </w:rPr>
      </w:pPr>
      <w:r w:rsidDel="00000000" w:rsidR="00000000" w:rsidRPr="00000000">
        <w:rPr>
          <w:rtl w:val="0"/>
        </w:rPr>
      </w:r>
    </w:p>
    <w:p w:rsidR="00000000" w:rsidDel="00000000" w:rsidP="00000000" w:rsidRDefault="00000000" w:rsidRPr="00000000" w14:paraId="00000044">
      <w:pPr>
        <w:jc w:val="left"/>
        <w:rPr>
          <w:b w:val="1"/>
          <w:color w:val="cc0000"/>
        </w:rPr>
      </w:pPr>
      <w:r w:rsidDel="00000000" w:rsidR="00000000" w:rsidRPr="00000000">
        <w:rPr>
          <w:b w:val="1"/>
          <w:color w:val="cc0000"/>
          <w:rtl w:val="0"/>
        </w:rPr>
        <w:t xml:space="preserve">Appendix</w:t>
      </w:r>
    </w:p>
    <w:p w:rsidR="00000000" w:rsidDel="00000000" w:rsidP="00000000" w:rsidRDefault="00000000" w:rsidRPr="00000000" w14:paraId="00000045">
      <w:pPr>
        <w:jc w:val="left"/>
        <w:rPr>
          <w:b w:val="1"/>
          <w:color w:val="cc0000"/>
        </w:rPr>
      </w:pPr>
      <w:r w:rsidDel="00000000" w:rsidR="00000000" w:rsidRPr="00000000">
        <w:rPr>
          <w:rtl w:val="0"/>
        </w:rPr>
      </w:r>
    </w:p>
    <w:p w:rsidR="00000000" w:rsidDel="00000000" w:rsidP="00000000" w:rsidRDefault="00000000" w:rsidRPr="00000000" w14:paraId="00000046">
      <w:pPr>
        <w:jc w:val="left"/>
        <w:rPr>
          <w:b w:val="1"/>
          <w:color w:val="cc0000"/>
        </w:rPr>
      </w:pPr>
      <w:r w:rsidDel="00000000" w:rsidR="00000000" w:rsidRPr="00000000">
        <w:rPr>
          <w:rtl w:val="0"/>
        </w:rPr>
      </w:r>
    </w:p>
    <w:p w:rsidR="00000000" w:rsidDel="00000000" w:rsidP="00000000" w:rsidRDefault="00000000" w:rsidRPr="00000000" w14:paraId="00000047">
      <w:pPr>
        <w:jc w:val="left"/>
        <w:rPr>
          <w:b w:val="1"/>
          <w:color w:val="cc0000"/>
        </w:rPr>
      </w:pPr>
      <w:r w:rsidDel="00000000" w:rsidR="00000000" w:rsidRPr="00000000">
        <w:rPr>
          <w:rtl w:val="0"/>
        </w:rPr>
      </w:r>
    </w:p>
    <w:p w:rsidR="00000000" w:rsidDel="00000000" w:rsidP="00000000" w:rsidRDefault="00000000" w:rsidRPr="00000000" w14:paraId="00000048">
      <w:pPr>
        <w:jc w:val="left"/>
        <w:rPr>
          <w:b w:val="1"/>
          <w:color w:val="cc0000"/>
        </w:rPr>
      </w:pPr>
      <w:r w:rsidDel="00000000" w:rsidR="00000000" w:rsidRPr="00000000">
        <w:rPr>
          <w:rtl w:val="0"/>
        </w:rPr>
      </w:r>
    </w:p>
    <w:p w:rsidR="00000000" w:rsidDel="00000000" w:rsidP="00000000" w:rsidRDefault="00000000" w:rsidRPr="00000000" w14:paraId="00000049">
      <w:pPr>
        <w:jc w:val="left"/>
        <w:rPr>
          <w:b w:val="1"/>
          <w:color w:val="cc0000"/>
        </w:rPr>
      </w:pPr>
      <w:r w:rsidDel="00000000" w:rsidR="00000000" w:rsidRPr="00000000">
        <w:rPr>
          <w:rtl w:val="0"/>
        </w:rPr>
      </w:r>
    </w:p>
    <w:p w:rsidR="00000000" w:rsidDel="00000000" w:rsidP="00000000" w:rsidRDefault="00000000" w:rsidRPr="00000000" w14:paraId="0000004A">
      <w:pPr>
        <w:jc w:val="left"/>
        <w:rPr>
          <w:b w:val="1"/>
          <w:color w:val="cc0000"/>
        </w:rPr>
      </w:pPr>
      <w:r w:rsidDel="00000000" w:rsidR="00000000" w:rsidRPr="00000000">
        <w:rPr>
          <w:rtl w:val="0"/>
        </w:rPr>
      </w:r>
    </w:p>
    <w:p w:rsidR="00000000" w:rsidDel="00000000" w:rsidP="00000000" w:rsidRDefault="00000000" w:rsidRPr="00000000" w14:paraId="0000004B">
      <w:pPr>
        <w:jc w:val="left"/>
        <w:rPr>
          <w:b w:val="1"/>
          <w:color w:val="cc0000"/>
        </w:rPr>
      </w:pPr>
      <w:r w:rsidDel="00000000" w:rsidR="00000000" w:rsidRPr="00000000">
        <w:rPr>
          <w:rtl w:val="0"/>
        </w:rPr>
      </w:r>
    </w:p>
    <w:p w:rsidR="00000000" w:rsidDel="00000000" w:rsidP="00000000" w:rsidRDefault="00000000" w:rsidRPr="00000000" w14:paraId="0000004C">
      <w:pPr>
        <w:jc w:val="left"/>
        <w:rPr>
          <w:b w:val="1"/>
          <w:color w:val="cc0000"/>
        </w:rPr>
      </w:pPr>
      <w:r w:rsidDel="00000000" w:rsidR="00000000" w:rsidRPr="00000000">
        <w:rPr>
          <w:rtl w:val="0"/>
        </w:rPr>
      </w:r>
    </w:p>
    <w:p w:rsidR="00000000" w:rsidDel="00000000" w:rsidP="00000000" w:rsidRDefault="00000000" w:rsidRPr="00000000" w14:paraId="0000004D">
      <w:pPr>
        <w:jc w:val="left"/>
        <w:rPr>
          <w:b w:val="1"/>
          <w:color w:val="cc0000"/>
        </w:rPr>
      </w:pPr>
      <w:r w:rsidDel="00000000" w:rsidR="00000000" w:rsidRPr="00000000">
        <w:rPr>
          <w:rtl w:val="0"/>
        </w:rPr>
      </w:r>
    </w:p>
    <w:p w:rsidR="00000000" w:rsidDel="00000000" w:rsidP="00000000" w:rsidRDefault="00000000" w:rsidRPr="00000000" w14:paraId="0000004E">
      <w:pPr>
        <w:jc w:val="left"/>
        <w:rPr>
          <w:b w:val="1"/>
          <w:color w:val="cc0000"/>
        </w:rPr>
      </w:pPr>
      <w:r w:rsidDel="00000000" w:rsidR="00000000" w:rsidRPr="00000000">
        <w:rPr>
          <w:rtl w:val="0"/>
        </w:rPr>
      </w:r>
    </w:p>
    <w:p w:rsidR="00000000" w:rsidDel="00000000" w:rsidP="00000000" w:rsidRDefault="00000000" w:rsidRPr="00000000" w14:paraId="0000004F">
      <w:pPr>
        <w:jc w:val="left"/>
        <w:rPr>
          <w:b w:val="1"/>
          <w:color w:val="cc0000"/>
        </w:rPr>
      </w:pPr>
      <w:r w:rsidDel="00000000" w:rsidR="00000000" w:rsidRPr="00000000">
        <w:rPr>
          <w:rtl w:val="0"/>
        </w:rPr>
      </w:r>
    </w:p>
    <w:p w:rsidR="00000000" w:rsidDel="00000000" w:rsidP="00000000" w:rsidRDefault="00000000" w:rsidRPr="00000000" w14:paraId="00000050">
      <w:pPr>
        <w:jc w:val="left"/>
        <w:rPr>
          <w:b w:val="1"/>
          <w:color w:val="cc0000"/>
        </w:rPr>
      </w:pPr>
      <w:r w:rsidDel="00000000" w:rsidR="00000000" w:rsidRPr="00000000">
        <w:rPr>
          <w:rtl w:val="0"/>
        </w:rPr>
      </w:r>
    </w:p>
    <w:p w:rsidR="00000000" w:rsidDel="00000000" w:rsidP="00000000" w:rsidRDefault="00000000" w:rsidRPr="00000000" w14:paraId="00000051">
      <w:pPr>
        <w:jc w:val="left"/>
        <w:rPr>
          <w:b w:val="1"/>
          <w:color w:val="cc0000"/>
        </w:rPr>
      </w:pPr>
      <w:r w:rsidDel="00000000" w:rsidR="00000000" w:rsidRPr="00000000">
        <w:rPr>
          <w:rtl w:val="0"/>
        </w:rPr>
      </w:r>
    </w:p>
    <w:p w:rsidR="00000000" w:rsidDel="00000000" w:rsidP="00000000" w:rsidRDefault="00000000" w:rsidRPr="00000000" w14:paraId="00000052">
      <w:pPr>
        <w:jc w:val="left"/>
        <w:rPr>
          <w:b w:val="1"/>
          <w:color w:val="cc0000"/>
        </w:rPr>
      </w:pPr>
      <w:r w:rsidDel="00000000" w:rsidR="00000000" w:rsidRPr="00000000">
        <w:rPr>
          <w:rtl w:val="0"/>
        </w:rPr>
      </w:r>
    </w:p>
    <w:p w:rsidR="00000000" w:rsidDel="00000000" w:rsidP="00000000" w:rsidRDefault="00000000" w:rsidRPr="00000000" w14:paraId="00000053">
      <w:pPr>
        <w:jc w:val="left"/>
        <w:rPr>
          <w:b w:val="1"/>
          <w:color w:val="cc0000"/>
        </w:rPr>
      </w:pPr>
      <w:r w:rsidDel="00000000" w:rsidR="00000000" w:rsidRPr="00000000">
        <w:rPr>
          <w:rtl w:val="0"/>
        </w:rPr>
      </w:r>
    </w:p>
    <w:p w:rsidR="00000000" w:rsidDel="00000000" w:rsidP="00000000" w:rsidRDefault="00000000" w:rsidRPr="00000000" w14:paraId="00000054">
      <w:pPr>
        <w:jc w:val="left"/>
        <w:rPr>
          <w:b w:val="1"/>
          <w:color w:val="cc0000"/>
        </w:rPr>
      </w:pPr>
      <w:r w:rsidDel="00000000" w:rsidR="00000000" w:rsidRPr="00000000">
        <w:rPr>
          <w:rtl w:val="0"/>
        </w:rPr>
      </w:r>
    </w:p>
    <w:p w:rsidR="00000000" w:rsidDel="00000000" w:rsidP="00000000" w:rsidRDefault="00000000" w:rsidRPr="00000000" w14:paraId="00000055">
      <w:pPr>
        <w:jc w:val="left"/>
        <w:rPr>
          <w:b w:val="1"/>
          <w:color w:val="cc0000"/>
        </w:rPr>
      </w:pPr>
      <w:r w:rsidDel="00000000" w:rsidR="00000000" w:rsidRPr="00000000">
        <w:rPr>
          <w:rtl w:val="0"/>
        </w:rPr>
      </w:r>
    </w:p>
    <w:p w:rsidR="00000000" w:rsidDel="00000000" w:rsidP="00000000" w:rsidRDefault="00000000" w:rsidRPr="00000000" w14:paraId="00000056">
      <w:pPr>
        <w:jc w:val="left"/>
        <w:rPr>
          <w:b w:val="1"/>
          <w:color w:val="cc0000"/>
        </w:rPr>
      </w:pPr>
      <w:r w:rsidDel="00000000" w:rsidR="00000000" w:rsidRPr="00000000">
        <w:rPr>
          <w:rtl w:val="0"/>
        </w:rPr>
      </w:r>
    </w:p>
    <w:p w:rsidR="00000000" w:rsidDel="00000000" w:rsidP="00000000" w:rsidRDefault="00000000" w:rsidRPr="00000000" w14:paraId="00000057">
      <w:pPr>
        <w:jc w:val="left"/>
        <w:rPr>
          <w:b w:val="1"/>
          <w:color w:val="cc0000"/>
        </w:rPr>
      </w:pPr>
      <w:r w:rsidDel="00000000" w:rsidR="00000000" w:rsidRPr="00000000">
        <w:rPr>
          <w:rtl w:val="0"/>
        </w:rPr>
      </w:r>
    </w:p>
    <w:p w:rsidR="00000000" w:rsidDel="00000000" w:rsidP="00000000" w:rsidRDefault="00000000" w:rsidRPr="00000000" w14:paraId="00000058">
      <w:pPr>
        <w:jc w:val="left"/>
        <w:rPr>
          <w:b w:val="1"/>
          <w:color w:val="cc0000"/>
        </w:rPr>
      </w:pPr>
      <w:r w:rsidDel="00000000" w:rsidR="00000000" w:rsidRPr="00000000">
        <w:rPr>
          <w:rtl w:val="0"/>
        </w:rPr>
      </w:r>
    </w:p>
    <w:p w:rsidR="00000000" w:rsidDel="00000000" w:rsidP="00000000" w:rsidRDefault="00000000" w:rsidRPr="00000000" w14:paraId="00000059">
      <w:pPr>
        <w:jc w:val="left"/>
        <w:rPr>
          <w:b w:val="1"/>
          <w:color w:val="cc0000"/>
        </w:rPr>
      </w:pPr>
      <w:r w:rsidDel="00000000" w:rsidR="00000000" w:rsidRPr="00000000">
        <w:rPr>
          <w:rtl w:val="0"/>
        </w:rPr>
      </w:r>
    </w:p>
    <w:p w:rsidR="00000000" w:rsidDel="00000000" w:rsidP="00000000" w:rsidRDefault="00000000" w:rsidRPr="00000000" w14:paraId="0000005A">
      <w:pPr>
        <w:jc w:val="left"/>
        <w:rPr>
          <w:b w:val="1"/>
          <w:color w:val="cc0000"/>
        </w:rPr>
      </w:pPr>
      <w:r w:rsidDel="00000000" w:rsidR="00000000" w:rsidRPr="00000000">
        <w:rPr>
          <w:rtl w:val="0"/>
        </w:rPr>
      </w:r>
    </w:p>
    <w:p w:rsidR="00000000" w:rsidDel="00000000" w:rsidP="00000000" w:rsidRDefault="00000000" w:rsidRPr="00000000" w14:paraId="0000005B">
      <w:pPr>
        <w:jc w:val="left"/>
        <w:rPr>
          <w:b w:val="1"/>
          <w:color w:val="cc0000"/>
        </w:rPr>
      </w:pPr>
      <w:r w:rsidDel="00000000" w:rsidR="00000000" w:rsidRPr="00000000">
        <w:rPr>
          <w:rtl w:val="0"/>
        </w:rPr>
      </w:r>
    </w:p>
    <w:p w:rsidR="00000000" w:rsidDel="00000000" w:rsidP="00000000" w:rsidRDefault="00000000" w:rsidRPr="00000000" w14:paraId="0000005C">
      <w:pPr>
        <w:jc w:val="left"/>
        <w:rPr>
          <w:b w:val="1"/>
          <w:color w:val="cc0000"/>
        </w:rPr>
      </w:pPr>
      <w:r w:rsidDel="00000000" w:rsidR="00000000" w:rsidRPr="00000000">
        <w:rPr>
          <w:rtl w:val="0"/>
        </w:rPr>
      </w:r>
    </w:p>
    <w:p w:rsidR="00000000" w:rsidDel="00000000" w:rsidP="00000000" w:rsidRDefault="00000000" w:rsidRPr="00000000" w14:paraId="0000005D">
      <w:pPr>
        <w:jc w:val="left"/>
        <w:rPr>
          <w:b w:val="1"/>
          <w:color w:val="cc0000"/>
        </w:rPr>
      </w:pPr>
      <w:r w:rsidDel="00000000" w:rsidR="00000000" w:rsidRPr="00000000">
        <w:rPr>
          <w:rtl w:val="0"/>
        </w:rPr>
      </w:r>
    </w:p>
    <w:p w:rsidR="00000000" w:rsidDel="00000000" w:rsidP="00000000" w:rsidRDefault="00000000" w:rsidRPr="00000000" w14:paraId="0000005E">
      <w:pPr>
        <w:jc w:val="left"/>
        <w:rPr>
          <w:b w:val="1"/>
          <w:color w:val="cc0000"/>
        </w:rPr>
      </w:pPr>
      <w:r w:rsidDel="00000000" w:rsidR="00000000" w:rsidRPr="00000000">
        <w:rPr>
          <w:rtl w:val="0"/>
        </w:rPr>
      </w:r>
    </w:p>
    <w:p w:rsidR="00000000" w:rsidDel="00000000" w:rsidP="00000000" w:rsidRDefault="00000000" w:rsidRPr="00000000" w14:paraId="0000005F">
      <w:pPr>
        <w:jc w:val="left"/>
        <w:rPr>
          <w:b w:val="1"/>
          <w:color w:val="cc0000"/>
        </w:rPr>
      </w:pPr>
      <w:r w:rsidDel="00000000" w:rsidR="00000000" w:rsidRPr="00000000">
        <w:rPr>
          <w:b w:val="1"/>
          <w:color w:val="cc0000"/>
          <w:rtl w:val="0"/>
        </w:rPr>
        <w:t xml:space="preserve">Executive Summary</w:t>
      </w:r>
    </w:p>
    <w:p w:rsidR="00000000" w:rsidDel="00000000" w:rsidP="00000000" w:rsidRDefault="00000000" w:rsidRPr="00000000" w14:paraId="00000060">
      <w:pPr>
        <w:jc w:val="left"/>
        <w:rPr>
          <w:b w:val="1"/>
          <w:color w:val="cc0000"/>
        </w:rPr>
      </w:pPr>
      <w:r w:rsidDel="00000000" w:rsidR="00000000" w:rsidRPr="00000000">
        <w:rPr>
          <w:rtl w:val="0"/>
        </w:rPr>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In order to enhance the marketability and competitiveness of Superlife Company's long-term life insurance products, Leap Company has carefully designed a health incentive plan. The Leap Health Incentive Plan will serve as an adjunct to Superlife's long-term life insurance. Through data analysis, the plan will target four aspects that have the greatest impact on mortality rates: age, gender, smoking status, and underwriting class. Different interventions will be tailored based on these factors to effectively reduce mortality rates among policyholders. Additionally, the benefits of the Leap Health Incentive Plan include social engagement initiatives, physical and mental health retreats, smoking cessation programs, and psychological support. Furthermore, the plan offers free annual health check-ups to policyholders, enabling them to better understand their physical condition and reduce mortality rates.</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This report provides a detailed overview of the features of the Leap Health Incentive Plan and the rationale behind each benefit's provision. We conducted data collection and analysis on the population and produced mortality rate tables to calculate the costs of 20-year life insurance and lifetime life insurance. According to the data analysis and intervention measures table, implementing the welfare measures in the plan successfully is expected to significantly reduce the mortality rates among those purchasing Superlife's long-term life insurance.</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cc0000"/>
        </w:rPr>
      </w:pPr>
      <w:r w:rsidDel="00000000" w:rsidR="00000000" w:rsidRPr="00000000">
        <w:rPr>
          <w:rFonts w:ascii="Roboto" w:cs="Roboto" w:eastAsia="Roboto" w:hAnsi="Roboto"/>
          <w:b w:val="1"/>
          <w:color w:val="cc0000"/>
          <w:rtl w:val="0"/>
        </w:rPr>
        <w:t xml:space="preserve">Leap Health Incentive Program Program Design</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rPr>
      </w:pPr>
      <w:r w:rsidDel="00000000" w:rsidR="00000000" w:rsidRPr="00000000">
        <w:rPr>
          <w:rFonts w:ascii="Roboto" w:cs="Roboto" w:eastAsia="Roboto" w:hAnsi="Roboto"/>
          <w:color w:val="0d0d0d"/>
          <w:sz w:val="24"/>
          <w:szCs w:val="24"/>
          <w:highlight w:val="white"/>
          <w:rtl w:val="0"/>
        </w:rPr>
        <w:t xml:space="preserve">The Leap Health Incentive Plan includes annual health check-ups and intervention measures. These intervention measures mainly focus on four aspects: social engagement initiatives, physical and mental health retreats, smoking cessation programs, and cancer prevention measures. Initially, we assess the underwriting class of policyholders based on their age, gender, and smoking status to determine their insurability. According to data analysis, smoking and cancer patients have a significant impact on mortality rates. Therefore, the plan provides cancer prevention measures and smoking cessation programs to incentivize policyholders to adopt healthier behaviors.</w:t>
      </w: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center"/>
        <w:rPr>
          <w:sz w:val="50"/>
          <w:szCs w:val="50"/>
        </w:rPr>
      </w:pPr>
      <w:r w:rsidDel="00000000" w:rsidR="00000000" w:rsidRPr="00000000">
        <w:rPr>
          <w:rtl w:val="0"/>
        </w:rPr>
      </w:r>
    </w:p>
    <w:p w:rsidR="00000000" w:rsidDel="00000000" w:rsidP="00000000" w:rsidRDefault="00000000" w:rsidRPr="00000000" w14:paraId="0000006D">
      <w:pPr>
        <w:rPr>
          <w:sz w:val="50"/>
          <w:szCs w:val="50"/>
        </w:rPr>
      </w:pPr>
      <w:r w:rsidDel="00000000" w:rsidR="00000000" w:rsidRPr="00000000">
        <w:rPr/>
        <w:drawing>
          <wp:inline distB="114300" distT="114300" distL="114300" distR="114300">
            <wp:extent cx="6720860" cy="29601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20860" cy="296012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