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Calibri" w:cs="Calibri" w:eastAsia="Calibri" w:hAnsi="Calibri"/>
          <w:b/>
          <w:bCs/>
          <w:color w:val="2562B4"/>
          <w:spacing w:val="100"/>
          <w:sz w:val="16"/>
          <w:szCs w:val="16"/>
        </w:rPr>
        <w:t xml:space="preserve">TECHFIX BACKEND  ·  RAMA ALEXOO-DISPOSITIVOS</w:t>
      </w:r>
    </w:p>
    <w:p>
      <w:pPr>
        <w:pBdr>
          <w:bottom w:val="single" w:color="2562B4" w:sz="12"/>
        </w:pBdr>
        <w:spacing w:after="80" w:before="0"/>
      </w:pPr>
      <w:r>
        <w:rPr>
          <w:rFonts w:ascii="Calibri" w:cs="Calibri" w:eastAsia="Calibri" w:hAnsi="Calibri"/>
          <w:b/>
          <w:bCs/>
          <w:color w:val="16213A"/>
          <w:sz w:val="52"/>
          <w:szCs w:val="52"/>
        </w:rPr>
        <w:t xml:space="preserve">Avance Persona 3</w:t>
      </w:r>
    </w:p>
    <w:p>
      <w:pPr>
        <w:spacing w:after="80" w:before="100"/>
      </w:pPr>
      <w:r>
        <w:rPr>
          <w:rFonts w:ascii="Calibri" w:cs="Calibri" w:eastAsia="Calibri" w:hAnsi="Calibri"/>
          <w:color w:val="2562B4"/>
          <w:sz w:val="36"/>
          <w:szCs w:val="36"/>
        </w:rPr>
        <w:t xml:space="preserve">Azure Blob Storage</w:t>
      </w:r>
    </w:p>
    <w:p>
      <w:pPr>
        <w:spacing w:after="560" w:before="0"/>
      </w:pPr>
      <w:r>
        <w:rPr>
          <w:rFonts w:ascii="Calibri" w:cs="Calibri" w:eastAsia="Calibri" w:hAnsi="Calibri"/>
          <w:color w:val="8896B0"/>
          <w:sz w:val="18"/>
          <w:szCs w:val="18"/>
        </w:rPr>
        <w:t xml:space="preserve">Alexander Centeno  ·  Julio 2026  ·  Módulo: Dispositivos + Adjuntos</w:t>
      </w:r>
    </w:p>
    <w:p>
      <w:pPr>
        <w:pBdr>
          <w:bottom w:val="single" w:color="DDE3EE" w:sz="6"/>
        </w:pBdr>
        <w:spacing w:after="240" w:before="0"/>
      </w:pPr>
      <w:r>
        <w:rPr>
          <w:rFonts w:ascii="Calibri" w:cs="Calibri" w:eastAsia="Calibri" w:hAnsi="Calibri"/>
          <w:b/>
          <w:bCs/>
          <w:color w:val="16213A"/>
          <w:sz w:val="30"/>
          <w:szCs w:val="30"/>
        </w:rPr>
        <w:t xml:space="preserve">1. Descripción</w:t>
      </w:r>
    </w:p>
    <w:p>
      <w:pPr>
        <w:spacing w:after="160" w:before="0"/>
      </w:pPr>
      <w:r>
        <w:rPr>
          <w:rFonts w:ascii="Calibri" w:cs="Calibri" w:eastAsia="Calibri" w:hAnsi="Calibri"/>
          <w:color w:val="16213A"/>
          <w:sz w:val="22"/>
          <w:szCs w:val="22"/>
        </w:rPr>
        <w:t xml:space="preserve">Se implementó la infraestructura de </w:t>
      </w:r>
      <w:r>
        <w:rPr>
          <w:rFonts w:ascii="Calibri" w:cs="Calibri" w:eastAsia="Calibri" w:hAnsi="Calibri"/>
          <w:b/>
          <w:bCs/>
          <w:color w:val="16213A"/>
          <w:sz w:val="22"/>
          <w:szCs w:val="22"/>
        </w:rPr>
        <w:t xml:space="preserve">Azure Blob Storage</w:t>
      </w:r>
      <w:r>
        <w:rPr>
          <w:rFonts w:ascii="Calibri" w:cs="Calibri" w:eastAsia="Calibri" w:hAnsi="Calibri"/>
          <w:color w:val="16213A"/>
          <w:sz w:val="22"/>
          <w:szCs w:val="22"/>
        </w:rPr>
        <w:t xml:space="preserve"> para gestionar archivos del sistema: fotos de dispositivos de clientes y adjuntos de tickets de servicio.</w:t>
      </w:r>
    </w:p>
    <w:p>
      <w:pPr>
        <w:spacing w:after="200" w:before="0"/>
      </w:pPr>
      <w:r>
        <w:rPr>
          <w:rFonts w:ascii="Calibri" w:cs="Calibri" w:eastAsia="Calibri" w:hAnsi="Calibri"/>
          <w:color w:val="16213A"/>
          <w:sz w:val="22"/>
          <w:szCs w:val="22"/>
        </w:rPr>
        <w:t xml:space="preserve">El backend nunca expone URLs directas de los blobs. En su lugar, genera </w:t>
      </w:r>
      <w:r>
        <w:rPr>
          <w:rFonts w:ascii="Calibri" w:cs="Calibri" w:eastAsia="Calibri" w:hAnsi="Calibri"/>
          <w:b/>
          <w:bCs/>
          <w:color w:val="16213A"/>
          <w:sz w:val="22"/>
          <w:szCs w:val="22"/>
        </w:rPr>
        <w:t xml:space="preserve">SAS Tokens temporales de 1 hora </w:t>
      </w:r>
      <w:r>
        <w:rPr>
          <w:rFonts w:ascii="Calibri" w:cs="Calibri" w:eastAsia="Calibri" w:hAnsi="Calibri"/>
          <w:color w:val="16213A"/>
          <w:sz w:val="22"/>
          <w:szCs w:val="22"/>
        </w:rPr>
        <w:t xml:space="preserve">que el frontend usa para acceder a los archivos de forma segura. Este comportamiento responde directamente al requisito descrito en el diagrama de secuencia </w:t>
      </w:r>
      <w:r>
        <w:rPr>
          <w:rFonts w:ascii="Calibri" w:cs="Calibri" w:eastAsia="Calibri" w:hAnsi="Calibri"/>
          <w:b/>
          <w:bCs/>
          <w:color w:val="2562B4"/>
          <w:sz w:val="22"/>
          <w:szCs w:val="22"/>
        </w:rPr>
        <w:t xml:space="preserve">SD-10</w:t>
      </w:r>
      <w:r>
        <w:rPr>
          <w:rFonts w:ascii="Calibri" w:cs="Calibri" w:eastAsia="Calibri" w:hAnsi="Calibri"/>
          <w:color w:val="16213A"/>
          <w:sz w:val="22"/>
          <w:szCs w:val="22"/>
        </w:rPr>
        <w:t xml:space="preserve"> del proyecto.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6213A"/>
          <w:sz w:val="22"/>
          <w:szCs w:val="22"/>
        </w:rPr>
        <w:t xml:space="preserve">La implementación cubre dos flujos principales:</w:t>
      </w:r>
    </w:p>
    <w:p>
      <w:pPr>
        <w:pStyle w:val="ListParagraph"/>
        <w:numPr>
          <w:ilvl w:val="0"/>
          <w:numId w:val="2"/>
        </w:numPr>
        <w:spacing w:after="100" w:before="80"/>
      </w:pPr>
      <w:r>
        <w:rPr>
          <w:rFonts w:ascii="Calibri" w:cs="Calibri" w:eastAsia="Calibri" w:hAnsi="Calibri"/>
          <w:b/>
          <w:bCs/>
          <w:color w:val="16213A"/>
          <w:sz w:val="22"/>
          <w:szCs w:val="22"/>
        </w:rPr>
        <w:t xml:space="preserve">Fotos de dispositivos (SD-03): </w:t>
      </w:r>
      <w:r>
        <w:rPr>
          <w:rFonts w:ascii="Calibri" w:cs="Calibri" w:eastAsia="Calibri" w:hAnsi="Calibri"/>
          <w:color w:val="16213A"/>
          <w:sz w:val="22"/>
          <w:szCs w:val="22"/>
        </w:rPr>
        <w:t xml:space="preserve">el cliente puede subir o reemplazar la foto de cualquier dispositivo registrado. La foto se almacena en el container </w:t>
      </w:r>
      <w:r>
        <w:rPr>
          <w:rFonts w:ascii="Consolas" w:cs="Consolas" w:eastAsia="Consolas" w:hAnsi="Consolas"/>
          <w:color w:val="16213A"/>
          <w:sz w:val="18"/>
          <w:szCs w:val="18"/>
        </w:rPr>
        <w:t xml:space="preserve">device-photos</w:t>
      </w:r>
      <w:r>
        <w:rPr>
          <w:rFonts w:ascii="Calibri" w:cs="Calibri" w:eastAsia="Calibri" w:hAnsi="Calibri"/>
          <w:color w:val="16213A"/>
          <w:sz w:val="22"/>
          <w:szCs w:val="22"/>
        </w:rPr>
        <w:t xml:space="preserve"> usando el UUID del dispositivo como nombre de blob, por lo que una nueva foto siempre sobreescribe la anterior sin generar archivos huérfanos.</w:t>
      </w:r>
    </w:p>
    <w:p>
      <w:pPr>
        <w:pStyle w:val="ListParagraph"/>
        <w:numPr>
          <w:ilvl w:val="0"/>
          <w:numId w:val="2"/>
        </w:numPr>
        <w:spacing w:after="200" w:before="80"/>
      </w:pPr>
      <w:r>
        <w:rPr>
          <w:rFonts w:ascii="Calibri" w:cs="Calibri" w:eastAsia="Calibri" w:hAnsi="Calibri"/>
          <w:b/>
          <w:bCs/>
          <w:color w:val="16213A"/>
          <w:sz w:val="22"/>
          <w:szCs w:val="22"/>
        </w:rPr>
        <w:t xml:space="preserve">Adjuntos de tickets (SD-10): </w:t>
      </w:r>
      <w:r>
        <w:rPr>
          <w:rFonts w:ascii="Calibri" w:cs="Calibri" w:eastAsia="Calibri" w:hAnsi="Calibri"/>
          <w:color w:val="16213A"/>
          <w:sz w:val="22"/>
          <w:szCs w:val="22"/>
        </w:rPr>
        <w:t xml:space="preserve">técnico o cliente pueden adjuntar archivos a un ticket mientras esté en estado </w:t>
      </w:r>
      <w:r>
        <w:rPr>
          <w:rFonts w:ascii="Consolas" w:cs="Consolas" w:eastAsia="Consolas" w:hAnsi="Consolas"/>
          <w:color w:val="16213A"/>
          <w:sz w:val="18"/>
          <w:szCs w:val="18"/>
        </w:rPr>
        <w:t xml:space="preserve">EN_PROGRESO</w:t>
      </w:r>
      <w:r>
        <w:rPr>
          <w:rFonts w:ascii="Calibri" w:cs="Calibri" w:eastAsia="Calibri" w:hAnsi="Calibri"/>
          <w:color w:val="16213A"/>
          <w:sz w:val="22"/>
          <w:szCs w:val="22"/>
        </w:rPr>
        <w:t xml:space="preserve">. Los archivos se almacenan en el container </w:t>
      </w:r>
      <w:r>
        <w:rPr>
          <w:rFonts w:ascii="Consolas" w:cs="Consolas" w:eastAsia="Consolas" w:hAnsi="Consolas"/>
          <w:color w:val="16213A"/>
          <w:sz w:val="18"/>
          <w:szCs w:val="18"/>
        </w:rPr>
        <w:t xml:space="preserve">ticket-attachments</w:t>
      </w:r>
      <w:r>
        <w:rPr>
          <w:rFonts w:ascii="Calibri" w:cs="Calibri" w:eastAsia="Calibri" w:hAnsi="Calibri"/>
          <w:color w:val="16213A"/>
          <w:sz w:val="22"/>
          <w:szCs w:val="22"/>
        </w:rPr>
        <w:t xml:space="preserve"> con la ruta </w:t>
      </w:r>
      <w:r>
        <w:rPr>
          <w:rFonts w:ascii="Consolas" w:cs="Consolas" w:eastAsia="Consolas" w:hAnsi="Consolas"/>
          <w:color w:val="16213A"/>
          <w:sz w:val="18"/>
          <w:szCs w:val="18"/>
        </w:rPr>
        <w:t xml:space="preserve">{ticket_id}/{adjunto_id}</w:t>
      </w:r>
      <w:r>
        <w:rPr>
          <w:rFonts w:ascii="Calibri" w:cs="Calibri" w:eastAsia="Calibri" w:hAnsi="Calibri"/>
          <w:color w:val="16213A"/>
          <w:sz w:val="22"/>
          <w:szCs w:val="22"/>
        </w:rPr>
        <w:t xml:space="preserve">.</w:t>
      </w:r>
    </w:p>
    <w:p>
      <w:pPr>
        <w:spacing w:after="320" w:before="0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La capa de infraestructura (</w:t>
      </w:r>
      <w:r>
        <w:rPr>
          <w:rFonts w:ascii="Consolas" w:cs="Consolas" w:eastAsia="Consolas" w:hAnsi="Consolas"/>
          <w:color w:val="4A5568"/>
          <w:sz w:val="18"/>
          <w:szCs w:val="18"/>
        </w:rPr>
        <w:t xml:space="preserve">blob_storage.py</w:t>
      </w: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) es compartida y reutilizable por otros módulos del proyecto, como la generación de comprobantes PDF descrita en SD-14.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6213A"/>
          <w:sz w:val="24"/>
          <w:szCs w:val="24"/>
        </w:rPr>
        <w:t xml:space="preserve">Límites de archivo</w:t>
      </w:r>
    </w:p>
    <w:tbl>
      <w:tblPr>
        <w:tblW w:type="dxa" w:w="9000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562B4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archivo</w:t>
            </w:r>
          </w:p>
        </w:tc>
        <w:tc>
          <w:tcPr>
            <w:tcW w:type="dxa" w:w="3000"/>
            <w:shd w:fill="2562B4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Límite de tamaño</w:t>
            </w:r>
          </w:p>
        </w:tc>
        <w:tc>
          <w:tcPr>
            <w:tcW w:type="dxa" w:w="3000"/>
            <w:shd w:fill="2562B4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MIME permitidos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6213A"/>
                <w:sz w:val="18"/>
                <w:szCs w:val="18"/>
              </w:rPr>
              <w:t xml:space="preserve">Foto de dispositivo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6213A"/>
                <w:sz w:val="18"/>
                <w:szCs w:val="18"/>
              </w:rPr>
              <w:t xml:space="preserve">5 MB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Consolas" w:cs="Consolas" w:eastAsia="Consolas" w:hAnsi="Consolas"/>
                <w:color w:val="16213A"/>
                <w:sz w:val="18"/>
                <w:szCs w:val="18"/>
              </w:rPr>
              <w:t xml:space="preserve">image/jpeg · image/png · image/webp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6213A"/>
                <w:sz w:val="18"/>
                <w:szCs w:val="18"/>
              </w:rPr>
              <w:t xml:space="preserve">Adjunto de ticket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16213A"/>
                <w:sz w:val="18"/>
                <w:szCs w:val="18"/>
              </w:rPr>
              <w:t xml:space="preserve">10 MB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Consolas" w:cs="Consolas" w:eastAsia="Consolas" w:hAnsi="Consolas"/>
                <w:color w:val="16213A"/>
                <w:sz w:val="18"/>
                <w:szCs w:val="18"/>
              </w:rPr>
              <w:t xml:space="preserve">jpeg · png · webp · pdf · doc · docx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DDE3EE" w:sz="6"/>
        </w:pBdr>
        <w:spacing w:after="80" w:before="0"/>
      </w:pPr>
      <w:r>
        <w:rPr>
          <w:rFonts w:ascii="Calibri" w:cs="Calibri" w:eastAsia="Calibri" w:hAnsi="Calibri"/>
          <w:b/>
          <w:bCs/>
          <w:color w:val="16213A"/>
          <w:sz w:val="30"/>
          <w:szCs w:val="30"/>
        </w:rPr>
        <w:t xml:space="preserve">2. Checklist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8896B0"/>
          <w:sz w:val="18"/>
          <w:szCs w:val="18"/>
        </w:rPr>
        <w:t xml:space="preserve">✓ completado   ○ pendiente (acción manual requerida)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562B4"/>
          <w:spacing w:val="80"/>
          <w:sz w:val="16"/>
          <w:szCs w:val="16"/>
        </w:rPr>
        <w:t xml:space="preserve">AZURE — CONFIGURACIÓN MANUAL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B45309"/>
          <w:sz w:val="24"/>
          <w:szCs w:val="24"/>
        </w:rPr>
        <w:t xml:space="preserve">○  </w:t>
      </w:r>
      <w:r>
        <w:rPr>
          <w:rFonts w:ascii="Calibri" w:cs="Calibri" w:eastAsia="Calibri" w:hAnsi="Calibri"/>
          <w:b w:val="false"/>
          <w:bCs w:val="false"/>
          <w:color w:val="B45309"/>
          <w:sz w:val="22"/>
          <w:szCs w:val="22"/>
        </w:rPr>
        <w:t xml:space="preserve">Crear containers en Azure Portal</w:t>
      </w:r>
    </w:p>
    <w:p>
      <w:pPr>
        <w:spacing w:after="80" w:before="0"/>
      </w:pPr>
      <w:r>
        <w:rPr>
          <w:rFonts w:ascii="Consolas" w:cs="Consolas" w:eastAsia="Consolas" w:hAnsi="Consolas"/>
          <w:color w:val="4A5568"/>
          <w:sz w:val="18"/>
          <w:szCs w:val="18"/>
        </w:rPr>
        <w:t xml:space="preserve">    saticketfixdata  →  device-photos  &amp;  ticket-attachments  (acceso: Privado)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B45309"/>
          <w:sz w:val="24"/>
          <w:szCs w:val="24"/>
        </w:rPr>
        <w:t xml:space="preserve">○  </w:t>
      </w:r>
      <w:r>
        <w:rPr>
          <w:rFonts w:ascii="Calibri" w:cs="Calibri" w:eastAsia="Calibri" w:hAnsi="Calibri"/>
          <w:b w:val="false"/>
          <w:bCs w:val="false"/>
          <w:color w:val="B45309"/>
          <w:sz w:val="22"/>
          <w:szCs w:val="22"/>
        </w:rPr>
        <w:t xml:space="preserve">Regenerar Account Key y actualizar .env</w:t>
      </w:r>
    </w:p>
    <w:p>
      <w:pPr>
        <w:spacing w:after="80" w:before="0"/>
      </w:pPr>
      <w:r>
        <w:rPr>
          <w:rFonts w:ascii="Consolas" w:cs="Consolas" w:eastAsia="Consolas" w:hAnsi="Consolas"/>
          <w:color w:val="4A5568"/>
          <w:sz w:val="18"/>
          <w:szCs w:val="18"/>
        </w:rPr>
        <w:t xml:space="preserve">    saticketfixdata → Claves de acceso → Regenerar key1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562B4"/>
          <w:spacing w:val="80"/>
          <w:sz w:val="16"/>
          <w:szCs w:val="16"/>
        </w:rPr>
        <w:t xml:space="preserve">INFRAESTRUCTURA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5803D"/>
          <w:sz w:val="24"/>
          <w:szCs w:val="24"/>
        </w:rPr>
        <w:t xml:space="preserve">✓  </w:t>
      </w:r>
      <w:r>
        <w:rPr>
          <w:rFonts w:ascii="Calibri" w:cs="Calibri" w:eastAsia="Calibri" w:hAnsi="Calibri"/>
          <w:b/>
          <w:bCs/>
          <w:color w:val="16213A"/>
          <w:sz w:val="22"/>
          <w:szCs w:val="22"/>
        </w:rPr>
        <w:t xml:space="preserve">Variables de entorno para dos containers</w:t>
      </w:r>
    </w:p>
    <w:p>
      <w:pPr>
        <w:spacing w:after="80" w:before="0"/>
      </w:pPr>
      <w:r>
        <w:rPr>
          <w:rFonts w:ascii="Consolas" w:cs="Consolas" w:eastAsia="Consolas" w:hAnsi="Consolas"/>
          <w:color w:val="4A5568"/>
          <w:sz w:val="18"/>
          <w:szCs w:val="18"/>
        </w:rPr>
        <w:t xml:space="preserve">    AZURE_STORAGE_CONTAINER_DEVICES · AZURE_STORAGE_CONTAINER_TICKETS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5803D"/>
          <w:sz w:val="24"/>
          <w:szCs w:val="24"/>
        </w:rPr>
        <w:t xml:space="preserve">✓  </w:t>
      </w:r>
      <w:r>
        <w:rPr>
          <w:rFonts w:ascii="Calibri" w:cs="Calibri" w:eastAsia="Calibri" w:hAnsi="Calibri"/>
          <w:b/>
          <w:bCs/>
          <w:color w:val="16213A"/>
          <w:sz w:val="22"/>
          <w:szCs w:val="22"/>
        </w:rPr>
        <w:t xml:space="preserve">blob_storage.py — funciones base</w:t>
      </w:r>
    </w:p>
    <w:p>
      <w:pPr>
        <w:spacing w:after="80" w:before="0"/>
      </w:pPr>
      <w:r>
        <w:rPr>
          <w:rFonts w:ascii="Consolas" w:cs="Consolas" w:eastAsia="Consolas" w:hAnsi="Consolas"/>
          <w:color w:val="4A5568"/>
          <w:sz w:val="18"/>
          <w:szCs w:val="18"/>
        </w:rPr>
        <w:t xml:space="preserve">    upload_blob · generate_sas_url · delete_blob · validar_imagen · validar_adjunto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562B4"/>
          <w:spacing w:val="80"/>
          <w:sz w:val="16"/>
          <w:szCs w:val="16"/>
        </w:rPr>
        <w:t xml:space="preserve">FOTOS DE DISPOSITIVO (SD-03)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5803D"/>
          <w:sz w:val="24"/>
          <w:szCs w:val="24"/>
        </w:rPr>
        <w:t xml:space="preserve">✓  </w:t>
      </w:r>
      <w:r>
        <w:rPr>
          <w:rFonts w:ascii="Calibri" w:cs="Calibri" w:eastAsia="Calibri" w:hAnsi="Calibri"/>
          <w:b/>
          <w:bCs/>
          <w:color w:val="16213A"/>
          <w:sz w:val="22"/>
          <w:szCs w:val="22"/>
        </w:rPr>
        <w:t xml:space="preserve">Endpoint subir foto de dispositivo</w:t>
      </w:r>
    </w:p>
    <w:p>
      <w:pPr>
        <w:spacing w:after="80" w:before="0"/>
      </w:pPr>
      <w:r>
        <w:rPr>
          <w:rFonts w:ascii="Consolas" w:cs="Consolas" w:eastAsia="Consolas" w:hAnsi="Consolas"/>
          <w:color w:val="4A5568"/>
          <w:sz w:val="18"/>
          <w:szCs w:val="18"/>
        </w:rPr>
        <w:t xml:space="preserve">    POST /api/v1/dispositivos/{id}/foto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5803D"/>
          <w:sz w:val="24"/>
          <w:szCs w:val="24"/>
        </w:rPr>
        <w:t xml:space="preserve">✓  </w:t>
      </w:r>
      <w:r>
        <w:rPr>
          <w:rFonts w:ascii="Calibri" w:cs="Calibri" w:eastAsia="Calibri" w:hAnsi="Calibri"/>
          <w:b/>
          <w:bCs/>
          <w:color w:val="16213A"/>
          <w:sz w:val="22"/>
          <w:szCs w:val="22"/>
        </w:rPr>
        <w:t xml:space="preserve">Endpoint obtener URL firmada de foto</w:t>
      </w:r>
    </w:p>
    <w:p>
      <w:pPr>
        <w:spacing w:after="80" w:before="0"/>
      </w:pPr>
      <w:r>
        <w:rPr>
          <w:rFonts w:ascii="Consolas" w:cs="Consolas" w:eastAsia="Consolas" w:hAnsi="Consolas"/>
          <w:color w:val="4A5568"/>
          <w:sz w:val="18"/>
          <w:szCs w:val="18"/>
        </w:rPr>
        <w:t xml:space="preserve">    GET  /api/v1/dispositivos/{id}/foto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562B4"/>
          <w:spacing w:val="80"/>
          <w:sz w:val="16"/>
          <w:szCs w:val="16"/>
        </w:rPr>
        <w:t xml:space="preserve">ADJUNTOS DE TICKET (SD-10)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5803D"/>
          <w:sz w:val="24"/>
          <w:szCs w:val="24"/>
        </w:rPr>
        <w:t xml:space="preserve">✓  </w:t>
      </w:r>
      <w:r>
        <w:rPr>
          <w:rFonts w:ascii="Calibri" w:cs="Calibri" w:eastAsia="Calibri" w:hAnsi="Calibri"/>
          <w:b/>
          <w:bCs/>
          <w:color w:val="16213A"/>
          <w:sz w:val="22"/>
          <w:szCs w:val="22"/>
        </w:rPr>
        <w:t xml:space="preserve">Modelo Adjunto — tabla clientes.adjunto</w:t>
      </w:r>
    </w:p>
    <w:p>
      <w:pPr>
        <w:spacing w:after="80" w:before="0"/>
      </w:pPr>
      <w:r>
        <w:rPr>
          <w:rFonts w:ascii="Consolas" w:cs="Consolas" w:eastAsia="Consolas" w:hAnsi="Consolas"/>
          <w:color w:val="4A5568"/>
          <w:sz w:val="18"/>
          <w:szCs w:val="18"/>
        </w:rPr>
        <w:t xml:space="preserve">    adjunto_id · ticket_id · nombre · tipo_mime · tamanio_bytes · blob_url · subido_por · subido_en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5803D"/>
          <w:sz w:val="24"/>
          <w:szCs w:val="24"/>
        </w:rPr>
        <w:t xml:space="preserve">✓  </w:t>
      </w:r>
      <w:r>
        <w:rPr>
          <w:rFonts w:ascii="Calibri" w:cs="Calibri" w:eastAsia="Calibri" w:hAnsi="Calibri"/>
          <w:b/>
          <w:bCs/>
          <w:color w:val="16213A"/>
          <w:sz w:val="22"/>
          <w:szCs w:val="22"/>
        </w:rPr>
        <w:t xml:space="preserve">Endpoint subir adjunto a ticket</w:t>
      </w:r>
    </w:p>
    <w:p>
      <w:pPr>
        <w:spacing w:after="80" w:before="0"/>
      </w:pPr>
      <w:r>
        <w:rPr>
          <w:rFonts w:ascii="Consolas" w:cs="Consolas" w:eastAsia="Consolas" w:hAnsi="Consolas"/>
          <w:color w:val="4A5568"/>
          <w:sz w:val="18"/>
          <w:szCs w:val="18"/>
        </w:rPr>
        <w:t xml:space="preserve">    POST /api/v1/tickets/{id}/adjuntos  (solo estado EN_PROGRESO)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5803D"/>
          <w:sz w:val="24"/>
          <w:szCs w:val="24"/>
        </w:rPr>
        <w:t xml:space="preserve">✓  </w:t>
      </w:r>
      <w:r>
        <w:rPr>
          <w:rFonts w:ascii="Calibri" w:cs="Calibri" w:eastAsia="Calibri" w:hAnsi="Calibri"/>
          <w:b/>
          <w:bCs/>
          <w:color w:val="16213A"/>
          <w:sz w:val="22"/>
          <w:szCs w:val="22"/>
        </w:rPr>
        <w:t xml:space="preserve">Endpoint listar adjuntos de ticket</w:t>
      </w:r>
    </w:p>
    <w:p>
      <w:pPr>
        <w:spacing w:after="80" w:before="0"/>
      </w:pPr>
      <w:r>
        <w:rPr>
          <w:rFonts w:ascii="Consolas" w:cs="Consolas" w:eastAsia="Consolas" w:hAnsi="Consolas"/>
          <w:color w:val="4A5568"/>
          <w:sz w:val="18"/>
          <w:szCs w:val="18"/>
        </w:rPr>
        <w:t xml:space="preserve">    GET  /api/v1/tickets/{id}/adjuntos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5803D"/>
          <w:sz w:val="24"/>
          <w:szCs w:val="24"/>
        </w:rPr>
        <w:t xml:space="preserve">✓  </w:t>
      </w:r>
      <w:r>
        <w:rPr>
          <w:rFonts w:ascii="Calibri" w:cs="Calibri" w:eastAsia="Calibri" w:hAnsi="Calibri"/>
          <w:b/>
          <w:bCs/>
          <w:color w:val="16213A"/>
          <w:sz w:val="22"/>
          <w:szCs w:val="22"/>
        </w:rPr>
        <w:t xml:space="preserve">Endpoint obtener URL firmada de adjunto</w:t>
      </w:r>
    </w:p>
    <w:p>
      <w:pPr>
        <w:spacing w:after="80" w:before="0"/>
      </w:pPr>
      <w:r>
        <w:rPr>
          <w:rFonts w:ascii="Consolas" w:cs="Consolas" w:eastAsia="Consolas" w:hAnsi="Consolas"/>
          <w:color w:val="4A5568"/>
          <w:sz w:val="18"/>
          <w:szCs w:val="18"/>
        </w:rPr>
        <w:t xml:space="preserve">    GET  /api/v1/adjuntos/{id}/url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5803D"/>
          <w:sz w:val="24"/>
          <w:szCs w:val="24"/>
        </w:rPr>
        <w:t xml:space="preserve">✓  </w:t>
      </w:r>
      <w:r>
        <w:rPr>
          <w:rFonts w:ascii="Calibri" w:cs="Calibri" w:eastAsia="Calibri" w:hAnsi="Calibri"/>
          <w:b/>
          <w:bCs/>
          <w:color w:val="16213A"/>
          <w:sz w:val="22"/>
          <w:szCs w:val="22"/>
        </w:rPr>
        <w:t xml:space="preserve">Endpoint eliminar adjunto</w:t>
      </w:r>
    </w:p>
    <w:p>
      <w:pPr>
        <w:spacing w:after="80" w:before="0"/>
      </w:pPr>
      <w:r>
        <w:rPr>
          <w:rFonts w:ascii="Consolas" w:cs="Consolas" w:eastAsia="Consolas" w:hAnsi="Consolas"/>
          <w:color w:val="4A5568"/>
          <w:sz w:val="18"/>
          <w:szCs w:val="18"/>
        </w:rPr>
        <w:t xml:space="preserve">    DELETE /api/v1/adjuntos/{id}  (solo técnico)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5803D"/>
          <w:sz w:val="24"/>
          <w:szCs w:val="24"/>
        </w:rPr>
        <w:t xml:space="preserve">✓  </w:t>
      </w:r>
      <w:r>
        <w:rPr>
          <w:rFonts w:ascii="Calibri" w:cs="Calibri" w:eastAsia="Calibri" w:hAnsi="Calibri"/>
          <w:b/>
          <w:bCs/>
          <w:color w:val="16213A"/>
          <w:sz w:val="22"/>
          <w:szCs w:val="22"/>
        </w:rPr>
        <w:t xml:space="preserve">Migración 001 aplicada en Azure SQL</w:t>
      </w:r>
    </w:p>
    <w:p>
      <w:pPr>
        <w:spacing w:after="80" w:before="0"/>
      </w:pPr>
      <w:r>
        <w:rPr>
          <w:rFonts w:ascii="Consolas" w:cs="Consolas" w:eastAsia="Consolas" w:hAnsi="Consolas"/>
          <w:color w:val="4A5568"/>
          <w:sz w:val="18"/>
          <w:szCs w:val="18"/>
        </w:rPr>
        <w:t xml:space="preserve">    migrations/versions/001_adjunto_subido_en.py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562B4"/>
          <w:spacing w:val="80"/>
          <w:sz w:val="16"/>
          <w:szCs w:val="16"/>
        </w:rPr>
        <w:t xml:space="preserve">TESTS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5803D"/>
          <w:sz w:val="24"/>
          <w:szCs w:val="24"/>
        </w:rPr>
        <w:t xml:space="preserve">✓  </w:t>
      </w:r>
      <w:r>
        <w:rPr>
          <w:rFonts w:ascii="Calibri" w:cs="Calibri" w:eastAsia="Calibri" w:hAnsi="Calibri"/>
          <w:b/>
          <w:bCs/>
          <w:color w:val="16213A"/>
          <w:sz w:val="22"/>
          <w:szCs w:val="22"/>
        </w:rPr>
        <w:t xml:space="preserve">19 / 19 tests pasando</w:t>
      </w:r>
    </w:p>
    <w:p>
      <w:pPr>
        <w:spacing w:after="80" w:before="0"/>
      </w:pPr>
      <w:r>
        <w:rPr>
          <w:rFonts w:ascii="Consolas" w:cs="Consolas" w:eastAsia="Consolas" w:hAnsi="Consolas"/>
          <w:color w:val="4A5568"/>
          <w:sz w:val="18"/>
          <w:szCs w:val="18"/>
        </w:rPr>
        <w:t xml:space="preserve">    tests/integration/test_blob_storage.py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Avance Persona 3 — Azure Blob Storage</dc:title>
  <dc:creator>Alexander Centeno</dc:creator>
  <dc:description>Documentación de implementación de Azure Blob Storage en TechFix</dc:description>
  <cp:lastModifiedBy>Un-named</cp:lastModifiedBy>
  <cp:revision>1</cp:revision>
  <dcterms:created xsi:type="dcterms:W3CDTF">2026-07-11T01:35:36.942Z</dcterms:created>
  <dcterms:modified xsi:type="dcterms:W3CDTF">2026-07-11T01:35:36.943Z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