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1F4E79"/>
          <w:sz w:val="56"/>
          <w:szCs w:val="56"/>
        </w:rPr>
        <w:t xml:space="preserve">TechFix</w:t>
      </w:r>
    </w:p>
    <w:p>
      <w:pPr>
        <w:spacing w:after="80" w:before="0"/>
        <w:jc w:val="center"/>
      </w:pPr>
      <w:r>
        <w:rPr>
          <w:rFonts w:ascii="Arial" w:cs="Arial" w:eastAsia="Arial" w:hAnsi="Arial"/>
          <w:color w:val="2E75B6"/>
          <w:sz w:val="32"/>
          <w:szCs w:val="32"/>
        </w:rPr>
        <w:t xml:space="preserve">Sistema de gestión de tickets</w:t>
      </w:r>
    </w:p>
    <w:p>
      <w:pPr>
        <w:spacing w:after="400" w:before="0"/>
        <w:jc w:val="center"/>
      </w:pPr>
      <w:r>
        <w:rPr>
          <w:rFonts w:ascii="Arial" w:cs="Arial" w:eastAsia="Arial" w:hAnsi="Arial"/>
          <w:b/>
          <w:bCs/>
          <w:color w:val="1A1A1A"/>
          <w:sz w:val="28"/>
          <w:szCs w:val="28"/>
        </w:rPr>
        <w:t xml:space="preserve">Requisitos Funcionales y No Funcionales</w:t>
      </w:r>
    </w:p>
    <w:p>
      <w:pPr>
        <w:spacing w:after="0" w:before="0"/>
      </w:pPr>
      <w:r>
        <w:t xml:space="preserve"/>
      </w:r>
    </w:p>
    <w:p>
      <w:pPr>
        <w:pBdr>
          <w:top w:val="single" w:color="2E75B6" w:sz="4" w:space="1"/>
        </w:pBdr>
        <w:spacing w:after="200" w:before="200"/>
        <w:jc w:val="center"/>
      </w:pPr>
    </w:p>
    <w:p>
      <w:pPr>
        <w:spacing w:after="0" w:before="0"/>
      </w:pPr>
      <w:r>
        <w:t xml:space="preserve"/>
      </w:r>
    </w:p>
    <w:p>
      <w:pPr>
        <w:jc w:val="center"/>
      </w:pPr>
      <w:r>
        <w:rPr>
          <w:rFonts w:ascii="Arial" w:cs="Arial" w:eastAsia="Arial" w:hAnsi="Arial"/>
          <w:color w:val="666666"/>
          <w:sz w:val="20"/>
          <w:szCs w:val="20"/>
        </w:rPr>
        <w:t xml:space="preserve">Versión 1.0  |  Mayo 2025</w:t>
      </w:r>
    </w:p>
    <w:p>
      <w:r>
        <w:br w:type="page"/>
      </w:r>
    </w:p>
    <w:p>
      <w:pPr>
        <w:pStyle w:val="Heading1"/>
        <w:spacing w:after="120" w:before="360"/>
      </w:pPr>
      <w:r>
        <w:rPr>
          <w:rFonts w:ascii="Arial" w:cs="Arial" w:eastAsia="Arial" w:hAnsi="Arial"/>
          <w:b/>
          <w:bCs/>
          <w:color w:val="1F4E79"/>
          <w:sz w:val="28"/>
          <w:szCs w:val="28"/>
        </w:rPr>
        <w:t xml:space="preserve">1. Introducción</w:t>
      </w:r>
    </w:p>
    <w:p>
      <w:pPr>
        <w:spacing w:after="60" w:before="60"/>
      </w:pPr>
      <w:r>
        <w:rPr>
          <w:rFonts w:ascii="Arial" w:cs="Arial" w:eastAsia="Arial" w:hAnsi="Arial"/>
          <w:color w:val="1A1A1A"/>
          <w:sz w:val="20"/>
          <w:szCs w:val="20"/>
        </w:rPr>
        <w:t xml:space="preserve">Este documento especifica los requisitos funcionales (RF) y no funcionales (RNF) del sistema TechFix. Los requisitos funcionales describen qué debe hacer el sistema; los no funcionales establecen bajo qué condiciones de calidad debe hacerlo.</w:t>
      </w:r>
    </w:p>
    <w:p>
      <w:pPr>
        <w:spacing w:after="0" w:before="0"/>
      </w:pPr>
      <w:r>
        <w:t xml:space="preserve"/>
      </w:r>
    </w:p>
    <w:p>
      <w:pPr>
        <w:pStyle w:val="Heading2"/>
        <w:spacing w:after="80" w:before="280"/>
      </w:pPr>
      <w:r>
        <w:rPr>
          <w:rFonts w:ascii="Arial" w:cs="Arial" w:eastAsia="Arial" w:hAnsi="Arial"/>
          <w:b/>
          <w:bCs/>
          <w:color w:val="2E75B6"/>
          <w:sz w:val="24"/>
          <w:szCs w:val="24"/>
        </w:rPr>
        <w:t xml:space="preserve">Contexto del sistema</w:t>
      </w:r>
    </w:p>
    <w:p>
      <w:pPr>
        <w:pStyle w:val="ListParagraph"/>
        <w:numPr>
          <w:ilvl w:val="0"/>
          <w:numId w:val="2"/>
        </w:numPr>
        <w:spacing w:after="40" w:before="40"/>
      </w:pPr>
      <w:r>
        <w:rPr>
          <w:rFonts w:ascii="Arial" w:cs="Arial" w:eastAsia="Arial" w:hAnsi="Arial"/>
          <w:color w:val="1A1A1A"/>
          <w:sz w:val="20"/>
          <w:szCs w:val="20"/>
        </w:rPr>
        <w:t xml:space="preserve">Single-tenant: un único técnico independiente como owner del sistema.</w:t>
      </w:r>
    </w:p>
    <w:p>
      <w:pPr>
        <w:pStyle w:val="ListParagraph"/>
        <w:numPr>
          <w:ilvl w:val="0"/>
          <w:numId w:val="2"/>
        </w:numPr>
        <w:spacing w:after="40" w:before="40"/>
      </w:pPr>
      <w:r>
        <w:rPr>
          <w:rFonts w:ascii="Arial" w:cs="Arial" w:eastAsia="Arial" w:hAnsi="Arial"/>
          <w:color w:val="1A1A1A"/>
          <w:sz w:val="20"/>
          <w:szCs w:val="20"/>
        </w:rPr>
        <w:t xml:space="preserve">Dos roles de usuario: Técnico (owner) y Cliente (self-registration).</w:t>
      </w:r>
    </w:p>
    <w:p>
      <w:pPr>
        <w:pStyle w:val="ListParagraph"/>
        <w:numPr>
          <w:ilvl w:val="0"/>
          <w:numId w:val="2"/>
        </w:numPr>
        <w:spacing w:after="40" w:before="40"/>
      </w:pPr>
      <w:r>
        <w:rPr>
          <w:rFonts w:ascii="Arial" w:cs="Arial" w:eastAsia="Arial" w:hAnsi="Arial"/>
          <w:color w:val="1A1A1A"/>
          <w:sz w:val="20"/>
          <w:szCs w:val="20"/>
        </w:rPr>
        <w:t xml:space="preserve">Desplegado en Azure. Stack: React + FastAPI + PostgreSQL + Azure Services.</w:t>
      </w:r>
    </w:p>
    <w:p>
      <w:pPr>
        <w:pStyle w:val="ListParagraph"/>
        <w:numPr>
          <w:ilvl w:val="0"/>
          <w:numId w:val="2"/>
        </w:numPr>
        <w:spacing w:after="40" w:before="40"/>
      </w:pPr>
      <w:r>
        <w:rPr>
          <w:rFonts w:ascii="Arial" w:cs="Arial" w:eastAsia="Arial" w:hAnsi="Arial"/>
          <w:color w:val="1A1A1A"/>
          <w:sz w:val="20"/>
          <w:szCs w:val="20"/>
        </w:rPr>
        <w:t xml:space="preserve">Volumen esperado: menos de 100 tickets mensuales en la etapa inicial.</w:t>
      </w:r>
    </w:p>
    <w:p>
      <w:pPr>
        <w:pStyle w:val="ListParagraph"/>
        <w:numPr>
          <w:ilvl w:val="0"/>
          <w:numId w:val="2"/>
        </w:numPr>
        <w:spacing w:after="40" w:before="40"/>
      </w:pPr>
      <w:r>
        <w:rPr>
          <w:rFonts w:ascii="Arial" w:cs="Arial" w:eastAsia="Arial" w:hAnsi="Arial"/>
          <w:color w:val="1A1A1A"/>
          <w:sz w:val="20"/>
          <w:szCs w:val="20"/>
        </w:rPr>
        <w:t xml:space="preserve">Disponibilidad objetivo: horario laboral extendido (lunes a sábado, 7:00–22:00, hora de Lima).</w:t>
      </w:r>
    </w:p>
    <w:p>
      <w:pPr>
        <w:pStyle w:val="ListParagraph"/>
        <w:numPr>
          <w:ilvl w:val="0"/>
          <w:numId w:val="2"/>
        </w:numPr>
        <w:spacing w:after="40" w:before="40"/>
      </w:pPr>
      <w:r>
        <w:rPr>
          <w:rFonts w:ascii="Arial" w:cs="Arial" w:eastAsia="Arial" w:hAnsi="Arial"/>
          <w:color w:val="1A1A1A"/>
          <w:sz w:val="20"/>
          <w:szCs w:val="20"/>
        </w:rPr>
        <w:t xml:space="preserve">Alcance geográfico inicial: Perú. Expansión a Latinoamérica como requisito futuro.</w:t>
      </w:r>
    </w:p>
    <w:p>
      <w:pPr>
        <w:spacing w:after="0" w:before="0"/>
      </w:pPr>
      <w:r>
        <w:t xml:space="preserve"/>
      </w:r>
    </w:p>
    <w:p>
      <w:pPr>
        <w:pStyle w:val="Heading2"/>
        <w:spacing w:after="80" w:before="280"/>
      </w:pPr>
      <w:r>
        <w:rPr>
          <w:rFonts w:ascii="Arial" w:cs="Arial" w:eastAsia="Arial" w:hAnsi="Arial"/>
          <w:b/>
          <w:bCs/>
          <w:color w:val="2E75B6"/>
          <w:sz w:val="24"/>
          <w:szCs w:val="24"/>
        </w:rPr>
        <w:t xml:space="preserve">Convenciones de identificadores</w:t>
      </w:r>
    </w:p>
    <w:p>
      <w:pPr>
        <w:pStyle w:val="ListParagraph"/>
        <w:numPr>
          <w:ilvl w:val="0"/>
          <w:numId w:val="2"/>
        </w:numPr>
        <w:spacing w:after="40" w:before="40"/>
      </w:pPr>
      <w:r>
        <w:rPr>
          <w:rFonts w:ascii="Arial" w:cs="Arial" w:eastAsia="Arial" w:hAnsi="Arial"/>
          <w:color w:val="1A1A1A"/>
          <w:sz w:val="20"/>
          <w:szCs w:val="20"/>
        </w:rPr>
        <w:t xml:space="preserve">RF-XX: Requisito funcional.</w:t>
      </w:r>
    </w:p>
    <w:p>
      <w:pPr>
        <w:pStyle w:val="ListParagraph"/>
        <w:numPr>
          <w:ilvl w:val="0"/>
          <w:numId w:val="2"/>
        </w:numPr>
        <w:spacing w:after="40" w:before="40"/>
      </w:pPr>
      <w:r>
        <w:rPr>
          <w:rFonts w:ascii="Arial" w:cs="Arial" w:eastAsia="Arial" w:hAnsi="Arial"/>
          <w:color w:val="1A1A1A"/>
          <w:sz w:val="20"/>
          <w:szCs w:val="20"/>
        </w:rPr>
        <w:t xml:space="preserve">RNF-XX: Requisito no funcional.</w:t>
      </w:r>
    </w:p>
    <w:p>
      <w:pPr>
        <w:pStyle w:val="ListParagraph"/>
        <w:numPr>
          <w:ilvl w:val="0"/>
          <w:numId w:val="2"/>
        </w:numPr>
        <w:spacing w:after="40" w:before="40"/>
      </w:pPr>
      <w:r>
        <w:rPr>
          <w:rFonts w:ascii="Arial" w:cs="Arial" w:eastAsia="Arial" w:hAnsi="Arial"/>
          <w:color w:val="1A1A1A"/>
          <w:sz w:val="20"/>
          <w:szCs w:val="20"/>
        </w:rPr>
        <w:t xml:space="preserve">CU-XX: Caso de uso relacionado (ver documento Catálogo de Casos de Uso v1.1).</w:t>
      </w:r>
    </w:p>
    <w:p>
      <w:pPr>
        <w:spacing w:after="0" w:before="0"/>
      </w:pPr>
      <w:r>
        <w:t xml:space="preserve"/>
      </w:r>
    </w:p>
    <w:p>
      <w:r>
        <w:br w:type="page"/>
      </w:r>
    </w:p>
    <w:p>
      <w:pPr>
        <w:pStyle w:val="Heading1"/>
        <w:spacing w:after="120" w:before="360"/>
      </w:pPr>
      <w:r>
        <w:rPr>
          <w:rFonts w:ascii="Arial" w:cs="Arial" w:eastAsia="Arial" w:hAnsi="Arial"/>
          <w:b/>
          <w:bCs/>
          <w:color w:val="1F4E79"/>
          <w:sz w:val="28"/>
          <w:szCs w:val="28"/>
        </w:rPr>
        <w:t xml:space="preserve">2. Requisitos Funcionales</w:t>
      </w:r>
    </w:p>
    <w:p>
      <w:pPr>
        <w:spacing w:after="0" w:before="0"/>
      </w:pPr>
      <w:r>
        <w:t xml:space="preserve"/>
      </w:r>
    </w:p>
    <w:p>
      <w:pPr>
        <w:spacing w:after="60" w:before="60"/>
      </w:pPr>
      <w:r>
        <w:rPr>
          <w:rFonts w:ascii="Arial" w:cs="Arial" w:eastAsia="Arial" w:hAnsi="Arial"/>
          <w:color w:val="1A1A1A"/>
          <w:sz w:val="20"/>
          <w:szCs w:val="20"/>
        </w:rPr>
        <w:t xml:space="preserve">Los requisitos funcionales están organizados por categoría y referenciados a los casos de uso del sistema.</w:t>
      </w:r>
    </w:p>
    <w:p>
      <w:pPr>
        <w:spacing w:after="0" w:before="0"/>
      </w:pPr>
      <w:r>
        <w:t xml:space="preserve"/>
      </w:r>
    </w:p>
    <w:p>
      <w:pPr>
        <w:pStyle w:val="Heading2"/>
        <w:spacing w:after="80" w:before="280"/>
      </w:pPr>
      <w:r>
        <w:rPr>
          <w:rFonts w:ascii="Arial" w:cs="Arial" w:eastAsia="Arial" w:hAnsi="Arial"/>
          <w:b/>
          <w:bCs/>
          <w:color w:val="2E75B6"/>
          <w:sz w:val="24"/>
          <w:szCs w:val="24"/>
        </w:rPr>
        <w:t xml:space="preserve">2.1  Autenticación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160"/>
        <w:gridCol w:w="1900"/>
      </w:tblGrid>
      <w:tr>
        <w:tc>
          <w:tcPr>
            <w:tcW w:type="dxa" w:w="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4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Categoría</w:t>
            </w:r>
          </w:p>
        </w:tc>
        <w:tc>
          <w:tcPr>
            <w:tcW w:type="dxa" w:w="51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1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 relacionado</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RF-01</w:t>
            </w:r>
          </w:p>
        </w:tc>
        <w:tc>
          <w:tcPr>
            <w:tcW w:type="dxa" w:w="1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Autenticación</w:t>
            </w:r>
          </w:p>
        </w:tc>
        <w:tc>
          <w:tcPr>
            <w:tcW w:type="dxa" w:w="5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 sistema debe permitir el registro de clientes mediante email, contraseña y distrito. El email debe ser único y verificado antes de activar la cuenta.</w:t>
            </w:r>
          </w:p>
        </w:tc>
        <w:tc>
          <w:tcPr>
            <w:tcW w:type="dxa" w:w="1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UC-01</w:t>
            </w:r>
          </w:p>
        </w:tc>
      </w:tr>
      <w:tr>
        <w:tc>
          <w:tcPr>
            <w:tcW w:type="dxa" w:w="9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RF-02</w:t>
            </w:r>
          </w:p>
        </w:tc>
        <w:tc>
          <w:tcPr>
            <w:tcW w:type="dxa" w:w="1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Autenticación</w:t>
            </w:r>
          </w:p>
        </w:tc>
        <w:tc>
          <w:tcPr>
            <w:tcW w:type="dxa" w:w="51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El sistema debe autenticar usuarios mediante email y contraseña, emitiendo un JWT firmado con el secret almacenado en Key Vault. El token debe tener una expiración de 15 a 30 minutos.</w:t>
            </w:r>
          </w:p>
        </w:tc>
        <w:tc>
          <w:tcPr>
            <w:tcW w:type="dxa" w:w="19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UC-02</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RF-03</w:t>
            </w:r>
          </w:p>
        </w:tc>
        <w:tc>
          <w:tcPr>
            <w:tcW w:type="dxa" w:w="1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Autenticación</w:t>
            </w:r>
          </w:p>
        </w:tc>
        <w:tc>
          <w:tcPr>
            <w:tcW w:type="dxa" w:w="5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 sistema debe invalidar la sesión en el cliente al cerrar sesión eliminando el JWT de memoria. No se requiere invalidación activa del token en el servidor.</w:t>
            </w:r>
          </w:p>
        </w:tc>
        <w:tc>
          <w:tcPr>
            <w:tcW w:type="dxa" w:w="1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UC-03</w:t>
            </w:r>
          </w:p>
        </w:tc>
      </w:tr>
      <w:tr>
        <w:tc>
          <w:tcPr>
            <w:tcW w:type="dxa" w:w="9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RF-04</w:t>
            </w:r>
          </w:p>
        </w:tc>
        <w:tc>
          <w:tcPr>
            <w:tcW w:type="dxa" w:w="1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Autenticación</w:t>
            </w:r>
          </w:p>
        </w:tc>
        <w:tc>
          <w:tcPr>
            <w:tcW w:type="dxa" w:w="51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APIM debe validar el JWT en cada request antes de reenviarla al backend. Las requests sin token o con token inválido deben ser rechazadas con HTTP 401.</w:t>
            </w:r>
          </w:p>
        </w:tc>
        <w:tc>
          <w:tcPr>
            <w:tcW w:type="dxa" w:w="19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UC-02, UC-03</w:t>
            </w:r>
          </w:p>
        </w:tc>
      </w:tr>
    </w:tbl>
    <w:p>
      <w:pPr>
        <w:spacing w:after="0" w:before="0"/>
      </w:pPr>
      <w:r>
        <w:t xml:space="preserve"/>
      </w:r>
    </w:p>
    <w:p>
      <w:pPr>
        <w:pStyle w:val="Heading2"/>
        <w:spacing w:after="80" w:before="280"/>
      </w:pPr>
      <w:r>
        <w:rPr>
          <w:rFonts w:ascii="Arial" w:cs="Arial" w:eastAsia="Arial" w:hAnsi="Arial"/>
          <w:b/>
          <w:bCs/>
          <w:color w:val="2E75B6"/>
          <w:sz w:val="24"/>
          <w:szCs w:val="24"/>
        </w:rPr>
        <w:t xml:space="preserve">2.2  Dispositivos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160"/>
        <w:gridCol w:w="1900"/>
      </w:tblGrid>
      <w:tr>
        <w:tc>
          <w:tcPr>
            <w:tcW w:type="dxa" w:w="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4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Categoría</w:t>
            </w:r>
          </w:p>
        </w:tc>
        <w:tc>
          <w:tcPr>
            <w:tcW w:type="dxa" w:w="51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1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 relacionado</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RF-05</w:t>
            </w:r>
          </w:p>
        </w:tc>
        <w:tc>
          <w:tcPr>
            <w:tcW w:type="dxa" w:w="1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Dispositivos</w:t>
            </w:r>
          </w:p>
        </w:tc>
        <w:tc>
          <w:tcPr>
            <w:tcW w:type="dxa" w:w="5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 cliente debe poder registrar dispositivos con los atributos: marca, modelo, número de serie, tipo de dispositivo y foto opcional. El número de serie debe ser único por cliente.</w:t>
            </w:r>
          </w:p>
        </w:tc>
        <w:tc>
          <w:tcPr>
            <w:tcW w:type="dxa" w:w="1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UC-04</w:t>
            </w:r>
          </w:p>
        </w:tc>
      </w:tr>
      <w:tr>
        <w:tc>
          <w:tcPr>
            <w:tcW w:type="dxa" w:w="9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RF-06</w:t>
            </w:r>
          </w:p>
        </w:tc>
        <w:tc>
          <w:tcPr>
            <w:tcW w:type="dxa" w:w="1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Dispositivos</w:t>
            </w:r>
          </w:p>
        </w:tc>
        <w:tc>
          <w:tcPr>
            <w:tcW w:type="dxa" w:w="51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El sistema debe aplicar borrado lógico (flag inactivo) a los dispositivos cuyo último ticket asociado supere el umbral X de años de antigüedad. El historial del dispositivo debe conservarse.</w:t>
            </w:r>
          </w:p>
        </w:tc>
        <w:tc>
          <w:tcPr>
            <w:tcW w:type="dxa" w:w="19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UC-06</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RF-07</w:t>
            </w:r>
          </w:p>
        </w:tc>
        <w:tc>
          <w:tcPr>
            <w:tcW w:type="dxa" w:w="1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Dispositivos</w:t>
            </w:r>
          </w:p>
        </w:tc>
        <w:tc>
          <w:tcPr>
            <w:tcW w:type="dxa" w:w="5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 técnico debe poder consultar un listado global de todos los dispositivos de todos los clientes, filtrable por tipo, marca, cliente y estado del ticket activo. Cada fila debe mostrar el cliente dueño y permitir navegar a su perfil o ticket.</w:t>
            </w:r>
          </w:p>
        </w:tc>
        <w:tc>
          <w:tcPr>
            <w:tcW w:type="dxa" w:w="1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UC-19</w:t>
            </w:r>
          </w:p>
        </w:tc>
      </w:tr>
    </w:tbl>
    <w:p>
      <w:pPr>
        <w:spacing w:after="0" w:before="0"/>
      </w:pPr>
      <w:r>
        <w:t xml:space="preserve"/>
      </w:r>
    </w:p>
    <w:p>
      <w:pPr>
        <w:pStyle w:val="Heading2"/>
        <w:spacing w:after="80" w:before="280"/>
      </w:pPr>
      <w:r>
        <w:rPr>
          <w:rFonts w:ascii="Arial" w:cs="Arial" w:eastAsia="Arial" w:hAnsi="Arial"/>
          <w:b/>
          <w:bCs/>
          <w:color w:val="2E75B6"/>
          <w:sz w:val="24"/>
          <w:szCs w:val="24"/>
        </w:rPr>
        <w:t xml:space="preserve">2.3  Catálogo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160"/>
        <w:gridCol w:w="1900"/>
      </w:tblGrid>
      <w:tr>
        <w:tc>
          <w:tcPr>
            <w:tcW w:type="dxa" w:w="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4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Categoría</w:t>
            </w:r>
          </w:p>
        </w:tc>
        <w:tc>
          <w:tcPr>
            <w:tcW w:type="dxa" w:w="51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1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 relacionado</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RF-08</w:t>
            </w:r>
          </w:p>
        </w:tc>
        <w:tc>
          <w:tcPr>
            <w:tcW w:type="dxa" w:w="1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Catálogo</w:t>
            </w:r>
          </w:p>
        </w:tc>
        <w:tc>
          <w:tcPr>
            <w:tcW w:type="dxa" w:w="5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 técnico debe poder crear, editar y desactivar servicios del catálogo. Cada servicio debe tener: nombre, descripción, precio base y tipos de dispositivo aplicables. Los tipos de servicio son: mantenimiento preventivo, correctivo y suscripción de software.</w:t>
            </w:r>
          </w:p>
        </w:tc>
        <w:tc>
          <w:tcPr>
            <w:tcW w:type="dxa" w:w="1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UC-07</w:t>
            </w:r>
          </w:p>
        </w:tc>
      </w:tr>
      <w:tr>
        <w:tc>
          <w:tcPr>
            <w:tcW w:type="dxa" w:w="9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RF-09</w:t>
            </w:r>
          </w:p>
        </w:tc>
        <w:tc>
          <w:tcPr>
            <w:tcW w:type="dxa" w:w="1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Catálogo</w:t>
            </w:r>
          </w:p>
        </w:tc>
        <w:tc>
          <w:tcPr>
            <w:tcW w:type="dxa" w:w="51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El sistema debe filtrar el catálogo de servicios según el tipo de dispositivo seleccionado por el cliente al crear un ticket, mostrando solo los servicios aplicables.</w:t>
            </w:r>
          </w:p>
        </w:tc>
        <w:tc>
          <w:tcPr>
            <w:tcW w:type="dxa" w:w="19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UC-08</w:t>
            </w:r>
          </w:p>
        </w:tc>
      </w:tr>
    </w:tbl>
    <w:p>
      <w:pPr>
        <w:spacing w:after="0" w:before="0"/>
      </w:pPr>
      <w:r>
        <w:t xml:space="preserve"/>
      </w:r>
    </w:p>
    <w:p>
      <w:pPr>
        <w:pStyle w:val="Heading2"/>
        <w:spacing w:after="80" w:before="280"/>
      </w:pPr>
      <w:r>
        <w:rPr>
          <w:rFonts w:ascii="Arial" w:cs="Arial" w:eastAsia="Arial" w:hAnsi="Arial"/>
          <w:b/>
          <w:bCs/>
          <w:color w:val="2E75B6"/>
          <w:sz w:val="24"/>
          <w:szCs w:val="24"/>
        </w:rPr>
        <w:t xml:space="preserve">2.4  Tickets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160"/>
        <w:gridCol w:w="1900"/>
      </w:tblGrid>
      <w:tr>
        <w:tc>
          <w:tcPr>
            <w:tcW w:type="dxa" w:w="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4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Categoría</w:t>
            </w:r>
          </w:p>
        </w:tc>
        <w:tc>
          <w:tcPr>
            <w:tcW w:type="dxa" w:w="51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1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 relacionado</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RF-10</w:t>
            </w:r>
          </w:p>
        </w:tc>
        <w:tc>
          <w:tcPr>
            <w:tcW w:type="dxa" w:w="1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Tickets</w:t>
            </w:r>
          </w:p>
        </w:tc>
        <w:tc>
          <w:tcPr>
            <w:tcW w:type="dxa" w:w="5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 cliente debe poder crear un ticket seleccionando uno o más dispositivos de su inventario, un servicio del catálogo y una descripción opcional. El formulario debe pre-llenarse con los datos del servicio seleccionado.</w:t>
            </w:r>
          </w:p>
        </w:tc>
        <w:tc>
          <w:tcPr>
            <w:tcW w:type="dxa" w:w="1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UC-09</w:t>
            </w:r>
          </w:p>
        </w:tc>
      </w:tr>
      <w:tr>
        <w:tc>
          <w:tcPr>
            <w:tcW w:type="dxa" w:w="9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RF-11</w:t>
            </w:r>
          </w:p>
        </w:tc>
        <w:tc>
          <w:tcPr>
            <w:tcW w:type="dxa" w:w="1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Tickets</w:t>
            </w:r>
          </w:p>
        </w:tc>
        <w:tc>
          <w:tcPr>
            <w:tcW w:type="dxa" w:w="51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El técnico debe poder ajustar el precio de un ticket (descuento o cargo adicional) antes de aprobarlo. El monto final debe quedar registrado en PostgreSQL y comunicado al cliente por email.</w:t>
            </w:r>
          </w:p>
        </w:tc>
        <w:tc>
          <w:tcPr>
            <w:tcW w:type="dxa" w:w="19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UC-10</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RF-12</w:t>
            </w:r>
          </w:p>
        </w:tc>
        <w:tc>
          <w:tcPr>
            <w:tcW w:type="dxa" w:w="1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Tickets</w:t>
            </w:r>
          </w:p>
        </w:tc>
        <w:tc>
          <w:tcPr>
            <w:tcW w:type="dxa" w:w="5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 técnico debe poder rechazar un ticket ingresando un motivo. El estado Rechazado debe ser visible solo para el técnico. El cliente debe recibir un email con el motivo del rechazo.</w:t>
            </w:r>
          </w:p>
        </w:tc>
        <w:tc>
          <w:tcPr>
            <w:tcW w:type="dxa" w:w="1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UC-11</w:t>
            </w:r>
          </w:p>
        </w:tc>
      </w:tr>
      <w:tr>
        <w:tc>
          <w:tcPr>
            <w:tcW w:type="dxa" w:w="9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RF-13</w:t>
            </w:r>
          </w:p>
        </w:tc>
        <w:tc>
          <w:tcPr>
            <w:tcW w:type="dxa" w:w="1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Tickets</w:t>
            </w:r>
          </w:p>
        </w:tc>
        <w:tc>
          <w:tcPr>
            <w:tcW w:type="dxa" w:w="51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El sistema debe soportar adjuntos en tickets (fotos, comprobantes). Los archivos deben almacenarse en Blob Storage; la base de datos debe guardar solo la URL. El backend debe rechazar archivos que superen el tamaño máximo configurado.</w:t>
            </w:r>
          </w:p>
        </w:tc>
        <w:tc>
          <w:tcPr>
            <w:tcW w:type="dxa" w:w="19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UC-13</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RF-14</w:t>
            </w:r>
          </w:p>
        </w:tc>
        <w:tc>
          <w:tcPr>
            <w:tcW w:type="dxa" w:w="1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Tickets</w:t>
            </w:r>
          </w:p>
        </w:tc>
        <w:tc>
          <w:tcPr>
            <w:tcW w:type="dxa" w:w="5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Tanto el técnico como el cliente deben poder marcar un ticket como Finalizado. Al finalizar, el sistema debe registrar la fecha y activar el cálculo del período de garantía.</w:t>
            </w:r>
          </w:p>
        </w:tc>
        <w:tc>
          <w:tcPr>
            <w:tcW w:type="dxa" w:w="1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UC-14</w:t>
            </w:r>
          </w:p>
        </w:tc>
      </w:tr>
      <w:tr>
        <w:tc>
          <w:tcPr>
            <w:tcW w:type="dxa" w:w="9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RF-15</w:t>
            </w:r>
          </w:p>
        </w:tc>
        <w:tc>
          <w:tcPr>
            <w:tcW w:type="dxa" w:w="1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Tickets</w:t>
            </w:r>
          </w:p>
        </w:tc>
        <w:tc>
          <w:tcPr>
            <w:tcW w:type="dxa" w:w="51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El cliente debe poder reportar un incidente dentro del período de garantía. El sistema debe reabrir el mismo ticket (estado En progreso) sin crear uno nuevo, siempre que la garantía no haya vencido.</w:t>
            </w:r>
          </w:p>
        </w:tc>
        <w:tc>
          <w:tcPr>
            <w:tcW w:type="dxa" w:w="19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UC-15</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RF-16</w:t>
            </w:r>
          </w:p>
        </w:tc>
        <w:tc>
          <w:tcPr>
            <w:tcW w:type="dxa" w:w="1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Tickets</w:t>
            </w:r>
          </w:p>
        </w:tc>
        <w:tc>
          <w:tcPr>
            <w:tcW w:type="dxa" w:w="5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 sistema debe archivar automáticamente los tickets en estado Finalizado cuya garantía haya vencido sin incidentes, mediante un proceso diario activado por timer (fn-archivado-automatico). El cliente debe recibir email de confirmación.</w:t>
            </w:r>
          </w:p>
        </w:tc>
        <w:tc>
          <w:tcPr>
            <w:tcW w:type="dxa" w:w="1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UC-16</w:t>
            </w:r>
          </w:p>
        </w:tc>
      </w:tr>
      <w:tr>
        <w:tc>
          <w:tcPr>
            <w:tcW w:type="dxa" w:w="9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RF-17</w:t>
            </w:r>
          </w:p>
        </w:tc>
        <w:tc>
          <w:tcPr>
            <w:tcW w:type="dxa" w:w="1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Tickets</w:t>
            </w:r>
          </w:p>
        </w:tc>
        <w:tc>
          <w:tcPr>
            <w:tcW w:type="dxa" w:w="51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El historial de tickets del cliente debe estar agrupado por dispositivo y ser filtrable por estado.</w:t>
            </w:r>
          </w:p>
        </w:tc>
        <w:tc>
          <w:tcPr>
            <w:tcW w:type="dxa" w:w="19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UC-20</w:t>
            </w:r>
          </w:p>
        </w:tc>
      </w:tr>
    </w:tbl>
    <w:p>
      <w:pPr>
        <w:spacing w:after="0" w:before="0"/>
      </w:pPr>
      <w:r>
        <w:t xml:space="preserve"/>
      </w:r>
    </w:p>
    <w:p>
      <w:pPr>
        <w:pStyle w:val="Heading2"/>
        <w:spacing w:after="80" w:before="280"/>
      </w:pPr>
      <w:r>
        <w:rPr>
          <w:rFonts w:ascii="Arial" w:cs="Arial" w:eastAsia="Arial" w:hAnsi="Arial"/>
          <w:b/>
          <w:bCs/>
          <w:color w:val="2E75B6"/>
          <w:sz w:val="24"/>
          <w:szCs w:val="24"/>
        </w:rPr>
        <w:t xml:space="preserve">2.5  Pagos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160"/>
        <w:gridCol w:w="1900"/>
      </w:tblGrid>
      <w:tr>
        <w:tc>
          <w:tcPr>
            <w:tcW w:type="dxa" w:w="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4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Categoría</w:t>
            </w:r>
          </w:p>
        </w:tc>
        <w:tc>
          <w:tcPr>
            <w:tcW w:type="dxa" w:w="51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1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 relacionado</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RF-18</w:t>
            </w:r>
          </w:p>
        </w:tc>
        <w:tc>
          <w:tcPr>
            <w:tcW w:type="dxa" w:w="1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Pagos</w:t>
            </w:r>
          </w:p>
        </w:tc>
        <w:tc>
          <w:tcPr>
            <w:tcW w:type="dxa" w:w="5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 sistema debe recibir el webhook de Culqi en el Payment Listener y validar el monto pagado contra el monto esperado consultando al backend por HTTP. Si coinciden, el ticket debe pasar a En progreso. Si no coinciden, debe registrarse como pago parcial para revisión manual.</w:t>
            </w:r>
          </w:p>
        </w:tc>
        <w:tc>
          <w:tcPr>
            <w:tcW w:type="dxa" w:w="1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UC-12</w:t>
            </w:r>
          </w:p>
        </w:tc>
      </w:tr>
      <w:tr>
        <w:tc>
          <w:tcPr>
            <w:tcW w:type="dxa" w:w="9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RF-19</w:t>
            </w:r>
          </w:p>
        </w:tc>
        <w:tc>
          <w:tcPr>
            <w:tcW w:type="dxa" w:w="1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Pagos</w:t>
            </w:r>
          </w:p>
        </w:tc>
        <w:tc>
          <w:tcPr>
            <w:tcW w:type="dxa" w:w="51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El técnico debe poder consultar los pagos parciales pendientes con el detalle de monto recibido vs. esperado, y resolverlos manualmente.</w:t>
            </w:r>
          </w:p>
        </w:tc>
        <w:tc>
          <w:tcPr>
            <w:tcW w:type="dxa" w:w="19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UC-22</w:t>
            </w:r>
          </w:p>
        </w:tc>
      </w:tr>
    </w:tbl>
    <w:p>
      <w:pPr>
        <w:spacing w:after="0" w:before="0"/>
      </w:pPr>
      <w:r>
        <w:t xml:space="preserve"/>
      </w:r>
    </w:p>
    <w:p>
      <w:pPr>
        <w:pStyle w:val="Heading2"/>
        <w:spacing w:after="80" w:before="280"/>
      </w:pPr>
      <w:r>
        <w:rPr>
          <w:rFonts w:ascii="Arial" w:cs="Arial" w:eastAsia="Arial" w:hAnsi="Arial"/>
          <w:b/>
          <w:bCs/>
          <w:color w:val="2E75B6"/>
          <w:sz w:val="24"/>
          <w:szCs w:val="24"/>
        </w:rPr>
        <w:t xml:space="preserve">2.6  Clientes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160"/>
        <w:gridCol w:w="1900"/>
      </w:tblGrid>
      <w:tr>
        <w:tc>
          <w:tcPr>
            <w:tcW w:type="dxa" w:w="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4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Categoría</w:t>
            </w:r>
          </w:p>
        </w:tc>
        <w:tc>
          <w:tcPr>
            <w:tcW w:type="dxa" w:w="51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1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 relacionado</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RF-20</w:t>
            </w:r>
          </w:p>
        </w:tc>
        <w:tc>
          <w:tcPr>
            <w:tcW w:type="dxa" w:w="1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Clientes</w:t>
            </w:r>
          </w:p>
        </w:tc>
        <w:tc>
          <w:tcPr>
            <w:tcW w:type="dxa" w:w="5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 técnico debe poder consultar el listado de clientes filtrable por: estado de ticket, distrito, fecha de registro, tipo del último ticket y tickets activos (sí/no). Debe soportar búsqueda libre por nombre o email.</w:t>
            </w:r>
          </w:p>
        </w:tc>
        <w:tc>
          <w:tcPr>
            <w:tcW w:type="dxa" w:w="1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UC-17</w:t>
            </w:r>
          </w:p>
        </w:tc>
      </w:tr>
      <w:tr>
        <w:tc>
          <w:tcPr>
            <w:tcW w:type="dxa" w:w="9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RF-21</w:t>
            </w:r>
          </w:p>
        </w:tc>
        <w:tc>
          <w:tcPr>
            <w:tcW w:type="dxa" w:w="1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Clientes</w:t>
            </w:r>
          </w:p>
        </w:tc>
        <w:tc>
          <w:tcPr>
            <w:tcW w:type="dxa" w:w="51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El técnico debe poder ver el detalle de un cliente incluyendo: datos de contacto, distrito, dispositivos registrados con el estado del ticket activo de cada uno, e historial de tickets agrupado por dispositivo.</w:t>
            </w:r>
          </w:p>
        </w:tc>
        <w:tc>
          <w:tcPr>
            <w:tcW w:type="dxa" w:w="19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UC-18</w:t>
            </w:r>
          </w:p>
        </w:tc>
      </w:tr>
    </w:tbl>
    <w:p>
      <w:pPr>
        <w:spacing w:after="0" w:before="0"/>
      </w:pPr>
      <w:r>
        <w:t xml:space="preserve"/>
      </w:r>
    </w:p>
    <w:p>
      <w:pPr>
        <w:pStyle w:val="Heading2"/>
        <w:spacing w:after="80" w:before="280"/>
      </w:pPr>
      <w:r>
        <w:rPr>
          <w:rFonts w:ascii="Arial" w:cs="Arial" w:eastAsia="Arial" w:hAnsi="Arial"/>
          <w:b/>
          <w:bCs/>
          <w:color w:val="2E75B6"/>
          <w:sz w:val="24"/>
          <w:szCs w:val="24"/>
        </w:rPr>
        <w:t xml:space="preserve">2.7  Notificaciones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160"/>
        <w:gridCol w:w="1900"/>
      </w:tblGrid>
      <w:tr>
        <w:tc>
          <w:tcPr>
            <w:tcW w:type="dxa" w:w="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4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Categoría</w:t>
            </w:r>
          </w:p>
        </w:tc>
        <w:tc>
          <w:tcPr>
            <w:tcW w:type="dxa" w:w="51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1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 relacionado</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RF-22</w:t>
            </w:r>
          </w:p>
        </w:tc>
        <w:tc>
          <w:tcPr>
            <w:tcW w:type="dxa" w:w="1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Notificaciones</w:t>
            </w:r>
          </w:p>
        </w:tc>
        <w:tc>
          <w:tcPr>
            <w:tcW w:type="dxa" w:w="5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 sistema debe enviar emails automáticos ante los siguientes eventos: ticket creado (cliente), ticket aprobado con monto (cliente), pago confirmado (cliente y técnico), ticket finalizado (cliente y técnico), ticket archivado (cliente), ticket rechazado con motivo (cliente).</w:t>
            </w:r>
          </w:p>
        </w:tc>
        <w:tc>
          <w:tcPr>
            <w:tcW w:type="dxa" w:w="1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UC-09 al UC-16</w:t>
            </w:r>
          </w:p>
        </w:tc>
      </w:tr>
    </w:tbl>
    <w:p>
      <w:pPr>
        <w:spacing w:after="0" w:before="0"/>
      </w:pPr>
      <w:r>
        <w:t xml:space="preserve"/>
      </w:r>
    </w:p>
    <w:p>
      <w:pPr>
        <w:pStyle w:val="Heading2"/>
        <w:spacing w:after="80" w:before="280"/>
      </w:pPr>
      <w:r>
        <w:rPr>
          <w:rFonts w:ascii="Arial" w:cs="Arial" w:eastAsia="Arial" w:hAnsi="Arial"/>
          <w:b/>
          <w:bCs/>
          <w:color w:val="2E75B6"/>
          <w:sz w:val="24"/>
          <w:szCs w:val="24"/>
        </w:rPr>
        <w:t xml:space="preserve">2.8  Reportes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160"/>
        <w:gridCol w:w="1900"/>
      </w:tblGrid>
      <w:tr>
        <w:tc>
          <w:tcPr>
            <w:tcW w:type="dxa" w:w="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4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Categoría</w:t>
            </w:r>
          </w:p>
        </w:tc>
        <w:tc>
          <w:tcPr>
            <w:tcW w:type="dxa" w:w="51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1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 relacionado</w:t>
            </w:r>
          </w:p>
        </w:tc>
      </w:tr>
      <w:tr>
        <w:tc>
          <w:tcPr>
            <w:tcW w:type="dxa" w:w="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RF-23</w:t>
            </w:r>
          </w:p>
        </w:tc>
        <w:tc>
          <w:tcPr>
            <w:tcW w:type="dxa" w:w="1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Reportes</w:t>
            </w:r>
          </w:p>
        </w:tc>
        <w:tc>
          <w:tcPr>
            <w:tcW w:type="dxa" w:w="5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 técnico debe poder generar un comprobante de servicio en PDF para tickets finalizados. El PDF debe incluir: datos del cliente, dispositivo(s), servicio realizado, monto pagado, fecha de finalización y período de garantía. El archivo debe almacenarse en Blob Storage.</w:t>
            </w:r>
          </w:p>
        </w:tc>
        <w:tc>
          <w:tcPr>
            <w:tcW w:type="dxa" w:w="1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UC-23</w:t>
            </w:r>
          </w:p>
        </w:tc>
      </w:tr>
      <w:tr>
        <w:tc>
          <w:tcPr>
            <w:tcW w:type="dxa" w:w="9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RF-24</w:t>
            </w:r>
          </w:p>
        </w:tc>
        <w:tc>
          <w:tcPr>
            <w:tcW w:type="dxa" w:w="14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Reportes</w:t>
            </w:r>
          </w:p>
        </w:tc>
        <w:tc>
          <w:tcPr>
            <w:tcW w:type="dxa" w:w="51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El técnico debe poder consultar el historial de comprobantes generados, filtrable por cliente, fecha y ticket. El cliente debe poder ver y descargar únicamente sus propios comprobantes.</w:t>
            </w:r>
          </w:p>
        </w:tc>
        <w:tc>
          <w:tcPr>
            <w:tcW w:type="dxa" w:w="19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UC-24</w:t>
            </w:r>
          </w:p>
        </w:tc>
      </w:tr>
    </w:tbl>
    <w:p>
      <w:pPr>
        <w:spacing w:after="0" w:before="0"/>
      </w:pPr>
      <w:r>
        <w:t xml:space="preserve"/>
      </w:r>
    </w:p>
    <w:p>
      <w:r>
        <w:br w:type="page"/>
      </w:r>
    </w:p>
    <w:p>
      <w:pPr>
        <w:pStyle w:val="Heading1"/>
        <w:spacing w:after="120" w:before="360"/>
      </w:pPr>
      <w:r>
        <w:rPr>
          <w:rFonts w:ascii="Arial" w:cs="Arial" w:eastAsia="Arial" w:hAnsi="Arial"/>
          <w:b/>
          <w:bCs/>
          <w:color w:val="1F4E79"/>
          <w:sz w:val="28"/>
          <w:szCs w:val="28"/>
        </w:rPr>
        <w:t xml:space="preserve">3. Requisitos No Funcionales</w:t>
      </w:r>
    </w:p>
    <w:p>
      <w:pPr>
        <w:spacing w:after="0" w:before="0"/>
      </w:pPr>
      <w:r>
        <w:t xml:space="preserve"/>
      </w:r>
    </w:p>
    <w:p>
      <w:pPr>
        <w:spacing w:after="60" w:before="60"/>
      </w:pPr>
      <w:r>
        <w:rPr>
          <w:rFonts w:ascii="Arial" w:cs="Arial" w:eastAsia="Arial" w:hAnsi="Arial"/>
          <w:color w:val="1A1A1A"/>
          <w:sz w:val="20"/>
          <w:szCs w:val="20"/>
        </w:rPr>
        <w:t xml:space="preserve">Los requisitos no funcionales definen los atributos de calidad del sistema. Cada requisito incluye una métrica o criterio de aceptación verificable.</w:t>
      </w:r>
    </w:p>
    <w:p>
      <w:pPr>
        <w:spacing w:after="0" w:before="0"/>
      </w:pPr>
      <w:r>
        <w:t xml:space="preserve"/>
      </w:r>
    </w:p>
    <w:p>
      <w:pPr>
        <w:pStyle w:val="Heading2"/>
        <w:spacing w:after="80" w:before="280"/>
      </w:pPr>
      <w:r>
        <w:rPr>
          <w:rFonts w:ascii="Arial" w:cs="Arial" w:eastAsia="Arial" w:hAnsi="Arial"/>
          <w:b/>
          <w:bCs/>
          <w:color w:val="2E75B6"/>
          <w:sz w:val="24"/>
          <w:szCs w:val="24"/>
        </w:rPr>
        <w:t xml:space="preserve">3.1  Rendimiento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360"/>
        <w:gridCol w:w="2600"/>
      </w:tblGrid>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Atributo</w:t>
            </w:r>
          </w:p>
        </w:tc>
        <w:tc>
          <w:tcPr>
            <w:tcW w:type="dxa" w:w="43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Requisito</w:t>
            </w:r>
          </w:p>
        </w:tc>
        <w:tc>
          <w:tcPr>
            <w:tcW w:type="dxa" w:w="2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Métrica / Criterio</w:t>
            </w:r>
          </w:p>
        </w:tc>
      </w:tr>
      <w:tr>
        <w:tc>
          <w:tcPr>
            <w:tcW w:type="dxa" w:w="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RNF-01</w:t>
            </w:r>
          </w:p>
        </w:tc>
        <w:tc>
          <w:tcPr>
            <w:tcW w:type="dxa" w:w="1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Rendimiento</w:t>
            </w:r>
          </w:p>
        </w:tc>
        <w:tc>
          <w:tcPr>
            <w:tcW w:type="dxa" w:w="4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Las operaciones de lectura frecuentes (listado de tickets, catálogo, dispositivos) deben responder en menos de 2 segundos bajo carga normal.</w:t>
            </w:r>
          </w:p>
        </w:tc>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P95 &lt; 2 s en condiciones de uso normal (&lt; 100 tickets/mes, &lt; 50 usuarios concurrentes).</w:t>
            </w:r>
          </w:p>
        </w:tc>
      </w:tr>
      <w:tr>
        <w:tc>
          <w:tcPr>
            <w:tcW w:type="dxa" w:w="8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RNF-02</w:t>
            </w:r>
          </w:p>
        </w:tc>
        <w:tc>
          <w:tcPr>
            <w:tcW w:type="dxa" w:w="16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Rendimiento</w:t>
            </w:r>
          </w:p>
        </w:tc>
        <w:tc>
          <w:tcPr>
            <w:tcW w:type="dxa" w:w="43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Las operaciones de escritura (crear ticket, cambiar estado, registrar pago) deben completarse en menos de 3 segundos incluyendo la publicación en Service Bus.</w:t>
            </w:r>
          </w:p>
        </w:tc>
        <w:tc>
          <w:tcPr>
            <w:tcW w:type="dxa" w:w="26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P95 &lt; 3 s. Medido con Application Insights.</w:t>
            </w:r>
          </w:p>
        </w:tc>
      </w:tr>
      <w:tr>
        <w:tc>
          <w:tcPr>
            <w:tcW w:type="dxa" w:w="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RNF-03</w:t>
            </w:r>
          </w:p>
        </w:tc>
        <w:tc>
          <w:tcPr>
            <w:tcW w:type="dxa" w:w="1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Rendimiento</w:t>
            </w:r>
          </w:p>
        </w:tc>
        <w:tc>
          <w:tcPr>
            <w:tcW w:type="dxa" w:w="4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 Payment Listener debe procesar el webhook de Culqi y publicar en Service Bus en menos de 5 segundos para no bloquear el proceso de confirmación de pago.</w:t>
            </w:r>
          </w:p>
        </w:tc>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Tiempo total del webhook &lt; 5 s. Medido en Application Insights.</w:t>
            </w:r>
          </w:p>
        </w:tc>
      </w:tr>
    </w:tbl>
    <w:p>
      <w:pPr>
        <w:spacing w:after="0" w:before="0"/>
      </w:pPr>
      <w:r>
        <w:t xml:space="preserve"/>
      </w:r>
    </w:p>
    <w:p>
      <w:pPr>
        <w:pStyle w:val="Heading2"/>
        <w:spacing w:after="80" w:before="280"/>
      </w:pPr>
      <w:r>
        <w:rPr>
          <w:rFonts w:ascii="Arial" w:cs="Arial" w:eastAsia="Arial" w:hAnsi="Arial"/>
          <w:b/>
          <w:bCs/>
          <w:color w:val="2E75B6"/>
          <w:sz w:val="24"/>
          <w:szCs w:val="24"/>
        </w:rPr>
        <w:t xml:space="preserve">3.2  Disponibilidad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360"/>
        <w:gridCol w:w="2600"/>
      </w:tblGrid>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Atributo</w:t>
            </w:r>
          </w:p>
        </w:tc>
        <w:tc>
          <w:tcPr>
            <w:tcW w:type="dxa" w:w="43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Requisito</w:t>
            </w:r>
          </w:p>
        </w:tc>
        <w:tc>
          <w:tcPr>
            <w:tcW w:type="dxa" w:w="2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Métrica / Criterio</w:t>
            </w:r>
          </w:p>
        </w:tc>
      </w:tr>
      <w:tr>
        <w:tc>
          <w:tcPr>
            <w:tcW w:type="dxa" w:w="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RNF-04</w:t>
            </w:r>
          </w:p>
        </w:tc>
        <w:tc>
          <w:tcPr>
            <w:tcW w:type="dxa" w:w="1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Disponibilidad</w:t>
            </w:r>
          </w:p>
        </w:tc>
        <w:tc>
          <w:tcPr>
            <w:tcW w:type="dxa" w:w="4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 sistema debe estar disponible durante el horario laboral extendido (lunes a sábado, 7:00–22:00 hora de Lima). El mantenimiento programado debe realizarse fuera de ese horario.</w:t>
            </w:r>
          </w:p>
        </w:tc>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Disponibilidad &gt;= 99% en ventana horaria definida. SLA de Azure Container Apps como base.</w:t>
            </w:r>
          </w:p>
        </w:tc>
      </w:tr>
      <w:tr>
        <w:tc>
          <w:tcPr>
            <w:tcW w:type="dxa" w:w="8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RNF-05</w:t>
            </w:r>
          </w:p>
        </w:tc>
        <w:tc>
          <w:tcPr>
            <w:tcW w:type="dxa" w:w="16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Disponibilidad</w:t>
            </w:r>
          </w:p>
        </w:tc>
        <w:tc>
          <w:tcPr>
            <w:tcW w:type="dxa" w:w="43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El proceso de archivado automático (fn-archivado-automatico) debe ejecutarse diariamente sin intervención manual. Ante un fallo, el sistema debe registrar el error en Application Insights y reintentar al día siguiente.</w:t>
            </w:r>
          </w:p>
        </w:tc>
        <w:tc>
          <w:tcPr>
            <w:tcW w:type="dxa" w:w="26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0 ejecuciones perdidas sin registro en Application Insights.</w:t>
            </w:r>
          </w:p>
        </w:tc>
      </w:tr>
    </w:tbl>
    <w:p>
      <w:pPr>
        <w:spacing w:after="0" w:before="0"/>
      </w:pPr>
      <w:r>
        <w:t xml:space="preserve"/>
      </w:r>
    </w:p>
    <w:p>
      <w:pPr>
        <w:pStyle w:val="Heading2"/>
        <w:spacing w:after="80" w:before="280"/>
      </w:pPr>
      <w:r>
        <w:rPr>
          <w:rFonts w:ascii="Arial" w:cs="Arial" w:eastAsia="Arial" w:hAnsi="Arial"/>
          <w:b/>
          <w:bCs/>
          <w:color w:val="2E75B6"/>
          <w:sz w:val="24"/>
          <w:szCs w:val="24"/>
        </w:rPr>
        <w:t xml:space="preserve">3.3  Seguridad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360"/>
        <w:gridCol w:w="2600"/>
      </w:tblGrid>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Atributo</w:t>
            </w:r>
          </w:p>
        </w:tc>
        <w:tc>
          <w:tcPr>
            <w:tcW w:type="dxa" w:w="43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Requisito</w:t>
            </w:r>
          </w:p>
        </w:tc>
        <w:tc>
          <w:tcPr>
            <w:tcW w:type="dxa" w:w="2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Métrica / Criterio</w:t>
            </w:r>
          </w:p>
        </w:tc>
      </w:tr>
      <w:tr>
        <w:tc>
          <w:tcPr>
            <w:tcW w:type="dxa" w:w="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RNF-06</w:t>
            </w:r>
          </w:p>
        </w:tc>
        <w:tc>
          <w:tcPr>
            <w:tcW w:type="dxa" w:w="1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Seguridad</w:t>
            </w:r>
          </w:p>
        </w:tc>
        <w:tc>
          <w:tcPr>
            <w:tcW w:type="dxa" w:w="4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Todos los secretos del sistema (credenciales de BD, JWT secret, API key Culqi, clave Communication Services) deben almacenarse exclusivamente en Azure Key Vault. Ningún secreto debe aparecer en variables de entorno del código fuente ni en repositorios.</w:t>
            </w:r>
          </w:p>
        </w:tc>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 secretos hardcodeados. Verificable mediante revisión de código y escaneo estático.</w:t>
            </w:r>
          </w:p>
        </w:tc>
      </w:tr>
      <w:tr>
        <w:tc>
          <w:tcPr>
            <w:tcW w:type="dxa" w:w="8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RNF-07</w:t>
            </w:r>
          </w:p>
        </w:tc>
        <w:tc>
          <w:tcPr>
            <w:tcW w:type="dxa" w:w="16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Seguridad</w:t>
            </w:r>
          </w:p>
        </w:tc>
        <w:tc>
          <w:tcPr>
            <w:tcW w:type="dxa" w:w="43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El acceso al backend debe pasar obligatoriamente por Azure Front Door + WAF y APIM. El WAF debe bloquear ataques OWASP Top 10 (inyección SQL, XSS, fuerza bruta) antes de que lleguen al backend.</w:t>
            </w:r>
          </w:p>
        </w:tc>
        <w:tc>
          <w:tcPr>
            <w:tcW w:type="dxa" w:w="26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0 requests al backend sin pasar por Front Door + APIM en producción.</w:t>
            </w:r>
          </w:p>
        </w:tc>
      </w:tr>
      <w:tr>
        <w:tc>
          <w:tcPr>
            <w:tcW w:type="dxa" w:w="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RNF-08</w:t>
            </w:r>
          </w:p>
        </w:tc>
        <w:tc>
          <w:tcPr>
            <w:tcW w:type="dxa" w:w="1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Seguridad</w:t>
            </w:r>
          </w:p>
        </w:tc>
        <w:tc>
          <w:tcPr>
            <w:tcW w:type="dxa" w:w="4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Solo el backend FastAPI debe tener acceso directo a PostgreSQL. Ninguna Azure Function, Payment Listener ni frontend debe conectarse a la base de datos directamente.</w:t>
            </w:r>
          </w:p>
        </w:tc>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Verificable mediante configuración de red (private endpoints, NSGs). 0 conexiones directas desde otros servicios.</w:t>
            </w:r>
          </w:p>
        </w:tc>
      </w:tr>
      <w:tr>
        <w:tc>
          <w:tcPr>
            <w:tcW w:type="dxa" w:w="8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RNF-09</w:t>
            </w:r>
          </w:p>
        </w:tc>
        <w:tc>
          <w:tcPr>
            <w:tcW w:type="dxa" w:w="16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Seguridad</w:t>
            </w:r>
          </w:p>
        </w:tc>
        <w:tc>
          <w:tcPr>
            <w:tcW w:type="dxa" w:w="43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El backend debe acceder a Key Vault exclusivamente mediante Managed Identity, sin contraseñas ni credenciales explícitas en el código.</w:t>
            </w:r>
          </w:p>
        </w:tc>
        <w:tc>
          <w:tcPr>
            <w:tcW w:type="dxa" w:w="26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Managed Identity habilitada en Container App. Verificable en configuración de Azure.</w:t>
            </w:r>
          </w:p>
        </w:tc>
      </w:tr>
      <w:tr>
        <w:tc>
          <w:tcPr>
            <w:tcW w:type="dxa" w:w="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RNF-10</w:t>
            </w:r>
          </w:p>
        </w:tc>
        <w:tc>
          <w:tcPr>
            <w:tcW w:type="dxa" w:w="1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Seguridad</w:t>
            </w:r>
          </w:p>
        </w:tc>
        <w:tc>
          <w:tcPr>
            <w:tcW w:type="dxa" w:w="4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Los adjuntos y comprobantes almacenados en Blob Storage deben ser accesibles únicamente mediante URLs firmadas con tiempo de expiración (SAS tokens). No debe haber blobs de acceso público.</w:t>
            </w:r>
          </w:p>
        </w:tc>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 blobs con acceso anónimo público. SAS token con expiración máxima configurable.</w:t>
            </w:r>
          </w:p>
        </w:tc>
      </w:tr>
    </w:tbl>
    <w:p>
      <w:pPr>
        <w:spacing w:after="0" w:before="0"/>
      </w:pPr>
      <w:r>
        <w:t xml:space="preserve"/>
      </w:r>
    </w:p>
    <w:p>
      <w:pPr>
        <w:pStyle w:val="Heading2"/>
        <w:spacing w:after="80" w:before="280"/>
      </w:pPr>
      <w:r>
        <w:rPr>
          <w:rFonts w:ascii="Arial" w:cs="Arial" w:eastAsia="Arial" w:hAnsi="Arial"/>
          <w:b/>
          <w:bCs/>
          <w:color w:val="2E75B6"/>
          <w:sz w:val="24"/>
          <w:szCs w:val="24"/>
        </w:rPr>
        <w:t xml:space="preserve">3.4  Escalabilidad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360"/>
        <w:gridCol w:w="2600"/>
      </w:tblGrid>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Atributo</w:t>
            </w:r>
          </w:p>
        </w:tc>
        <w:tc>
          <w:tcPr>
            <w:tcW w:type="dxa" w:w="43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Requisito</w:t>
            </w:r>
          </w:p>
        </w:tc>
        <w:tc>
          <w:tcPr>
            <w:tcW w:type="dxa" w:w="2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Métrica / Criterio</w:t>
            </w:r>
          </w:p>
        </w:tc>
      </w:tr>
      <w:tr>
        <w:tc>
          <w:tcPr>
            <w:tcW w:type="dxa" w:w="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RNF-11</w:t>
            </w:r>
          </w:p>
        </w:tc>
        <w:tc>
          <w:tcPr>
            <w:tcW w:type="dxa" w:w="1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Escalabilidad</w:t>
            </w:r>
          </w:p>
        </w:tc>
        <w:tc>
          <w:tcPr>
            <w:tcW w:type="dxa" w:w="4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 arquitectura debe soportar incremento de volumen sin cambios estructurales. Azure Container Apps y Azure Functions deben escalar automáticamente ante picos de carga.</w:t>
            </w:r>
          </w:p>
        </w:tc>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Escala horizontal automática configurada en Container Apps. Sin intervención manual ante picos.</w:t>
            </w:r>
          </w:p>
        </w:tc>
      </w:tr>
      <w:tr>
        <w:tc>
          <w:tcPr>
            <w:tcW w:type="dxa" w:w="8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RNF-12</w:t>
            </w:r>
          </w:p>
        </w:tc>
        <w:tc>
          <w:tcPr>
            <w:tcW w:type="dxa" w:w="16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Escalabilidad</w:t>
            </w:r>
          </w:p>
        </w:tc>
        <w:tc>
          <w:tcPr>
            <w:tcW w:type="dxa" w:w="43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El sistema debe estar diseñado para soportar expansión geográfica a otros países de Latinoamérica en el futuro, utilizando Azure Front Door como punto de entrada global y zonas de disponibilidad adicionales.</w:t>
            </w:r>
          </w:p>
        </w:tc>
        <w:tc>
          <w:tcPr>
            <w:tcW w:type="dxa" w:w="26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Sin dependencias hardcodeadas a región Peru-específica. Configuración de Front Door multi-región documentada.</w:t>
            </w:r>
          </w:p>
        </w:tc>
      </w:tr>
    </w:tbl>
    <w:p>
      <w:pPr>
        <w:spacing w:after="0" w:before="0"/>
      </w:pPr>
      <w:r>
        <w:t xml:space="preserve"/>
      </w:r>
    </w:p>
    <w:p>
      <w:pPr>
        <w:pStyle w:val="Heading2"/>
        <w:spacing w:after="80" w:before="280"/>
      </w:pPr>
      <w:r>
        <w:rPr>
          <w:rFonts w:ascii="Arial" w:cs="Arial" w:eastAsia="Arial" w:hAnsi="Arial"/>
          <w:b/>
          <w:bCs/>
          <w:color w:val="2E75B6"/>
          <w:sz w:val="24"/>
          <w:szCs w:val="24"/>
        </w:rPr>
        <w:t xml:space="preserve">3.5  Mantenibilidad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360"/>
        <w:gridCol w:w="2600"/>
      </w:tblGrid>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Atributo</w:t>
            </w:r>
          </w:p>
        </w:tc>
        <w:tc>
          <w:tcPr>
            <w:tcW w:type="dxa" w:w="43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Requisito</w:t>
            </w:r>
          </w:p>
        </w:tc>
        <w:tc>
          <w:tcPr>
            <w:tcW w:type="dxa" w:w="2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Métrica / Criterio</w:t>
            </w:r>
          </w:p>
        </w:tc>
      </w:tr>
      <w:tr>
        <w:tc>
          <w:tcPr>
            <w:tcW w:type="dxa" w:w="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RNF-13</w:t>
            </w:r>
          </w:p>
        </w:tc>
        <w:tc>
          <w:tcPr>
            <w:tcW w:type="dxa" w:w="1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Mantenibilidad</w:t>
            </w:r>
          </w:p>
        </w:tc>
        <w:tc>
          <w:tcPr>
            <w:tcW w:type="dxa" w:w="4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 backend debe seguir una arquitectura en capas (Clean Architecture) con separación clara entre dominio, aplicación e infraestructura. Las dependencias deben apuntar siempre hacia adentro.</w:t>
            </w:r>
          </w:p>
        </w:tc>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Revisión de código. 0 dependencias de infraestructura en la capa de dominio.</w:t>
            </w:r>
          </w:p>
        </w:tc>
      </w:tr>
      <w:tr>
        <w:tc>
          <w:tcPr>
            <w:tcW w:type="dxa" w:w="8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RNF-14</w:t>
            </w:r>
          </w:p>
        </w:tc>
        <w:tc>
          <w:tcPr>
            <w:tcW w:type="dxa" w:w="16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Mantenibilidad</w:t>
            </w:r>
          </w:p>
        </w:tc>
        <w:tc>
          <w:tcPr>
            <w:tcW w:type="dxa" w:w="43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Todos los errores, excepciones y tiempos de respuesta del backend, Payment Listener y Azure Functions deben registrarse en Application Insights con trazabilidad de extremo a extremo.</w:t>
            </w:r>
          </w:p>
        </w:tc>
        <w:tc>
          <w:tcPr>
            <w:tcW w:type="dxa" w:w="26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100% de servicios instrumentados con el SDK de Application Insights. Trazas disponibles en Azure Portal.</w:t>
            </w:r>
          </w:p>
        </w:tc>
      </w:tr>
      <w:tr>
        <w:tc>
          <w:tcPr>
            <w:tcW w:type="dxa" w:w="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RNF-15</w:t>
            </w:r>
          </w:p>
        </w:tc>
        <w:tc>
          <w:tcPr>
            <w:tcW w:type="dxa" w:w="1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Mantenibilidad</w:t>
            </w:r>
          </w:p>
        </w:tc>
        <w:tc>
          <w:tcPr>
            <w:tcW w:type="dxa" w:w="4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 código del backend debe contar con pruebas unitarias para la capa de dominio y pruebas de integración para los endpoints principales. La cobertura mínima de la capa de dominio debe ser del 80%.</w:t>
            </w:r>
          </w:p>
        </w:tc>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Cobertura &gt;= 80% en capa de dominio. Reportado por la herramienta de cobertura del proyecto (pytest-cov).</w:t>
            </w:r>
          </w:p>
        </w:tc>
      </w:tr>
    </w:tbl>
    <w:p>
      <w:pPr>
        <w:spacing w:after="0" w:before="0"/>
      </w:pPr>
      <w:r>
        <w:t xml:space="preserve"/>
      </w:r>
    </w:p>
    <w:p>
      <w:pPr>
        <w:pStyle w:val="Heading2"/>
        <w:spacing w:after="80" w:before="280"/>
      </w:pPr>
      <w:r>
        <w:rPr>
          <w:rFonts w:ascii="Arial" w:cs="Arial" w:eastAsia="Arial" w:hAnsi="Arial"/>
          <w:b/>
          <w:bCs/>
          <w:color w:val="2E75B6"/>
          <w:sz w:val="24"/>
          <w:szCs w:val="24"/>
        </w:rPr>
        <w:t xml:space="preserve">3.6  Usabilidad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360"/>
        <w:gridCol w:w="2600"/>
      </w:tblGrid>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Atributo</w:t>
            </w:r>
          </w:p>
        </w:tc>
        <w:tc>
          <w:tcPr>
            <w:tcW w:type="dxa" w:w="43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Requisito</w:t>
            </w:r>
          </w:p>
        </w:tc>
        <w:tc>
          <w:tcPr>
            <w:tcW w:type="dxa" w:w="2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Métrica / Criterio</w:t>
            </w:r>
          </w:p>
        </w:tc>
      </w:tr>
      <w:tr>
        <w:tc>
          <w:tcPr>
            <w:tcW w:type="dxa" w:w="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RNF-16</w:t>
            </w:r>
          </w:p>
        </w:tc>
        <w:tc>
          <w:tcPr>
            <w:tcW w:type="dxa" w:w="1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Usabilidad</w:t>
            </w:r>
          </w:p>
        </w:tc>
        <w:tc>
          <w:tcPr>
            <w:tcW w:type="dxa" w:w="4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 frontend debe ser completamente responsive y funcional en navegadores modernos (Chrome, Firefox, Safari, Edge) tanto en escritorio como en dispositivos móviles, sin necesidad de app nativa.</w:t>
            </w:r>
          </w:p>
        </w:tc>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Sin errores de layout en resoluciones desde 360px (móvil) hasta 1920px (escritorio). Verificable con pruebas de navegador.</w:t>
            </w:r>
          </w:p>
        </w:tc>
      </w:tr>
      <w:tr>
        <w:tc>
          <w:tcPr>
            <w:tcW w:type="dxa" w:w="8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RNF-17</w:t>
            </w:r>
          </w:p>
        </w:tc>
        <w:tc>
          <w:tcPr>
            <w:tcW w:type="dxa" w:w="16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Usabilidad</w:t>
            </w:r>
          </w:p>
        </w:tc>
        <w:tc>
          <w:tcPr>
            <w:tcW w:type="dxa" w:w="43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El sistema debe estar disponible en español. El idioma base es el español peruano. La arquitectura debe permitir incorporar otros idiomas en el futuro (i18n) sin cambios estructurales en el frontend.</w:t>
            </w:r>
          </w:p>
        </w:tc>
        <w:tc>
          <w:tcPr>
            <w:tcW w:type="dxa" w:w="26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100% de textos en español. Estructura i18n implementada en el frontend desde el inicio.</w:t>
            </w:r>
          </w:p>
        </w:tc>
      </w:tr>
    </w:tbl>
    <w:p>
      <w:pPr>
        <w:spacing w:after="0" w:before="0"/>
      </w:pPr>
      <w:r>
        <w:t xml:space="preserve"/>
      </w:r>
    </w:p>
    <w:p>
      <w:pPr>
        <w:pStyle w:val="Heading2"/>
        <w:spacing w:after="80" w:before="280"/>
      </w:pPr>
      <w:r>
        <w:rPr>
          <w:rFonts w:ascii="Arial" w:cs="Arial" w:eastAsia="Arial" w:hAnsi="Arial"/>
          <w:b/>
          <w:bCs/>
          <w:color w:val="2E75B6"/>
          <w:sz w:val="24"/>
          <w:szCs w:val="24"/>
        </w:rPr>
        <w:t xml:space="preserve">3.7  Cumplimiento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360"/>
        <w:gridCol w:w="2600"/>
      </w:tblGrid>
      <w:tr>
        <w:tc>
          <w:tcPr>
            <w:tcW w:type="dxa" w:w="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Atributo</w:t>
            </w:r>
          </w:p>
        </w:tc>
        <w:tc>
          <w:tcPr>
            <w:tcW w:type="dxa" w:w="43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Requisito</w:t>
            </w:r>
          </w:p>
        </w:tc>
        <w:tc>
          <w:tcPr>
            <w:tcW w:type="dxa" w:w="2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Métrica / Criterio</w:t>
            </w:r>
          </w:p>
        </w:tc>
      </w:tr>
      <w:tr>
        <w:tc>
          <w:tcPr>
            <w:tcW w:type="dxa" w:w="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RNF-18</w:t>
            </w:r>
          </w:p>
        </w:tc>
        <w:tc>
          <w:tcPr>
            <w:tcW w:type="dxa" w:w="1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Cumplimiento</w:t>
            </w:r>
          </w:p>
        </w:tc>
        <w:tc>
          <w:tcPr>
            <w:tcW w:type="dxa" w:w="4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 manejo de datos personales de clientes (nombre, email, distrito, dispositivos) debe cumplir con la Ley de Protección de Datos Personales del Perú (Ley 29733) y su reglamento. Los datos no deben compartirse con terceros no autorizados.</w:t>
            </w:r>
          </w:p>
        </w:tc>
        <w:tc>
          <w:tcPr>
            <w:tcW w:type="dxa" w:w="2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Política de privacidad documentada. Revisión legal antes del lanzamiento.</w:t>
            </w:r>
          </w:p>
        </w:tc>
      </w:tr>
      <w:tr>
        <w:tc>
          <w:tcPr>
            <w:tcW w:type="dxa" w:w="8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2E75B6"/>
                <w:sz w:val="18"/>
                <w:szCs w:val="18"/>
              </w:rPr>
              <w:t xml:space="preserve">RNF-19</w:t>
            </w:r>
          </w:p>
        </w:tc>
        <w:tc>
          <w:tcPr>
            <w:tcW w:type="dxa" w:w="16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Cumplimiento</w:t>
            </w:r>
          </w:p>
        </w:tc>
        <w:tc>
          <w:tcPr>
            <w:tcW w:type="dxa" w:w="436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La integración con Culqi debe cumplir con los requisitos de seguridad del proveedor para el procesamiento de pagos. El sistema no debe almacenar datos de tarjetas ni credenciales de pago de los clientes.</w:t>
            </w:r>
          </w:p>
        </w:tc>
        <w:tc>
          <w:tcPr>
            <w:tcW w:type="dxa" w:w="260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val="false"/>
                <w:bCs w:val="false"/>
                <w:color w:val="1A1A1A"/>
                <w:sz w:val="18"/>
                <w:szCs w:val="18"/>
              </w:rPr>
              <w:t xml:space="preserve">0 datos de tarjetas en PostgreSQL o Blob Storage. Verificable mediante revisión de modelo de datos.</w:t>
            </w:r>
          </w:p>
        </w:tc>
      </w:tr>
    </w:tbl>
    <w:p>
      <w:pPr>
        <w:spacing w:after="0" w:before="0"/>
      </w:pPr>
      <w:r>
        <w:t xml:space="preserve"/>
      </w:r>
    </w:p>
    <w:p>
      <w:r>
        <w:br w:type="page"/>
      </w:r>
    </w:p>
    <w:p>
      <w:pPr>
        <w:pStyle w:val="Heading1"/>
        <w:spacing w:after="120" w:before="360"/>
      </w:pPr>
      <w:r>
        <w:rPr>
          <w:rFonts w:ascii="Arial" w:cs="Arial" w:eastAsia="Arial" w:hAnsi="Arial"/>
          <w:b/>
          <w:bCs/>
          <w:color w:val="1F4E79"/>
          <w:sz w:val="28"/>
          <w:szCs w:val="28"/>
        </w:rPr>
        <w:t xml:space="preserve">4. Resumen</w:t>
      </w:r>
    </w:p>
    <w:p>
      <w:pPr>
        <w:spacing w:after="0" w:before="0"/>
      </w:pPr>
      <w:r>
        <w:t xml:space="preserve"/>
      </w:r>
    </w:p>
    <w:p>
      <w:pPr>
        <w:pStyle w:val="Heading2"/>
        <w:spacing w:after="80" w:before="280"/>
      </w:pPr>
      <w:r>
        <w:rPr>
          <w:rFonts w:ascii="Arial" w:cs="Arial" w:eastAsia="Arial" w:hAnsi="Arial"/>
          <w:b/>
          <w:bCs/>
          <w:color w:val="2E75B6"/>
          <w:sz w:val="24"/>
          <w:szCs w:val="24"/>
        </w:rPr>
        <w:t xml:space="preserve">Requisitos funcionales por categoría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Categoría</w:t>
            </w:r>
          </w:p>
        </w:tc>
        <w:tc>
          <w:tcPr>
            <w:tcW w:type="dxa" w:w="312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Cantidad de RF</w:t>
            </w:r>
          </w:p>
        </w:tc>
        <w:tc>
          <w:tcPr>
            <w:tcW w:type="dxa" w:w="312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Identificadores</w:t>
            </w:r>
          </w:p>
        </w:tc>
      </w:tr>
      <w:tr>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Autenticación</w:t>
            </w:r>
          </w:p>
        </w:tc>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4</w:t>
            </w:r>
          </w:p>
        </w:tc>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RF-01, RF-02, RF-03, RF-04</w:t>
            </w:r>
          </w:p>
        </w:tc>
      </w:tr>
      <w:tr>
        <w:tc>
          <w:tcPr>
            <w:tcW w:type="dxa" w:w="312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Dispositivos</w:t>
            </w:r>
          </w:p>
        </w:tc>
        <w:tc>
          <w:tcPr>
            <w:tcW w:type="dxa" w:w="312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pPr>
              <w:jc w:val="center"/>
            </w:pPr>
            <w:r>
              <w:rPr>
                <w:rFonts w:ascii="Arial" w:cs="Arial" w:eastAsia="Arial" w:hAnsi="Arial"/>
                <w:color w:val="1A1A1A"/>
                <w:sz w:val="18"/>
                <w:szCs w:val="18"/>
              </w:rPr>
              <w:t xml:space="preserve">3</w:t>
            </w:r>
          </w:p>
        </w:tc>
        <w:tc>
          <w:tcPr>
            <w:tcW w:type="dxa" w:w="312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RF-05, RF-06, RF-07</w:t>
            </w:r>
          </w:p>
        </w:tc>
      </w:tr>
      <w:tr>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Catálogo</w:t>
            </w:r>
          </w:p>
        </w:tc>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w:t>
            </w:r>
          </w:p>
        </w:tc>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RF-08, RF-09</w:t>
            </w:r>
          </w:p>
        </w:tc>
      </w:tr>
      <w:tr>
        <w:tc>
          <w:tcPr>
            <w:tcW w:type="dxa" w:w="312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Tickets</w:t>
            </w:r>
          </w:p>
        </w:tc>
        <w:tc>
          <w:tcPr>
            <w:tcW w:type="dxa" w:w="312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pPr>
              <w:jc w:val="center"/>
            </w:pPr>
            <w:r>
              <w:rPr>
                <w:rFonts w:ascii="Arial" w:cs="Arial" w:eastAsia="Arial" w:hAnsi="Arial"/>
                <w:color w:val="1A1A1A"/>
                <w:sz w:val="18"/>
                <w:szCs w:val="18"/>
              </w:rPr>
              <w:t xml:space="preserve">8</w:t>
            </w:r>
          </w:p>
        </w:tc>
        <w:tc>
          <w:tcPr>
            <w:tcW w:type="dxa" w:w="312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RF-10, RF-11, RF-12, RF-13, RF-14, RF-15, RF-16, RF-17</w:t>
            </w:r>
          </w:p>
        </w:tc>
      </w:tr>
      <w:tr>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Pagos</w:t>
            </w:r>
          </w:p>
        </w:tc>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w:t>
            </w:r>
          </w:p>
        </w:tc>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RF-18, RF-19</w:t>
            </w:r>
          </w:p>
        </w:tc>
      </w:tr>
      <w:tr>
        <w:tc>
          <w:tcPr>
            <w:tcW w:type="dxa" w:w="312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Clientes</w:t>
            </w:r>
          </w:p>
        </w:tc>
        <w:tc>
          <w:tcPr>
            <w:tcW w:type="dxa" w:w="312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pPr>
              <w:jc w:val="center"/>
            </w:pPr>
            <w:r>
              <w:rPr>
                <w:rFonts w:ascii="Arial" w:cs="Arial" w:eastAsia="Arial" w:hAnsi="Arial"/>
                <w:color w:val="1A1A1A"/>
                <w:sz w:val="18"/>
                <w:szCs w:val="18"/>
              </w:rPr>
              <w:t xml:space="preserve">2</w:t>
            </w:r>
          </w:p>
        </w:tc>
        <w:tc>
          <w:tcPr>
            <w:tcW w:type="dxa" w:w="312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RF-20, RF-21</w:t>
            </w:r>
          </w:p>
        </w:tc>
      </w:tr>
      <w:tr>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Notificaciones</w:t>
            </w:r>
          </w:p>
        </w:tc>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w:t>
            </w:r>
          </w:p>
        </w:tc>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RF-22</w:t>
            </w:r>
          </w:p>
        </w:tc>
      </w:tr>
      <w:tr>
        <w:tc>
          <w:tcPr>
            <w:tcW w:type="dxa" w:w="312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Reportes</w:t>
            </w:r>
          </w:p>
        </w:tc>
        <w:tc>
          <w:tcPr>
            <w:tcW w:type="dxa" w:w="312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pPr>
              <w:jc w:val="center"/>
            </w:pPr>
            <w:r>
              <w:rPr>
                <w:rFonts w:ascii="Arial" w:cs="Arial" w:eastAsia="Arial" w:hAnsi="Arial"/>
                <w:color w:val="1A1A1A"/>
                <w:sz w:val="18"/>
                <w:szCs w:val="18"/>
              </w:rPr>
              <w:t xml:space="preserve">2</w:t>
            </w:r>
          </w:p>
        </w:tc>
        <w:tc>
          <w:tcPr>
            <w:tcW w:type="dxa" w:w="312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RF-23, RF-24</w:t>
            </w:r>
          </w:p>
        </w:tc>
      </w:tr>
      <w:tr>
        <w:tc>
          <w:tcPr>
            <w:tcW w:type="dxa" w:w="3120"/>
            <w:tcBorders>
              <w:top w:val="single" w:color="B8CCE4" w:sz="1"/>
              <w:left w:val="single" w:color="B8CCE4" w:sz="1"/>
              <w:bottom w:val="single" w:color="B8CCE4" w:sz="1"/>
              <w:right w:val="single" w:color="B8CCE4"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TOTAL</w:t>
            </w:r>
          </w:p>
        </w:tc>
        <w:tc>
          <w:tcPr>
            <w:tcW w:type="dxa" w:w="3120"/>
            <w:tcBorders>
              <w:top w:val="single" w:color="B8CCE4" w:sz="1"/>
              <w:left w:val="single" w:color="B8CCE4" w:sz="1"/>
              <w:bottom w:val="single" w:color="B8CCE4" w:sz="1"/>
              <w:right w:val="single" w:color="B8CCE4"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24</w:t>
            </w:r>
          </w:p>
        </w:tc>
        <w:tc>
          <w:tcPr>
            <w:tcW w:type="dxa" w:w="3120"/>
            <w:tcBorders>
              <w:top w:val="single" w:color="B8CCE4" w:sz="1"/>
              <w:left w:val="single" w:color="B8CCE4" w:sz="1"/>
              <w:bottom w:val="single" w:color="B8CCE4" w:sz="1"/>
              <w:right w:val="single" w:color="B8CCE4"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
            </w:r>
          </w:p>
        </w:tc>
      </w:tr>
    </w:tbl>
    <w:p>
      <w:pPr>
        <w:spacing w:after="0" w:before="0"/>
      </w:pPr>
      <w:r>
        <w:t xml:space="preserve"/>
      </w:r>
    </w:p>
    <w:p>
      <w:pPr>
        <w:pStyle w:val="Heading2"/>
        <w:spacing w:after="80" w:before="280"/>
      </w:pPr>
      <w:r>
        <w:rPr>
          <w:rFonts w:ascii="Arial" w:cs="Arial" w:eastAsia="Arial" w:hAnsi="Arial"/>
          <w:b/>
          <w:bCs/>
          <w:color w:val="2E75B6"/>
          <w:sz w:val="24"/>
          <w:szCs w:val="24"/>
        </w:rPr>
        <w:t xml:space="preserve">Requisitos no funcionales por atributo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Atributo de calidad</w:t>
            </w:r>
          </w:p>
        </w:tc>
        <w:tc>
          <w:tcPr>
            <w:tcW w:type="dxa" w:w="312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Cantidad de RNF</w:t>
            </w:r>
          </w:p>
        </w:tc>
        <w:tc>
          <w:tcPr>
            <w:tcW w:type="dxa" w:w="312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Identificadores</w:t>
            </w:r>
          </w:p>
        </w:tc>
      </w:tr>
      <w:tr>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Rendimiento</w:t>
            </w:r>
          </w:p>
        </w:tc>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3</w:t>
            </w:r>
          </w:p>
        </w:tc>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RNF-01, RNF-02, RNF-03</w:t>
            </w:r>
          </w:p>
        </w:tc>
      </w:tr>
      <w:tr>
        <w:tc>
          <w:tcPr>
            <w:tcW w:type="dxa" w:w="312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Disponibilidad</w:t>
            </w:r>
          </w:p>
        </w:tc>
        <w:tc>
          <w:tcPr>
            <w:tcW w:type="dxa" w:w="312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pPr>
              <w:jc w:val="center"/>
            </w:pPr>
            <w:r>
              <w:rPr>
                <w:rFonts w:ascii="Arial" w:cs="Arial" w:eastAsia="Arial" w:hAnsi="Arial"/>
                <w:color w:val="1A1A1A"/>
                <w:sz w:val="18"/>
                <w:szCs w:val="18"/>
              </w:rPr>
              <w:t xml:space="preserve">2</w:t>
            </w:r>
          </w:p>
        </w:tc>
        <w:tc>
          <w:tcPr>
            <w:tcW w:type="dxa" w:w="312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RNF-04, RNF-05</w:t>
            </w:r>
          </w:p>
        </w:tc>
      </w:tr>
      <w:tr>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Seguridad</w:t>
            </w:r>
          </w:p>
        </w:tc>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5</w:t>
            </w:r>
          </w:p>
        </w:tc>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RNF-06, RNF-07, RNF-08, RNF-09, RNF-10</w:t>
            </w:r>
          </w:p>
        </w:tc>
      </w:tr>
      <w:tr>
        <w:tc>
          <w:tcPr>
            <w:tcW w:type="dxa" w:w="312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Escalabilidad</w:t>
            </w:r>
          </w:p>
        </w:tc>
        <w:tc>
          <w:tcPr>
            <w:tcW w:type="dxa" w:w="312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pPr>
              <w:jc w:val="center"/>
            </w:pPr>
            <w:r>
              <w:rPr>
                <w:rFonts w:ascii="Arial" w:cs="Arial" w:eastAsia="Arial" w:hAnsi="Arial"/>
                <w:color w:val="1A1A1A"/>
                <w:sz w:val="18"/>
                <w:szCs w:val="18"/>
              </w:rPr>
              <w:t xml:space="preserve">2</w:t>
            </w:r>
          </w:p>
        </w:tc>
        <w:tc>
          <w:tcPr>
            <w:tcW w:type="dxa" w:w="312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RNF-11, RNF-12</w:t>
            </w:r>
          </w:p>
        </w:tc>
      </w:tr>
      <w:tr>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Mantenibilidad</w:t>
            </w:r>
          </w:p>
        </w:tc>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3</w:t>
            </w:r>
          </w:p>
        </w:tc>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RNF-13, RNF-14, RNF-15</w:t>
            </w:r>
          </w:p>
        </w:tc>
      </w:tr>
      <w:tr>
        <w:tc>
          <w:tcPr>
            <w:tcW w:type="dxa" w:w="312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b/>
                <w:bCs/>
                <w:color w:val="1F4E79"/>
                <w:sz w:val="18"/>
                <w:szCs w:val="18"/>
              </w:rPr>
              <w:t xml:space="preserve">Usabilidad</w:t>
            </w:r>
          </w:p>
        </w:tc>
        <w:tc>
          <w:tcPr>
            <w:tcW w:type="dxa" w:w="312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pPr>
              <w:jc w:val="center"/>
            </w:pPr>
            <w:r>
              <w:rPr>
                <w:rFonts w:ascii="Arial" w:cs="Arial" w:eastAsia="Arial" w:hAnsi="Arial"/>
                <w:color w:val="1A1A1A"/>
                <w:sz w:val="18"/>
                <w:szCs w:val="18"/>
              </w:rPr>
              <w:t xml:space="preserve">2</w:t>
            </w:r>
          </w:p>
        </w:tc>
        <w:tc>
          <w:tcPr>
            <w:tcW w:type="dxa" w:w="3120"/>
            <w:tcBorders>
              <w:top w:val="single" w:color="B8CCE4" w:sz="1"/>
              <w:left w:val="single" w:color="B8CCE4" w:sz="1"/>
              <w:bottom w:val="single" w:color="B8CCE4" w:sz="1"/>
              <w:right w:val="single" w:color="B8CCE4" w:sz="1"/>
            </w:tcBorders>
            <w:shd w:fill="F2F7FC" w:val="clear"/>
            <w:tcMar>
              <w:top w:type="dxa" w:w="80"/>
              <w:left w:type="dxa" w:w="120"/>
              <w:bottom w:type="dxa" w:w="80"/>
              <w:right w:type="dxa" w:w="120"/>
            </w:tcMar>
          </w:tcPr>
          <w:p>
            <w:r>
              <w:rPr>
                <w:rFonts w:ascii="Arial" w:cs="Arial" w:eastAsia="Arial" w:hAnsi="Arial"/>
                <w:color w:val="1A1A1A"/>
                <w:sz w:val="18"/>
                <w:szCs w:val="18"/>
              </w:rPr>
              <w:t xml:space="preserve">RNF-16, RNF-17</w:t>
            </w:r>
          </w:p>
        </w:tc>
      </w:tr>
      <w:tr>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color w:val="1F4E79"/>
                <w:sz w:val="18"/>
                <w:szCs w:val="18"/>
              </w:rPr>
              <w:t xml:space="preserve">Cumplimiento</w:t>
            </w:r>
          </w:p>
        </w:tc>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w:t>
            </w:r>
          </w:p>
        </w:tc>
        <w:tc>
          <w:tcPr>
            <w:tcW w:type="dxa" w:w="31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RNF-18, RNF-19</w:t>
            </w:r>
          </w:p>
        </w:tc>
      </w:tr>
      <w:tr>
        <w:tc>
          <w:tcPr>
            <w:tcW w:type="dxa" w:w="3120"/>
            <w:tcBorders>
              <w:top w:val="single" w:color="B8CCE4" w:sz="1"/>
              <w:left w:val="single" w:color="B8CCE4" w:sz="1"/>
              <w:bottom w:val="single" w:color="B8CCE4" w:sz="1"/>
              <w:right w:val="single" w:color="B8CCE4"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TOTAL</w:t>
            </w:r>
          </w:p>
        </w:tc>
        <w:tc>
          <w:tcPr>
            <w:tcW w:type="dxa" w:w="3120"/>
            <w:tcBorders>
              <w:top w:val="single" w:color="B8CCE4" w:sz="1"/>
              <w:left w:val="single" w:color="B8CCE4" w:sz="1"/>
              <w:bottom w:val="single" w:color="B8CCE4" w:sz="1"/>
              <w:right w:val="single" w:color="B8CCE4"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19</w:t>
            </w:r>
          </w:p>
        </w:tc>
        <w:tc>
          <w:tcPr>
            <w:tcW w:type="dxa" w:w="3120"/>
            <w:tcBorders>
              <w:top w:val="single" w:color="B8CCE4" w:sz="1"/>
              <w:left w:val="single" w:color="B8CCE4" w:sz="1"/>
              <w:bottom w:val="single" w:color="B8CCE4" w:sz="1"/>
              <w:right w:val="single" w:color="B8CCE4"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
            </w:r>
          </w:p>
        </w:tc>
      </w:tr>
    </w:tbl>
    <w:p>
      <w:pPr>
        <w:spacing w:after="0" w:before="0"/>
      </w:pPr>
      <w:r>
        <w:t xml:space="preserve"/>
      </w:r>
    </w:p>
    <w:p>
      <w:pPr>
        <w:spacing w:after="0" w:before="0"/>
      </w:pPr>
      <w:r>
        <w:t xml:space="preserve"/>
      </w:r>
    </w:p>
    <w:p>
      <w:pPr>
        <w:pStyle w:val="Heading2"/>
        <w:spacing w:after="80" w:before="280"/>
      </w:pPr>
      <w:r>
        <w:rPr>
          <w:rFonts w:ascii="Arial" w:cs="Arial" w:eastAsia="Arial" w:hAnsi="Arial"/>
          <w:b/>
          <w:bCs/>
          <w:color w:val="2E75B6"/>
          <w:sz w:val="24"/>
          <w:szCs w:val="24"/>
        </w:rPr>
        <w:t xml:space="preserve">Requisitos fuera de alcance (mejoras futuras)</w:t>
      </w:r>
    </w:p>
    <w:p>
      <w:pPr>
        <w:spacing w:after="0" w:before="0"/>
      </w:pPr>
      <w:r>
        <w:t xml:space="preserve"/>
      </w:r>
    </w:p>
    <w:p>
      <w:pPr>
        <w:pStyle w:val="ListParagraph"/>
        <w:numPr>
          <w:ilvl w:val="0"/>
          <w:numId w:val="2"/>
        </w:numPr>
        <w:spacing w:after="40" w:before="40"/>
      </w:pPr>
      <w:r>
        <w:rPr>
          <w:rFonts w:ascii="Arial" w:cs="Arial" w:eastAsia="Arial" w:hAnsi="Arial"/>
          <w:color w:val="1A1A1A"/>
          <w:sz w:val="20"/>
          <w:szCs w:val="20"/>
        </w:rPr>
        <w:t xml:space="preserve">Autenticación con Microsoft Entra ID (Azure AD).</w:t>
      </w:r>
    </w:p>
    <w:p>
      <w:pPr>
        <w:pStyle w:val="ListParagraph"/>
        <w:numPr>
          <w:ilvl w:val="0"/>
          <w:numId w:val="2"/>
        </w:numPr>
        <w:spacing w:after="40" w:before="40"/>
      </w:pPr>
      <w:r>
        <w:rPr>
          <w:rFonts w:ascii="Arial" w:cs="Arial" w:eastAsia="Arial" w:hAnsi="Arial"/>
          <w:color w:val="1A1A1A"/>
          <w:sz w:val="20"/>
          <w:szCs w:val="20"/>
        </w:rPr>
        <w:t xml:space="preserve">Notificaciones por WhatsApp y Telegram.</w:t>
      </w:r>
    </w:p>
    <w:p>
      <w:pPr>
        <w:pStyle w:val="ListParagraph"/>
        <w:numPr>
          <w:ilvl w:val="0"/>
          <w:numId w:val="2"/>
        </w:numPr>
        <w:spacing w:after="40" w:before="40"/>
      </w:pPr>
      <w:r>
        <w:rPr>
          <w:rFonts w:ascii="Arial" w:cs="Arial" w:eastAsia="Arial" w:hAnsi="Arial"/>
          <w:color w:val="1A1A1A"/>
          <w:sz w:val="20"/>
          <w:szCs w:val="20"/>
        </w:rPr>
        <w:t xml:space="preserve">Agente NLP con Azure AI Foundry para creación de tickets por lenguaje natural.</w:t>
      </w:r>
    </w:p>
    <w:p>
      <w:pPr>
        <w:pStyle w:val="ListParagraph"/>
        <w:numPr>
          <w:ilvl w:val="0"/>
          <w:numId w:val="2"/>
        </w:numPr>
        <w:spacing w:after="40" w:before="40"/>
      </w:pPr>
      <w:r>
        <w:rPr>
          <w:rFonts w:ascii="Arial" w:cs="Arial" w:eastAsia="Arial" w:hAnsi="Arial"/>
          <w:color w:val="1A1A1A"/>
          <w:sz w:val="20"/>
          <w:szCs w:val="20"/>
        </w:rPr>
        <w:t xml:space="preserve">Reporte de ingresos por período (PDF).</w:t>
      </w:r>
    </w:p>
    <w:p>
      <w:pPr>
        <w:pStyle w:val="ListParagraph"/>
        <w:numPr>
          <w:ilvl w:val="0"/>
          <w:numId w:val="2"/>
        </w:numPr>
        <w:spacing w:after="40" w:before="40"/>
      </w:pPr>
      <w:r>
        <w:rPr>
          <w:rFonts w:ascii="Arial" w:cs="Arial" w:eastAsia="Arial" w:hAnsi="Arial"/>
          <w:color w:val="1A1A1A"/>
          <w:sz w:val="20"/>
          <w:szCs w:val="20"/>
        </w:rPr>
        <w:t xml:space="preserve">Reporte de tickets por estado o cliente (PDF).</w:t>
      </w:r>
    </w:p>
    <w:p>
      <w:pPr>
        <w:pStyle w:val="ListParagraph"/>
        <w:numPr>
          <w:ilvl w:val="0"/>
          <w:numId w:val="2"/>
        </w:numPr>
        <w:spacing w:after="40" w:before="40"/>
      </w:pPr>
      <w:r>
        <w:rPr>
          <w:rFonts w:ascii="Arial" w:cs="Arial" w:eastAsia="Arial" w:hAnsi="Arial"/>
          <w:color w:val="1A1A1A"/>
          <w:sz w:val="20"/>
          <w:szCs w:val="20"/>
        </w:rPr>
        <w:t xml:space="preserve">Soporte multi-tenant (expansión del sistema a múltiples técnicos).</w:t>
      </w:r>
    </w:p>
    <w:p>
      <w:pPr>
        <w:pStyle w:val="ListParagraph"/>
        <w:numPr>
          <w:ilvl w:val="0"/>
          <w:numId w:val="2"/>
        </w:numPr>
        <w:spacing w:after="40" w:before="40"/>
      </w:pPr>
      <w:r>
        <w:rPr>
          <w:rFonts w:ascii="Arial" w:cs="Arial" w:eastAsia="Arial" w:hAnsi="Arial"/>
          <w:color w:val="1A1A1A"/>
          <w:sz w:val="20"/>
          <w:szCs w:val="20"/>
        </w:rPr>
        <w:t xml:space="preserve">App móvil nativa.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20"/>
      <w:jc w:val="right"/>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pPr>
    <w:r>
      <w:rPr>
        <w:rFonts w:ascii="Arial" w:cs="Arial" w:eastAsia="Arial" w:hAnsi="Arial"/>
        <w:color w:val="888888"/>
        <w:sz w:val="18"/>
        <w:szCs w:val="18"/>
      </w:rPr>
      <w:t xml:space="preserve">TechFix  |  Requisitos Funcionales y No Funcionales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2026-05-15T05:34:29.415Z</dcterms:created>
  <dcterms:modified xsi:type="dcterms:W3CDTF">2026-05-15T05:34:29.430Z</dcterms:modified>
</cp:coreProperties>
</file>

<file path=docProps/custom.xml><?xml version="1.0" encoding="utf-8"?>
<Properties xmlns="http://schemas.openxmlformats.org/officeDocument/2006/custom-properties" xmlns:vt="http://schemas.openxmlformats.org/officeDocument/2006/docPropsVTypes"/>
</file>