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b/>
          <w:b/>
          <w:color w:val="434343"/>
          <w:sz w:val="36"/>
          <w:szCs w:val="36"/>
        </w:rPr>
      </w:pPr>
      <w:r>
        <w:rPr>
          <w:b/>
          <w:color w:val="434343"/>
          <w:sz w:val="36"/>
          <w:szCs w:val="36"/>
        </w:rPr>
        <w:t xml:space="preserve">Effects of thinning </w:t>
      </w:r>
      <w:r>
        <w:rPr>
          <w:b/>
          <w:color w:val="434343"/>
          <w:sz w:val="36"/>
          <w:szCs w:val="36"/>
        </w:rPr>
        <w:t xml:space="preserve">and of hardwood rotations </w:t>
      </w:r>
      <w:r>
        <w:rPr>
          <w:b/>
          <w:color w:val="434343"/>
          <w:sz w:val="36"/>
          <w:szCs w:val="36"/>
        </w:rPr>
        <w:t xml:space="preserve">on </w:t>
      </w:r>
    </w:p>
    <w:p>
      <w:pPr>
        <w:pStyle w:val="Normal"/>
        <w:spacing w:lineRule="auto" w:line="480"/>
        <w:jc w:val="center"/>
        <w:rPr>
          <w:b/>
          <w:b/>
          <w:color w:val="434343"/>
          <w:sz w:val="36"/>
          <w:szCs w:val="36"/>
        </w:rPr>
      </w:pPr>
      <w:r>
        <w:rPr>
          <w:b/>
          <w:color w:val="434343"/>
          <w:sz w:val="36"/>
          <w:szCs w:val="36"/>
        </w:rPr>
        <w:t>laminated root rot induced tree mortality in a mature Douglas-fir forest of the Pacific Northwest, USA</w:t>
      </w:r>
    </w:p>
    <w:p>
      <w:pPr>
        <w:pStyle w:val="Normal"/>
        <w:spacing w:lineRule="auto" w:line="480"/>
        <w:jc w:val="center"/>
        <w:rPr>
          <w:b/>
          <w:b/>
          <w:color w:val="434343"/>
          <w:sz w:val="36"/>
          <w:szCs w:val="36"/>
        </w:rPr>
      </w:pPr>
      <w:r>
        <w:rPr>
          <w:b/>
          <w:color w:val="434343"/>
          <w:sz w:val="36"/>
          <w:szCs w:val="36"/>
        </w:rPr>
        <w:t xml:space="preserve"> </w:t>
      </w:r>
    </w:p>
    <w:p>
      <w:pPr>
        <w:pStyle w:val="Normal"/>
        <w:spacing w:lineRule="auto" w:line="480"/>
        <w:jc w:val="center"/>
        <w:rPr>
          <w:b/>
          <w:b/>
          <w:color w:val="434343"/>
          <w:sz w:val="20"/>
          <w:szCs w:val="20"/>
        </w:rPr>
      </w:pPr>
      <w:r>
        <w:rPr>
          <w:b/>
          <w:color w:val="434343"/>
          <w:sz w:val="20"/>
          <w:szCs w:val="20"/>
        </w:rPr>
      </w:r>
    </w:p>
    <w:p>
      <w:pPr>
        <w:pStyle w:val="Normal"/>
        <w:spacing w:lineRule="auto" w:line="480"/>
        <w:jc w:val="center"/>
        <w:rPr>
          <w:b/>
          <w:b/>
          <w:color w:val="434343"/>
          <w:sz w:val="24"/>
          <w:szCs w:val="24"/>
        </w:rPr>
      </w:pPr>
      <w:r>
        <w:rPr>
          <w:b/>
          <w:color w:val="434343"/>
          <w:sz w:val="24"/>
          <w:szCs w:val="24"/>
        </w:rPr>
        <w:t>Shawn B. McMurtrey</w:t>
      </w:r>
      <w:r>
        <w:rPr>
          <w:rFonts w:eastAsia="Roboto" w:cs="Roboto" w:ascii="Roboto" w:hAnsi="Roboto"/>
          <w:b/>
          <w:color w:val="5F6368"/>
          <w:sz w:val="24"/>
          <w:szCs w:val="24"/>
          <w:highlight w:val="white"/>
          <w:vertAlign w:val="superscript"/>
        </w:rPr>
        <w:t>1</w:t>
      </w:r>
      <w:r>
        <w:rPr>
          <w:b/>
          <w:color w:val="434343"/>
          <w:sz w:val="24"/>
          <w:szCs w:val="24"/>
        </w:rPr>
        <w:t>, David N. Showalter</w:t>
      </w:r>
      <w:r>
        <w:rPr>
          <w:b/>
          <w:color w:val="434343"/>
          <w:sz w:val="24"/>
          <w:szCs w:val="24"/>
          <w:vertAlign w:val="superscript"/>
        </w:rPr>
        <w:t>1</w:t>
      </w:r>
      <w:r>
        <w:rPr>
          <w:b/>
          <w:color w:val="434343"/>
          <w:sz w:val="24"/>
          <w:szCs w:val="24"/>
        </w:rPr>
        <w:t>, Adam Carson</w:t>
      </w:r>
      <w:r>
        <w:rPr>
          <w:b/>
          <w:color w:val="434343"/>
          <w:sz w:val="24"/>
          <w:szCs w:val="24"/>
          <w:vertAlign w:val="superscript"/>
        </w:rPr>
        <w:t>1</w:t>
      </w:r>
      <w:r>
        <w:rPr>
          <w:b/>
          <w:color w:val="434343"/>
          <w:sz w:val="24"/>
          <w:szCs w:val="24"/>
        </w:rPr>
        <w:t>, Everett M. Hansen</w:t>
      </w:r>
      <w:r>
        <w:rPr>
          <w:b/>
          <w:color w:val="434343"/>
          <w:sz w:val="24"/>
          <w:szCs w:val="24"/>
          <w:vertAlign w:val="superscript"/>
        </w:rPr>
        <w:t>1</w:t>
      </w:r>
      <w:r>
        <w:rPr>
          <w:b/>
          <w:color w:val="434343"/>
          <w:sz w:val="24"/>
          <w:szCs w:val="24"/>
        </w:rPr>
        <w:t>, Jared M. LeBoldus</w:t>
      </w:r>
      <w:r>
        <w:rPr>
          <w:b/>
          <w:color w:val="434343"/>
          <w:sz w:val="24"/>
          <w:szCs w:val="24"/>
          <w:vertAlign w:val="superscript"/>
        </w:rPr>
        <w:t>1,2</w:t>
      </w:r>
      <w:r>
        <w:rPr>
          <w:b/>
          <w:color w:val="434343"/>
          <w:sz w:val="24"/>
          <w:szCs w:val="24"/>
        </w:rPr>
        <w:t xml:space="preserve">   </w:t>
      </w:r>
    </w:p>
    <w:p>
      <w:pPr>
        <w:pStyle w:val="Normal"/>
        <w:spacing w:lineRule="auto" w:line="480"/>
        <w:rPr>
          <w:b/>
          <w:b/>
          <w:color w:val="434343"/>
          <w:sz w:val="24"/>
          <w:szCs w:val="24"/>
        </w:rPr>
      </w:pPr>
      <w:r>
        <w:rPr>
          <w:b/>
          <w:color w:val="434343"/>
          <w:sz w:val="24"/>
          <w:szCs w:val="24"/>
        </w:rPr>
      </w:r>
    </w:p>
    <w:p>
      <w:pPr>
        <w:pStyle w:val="Normal"/>
        <w:spacing w:lineRule="auto" w:line="480"/>
        <w:rPr>
          <w:color w:val="434343"/>
          <w:sz w:val="20"/>
          <w:szCs w:val="20"/>
        </w:rPr>
      </w:pPr>
      <w:r>
        <w:rPr>
          <w:rFonts w:eastAsia="Roboto" w:cs="Roboto" w:ascii="Roboto" w:hAnsi="Roboto"/>
          <w:b/>
          <w:color w:val="5F6368"/>
          <w:sz w:val="20"/>
          <w:szCs w:val="20"/>
          <w:highlight w:val="white"/>
          <w:vertAlign w:val="superscript"/>
        </w:rPr>
        <w:t>1</w:t>
      </w:r>
      <w:r>
        <w:rPr>
          <w:color w:val="434343"/>
          <w:sz w:val="20"/>
          <w:szCs w:val="20"/>
        </w:rPr>
        <w:t>Department of Botany and Plant Pathology, Oregon State University, Corvallis, Oregon, USA.</w:t>
      </w:r>
    </w:p>
    <w:p>
      <w:pPr>
        <w:pStyle w:val="Normal"/>
        <w:spacing w:lineRule="auto" w:line="480"/>
        <w:rPr>
          <w:b/>
          <w:b/>
          <w:color w:val="434343"/>
          <w:sz w:val="20"/>
          <w:szCs w:val="20"/>
        </w:rPr>
      </w:pPr>
      <w:r>
        <w:rPr>
          <w:b/>
          <w:color w:val="434343"/>
          <w:sz w:val="20"/>
          <w:szCs w:val="20"/>
          <w:vertAlign w:val="superscript"/>
        </w:rPr>
        <w:t>2</w:t>
      </w:r>
      <w:r>
        <w:rPr>
          <w:color w:val="434343"/>
          <w:sz w:val="20"/>
          <w:szCs w:val="20"/>
        </w:rPr>
        <w:t>Department of Forest Engineering, Resources, and Management, Oregon State University, Corvallis, Oregon, USA.</w:t>
      </w:r>
    </w:p>
    <w:p>
      <w:pPr>
        <w:pStyle w:val="Normal"/>
        <w:spacing w:lineRule="auto" w:line="480"/>
        <w:rPr>
          <w:b/>
          <w:b/>
          <w:color w:val="434343"/>
          <w:sz w:val="28"/>
          <w:szCs w:val="28"/>
        </w:rPr>
      </w:pPr>
      <w:r>
        <w:rPr>
          <w:b/>
          <w:color w:val="434343"/>
          <w:sz w:val="28"/>
          <w:szCs w:val="28"/>
        </w:rPr>
      </w:r>
    </w:p>
    <w:p>
      <w:pPr>
        <w:pStyle w:val="Normal"/>
        <w:spacing w:lineRule="auto" w:line="480"/>
        <w:rPr>
          <w:color w:val="434343"/>
          <w:sz w:val="24"/>
          <w:szCs w:val="24"/>
        </w:rPr>
      </w:pPr>
      <w:r>
        <w:rPr>
          <w:b/>
          <w:color w:val="434343"/>
          <w:sz w:val="24"/>
          <w:szCs w:val="24"/>
        </w:rPr>
        <w:t xml:space="preserve">Keywords: </w:t>
      </w:r>
      <w:r>
        <w:rPr>
          <w:i/>
          <w:color w:val="434343"/>
          <w:sz w:val="24"/>
          <w:szCs w:val="24"/>
        </w:rPr>
        <w:t>Coniferiporia sulphurascens</w:t>
      </w:r>
      <w:r>
        <w:rPr>
          <w:color w:val="434343"/>
          <w:sz w:val="24"/>
          <w:szCs w:val="24"/>
        </w:rPr>
        <w:t>, laminated root rot</w:t>
      </w:r>
      <w:r>
        <w:rPr>
          <w:sz w:val="24"/>
          <w:szCs w:val="24"/>
        </w:rPr>
        <w:t>, forest management,</w:t>
      </w:r>
      <w:r>
        <w:rPr>
          <w:color w:val="434343"/>
          <w:sz w:val="24"/>
          <w:szCs w:val="24"/>
        </w:rPr>
        <w:t xml:space="preserve"> forest pathology, </w:t>
      </w:r>
      <w:r>
        <w:rPr>
          <w:color w:val="434343"/>
          <w:sz w:val="24"/>
          <w:szCs w:val="24"/>
        </w:rPr>
        <w:t>thinning</w:t>
      </w:r>
    </w:p>
    <w:p>
      <w:pPr>
        <w:pStyle w:val="Normal"/>
        <w:spacing w:lineRule="auto" w:line="480"/>
        <w:rPr>
          <w:b/>
          <w:b/>
          <w:color w:val="434343"/>
          <w:sz w:val="28"/>
          <w:szCs w:val="28"/>
        </w:rPr>
      </w:pPr>
      <w:r>
        <w:rPr>
          <w:b/>
          <w:color w:val="434343"/>
          <w:sz w:val="28"/>
          <w:szCs w:val="28"/>
        </w:rPr>
      </w:r>
      <w:r>
        <w:br w:type="page"/>
      </w:r>
    </w:p>
    <w:p>
      <w:pPr>
        <w:pStyle w:val="Normal"/>
        <w:spacing w:lineRule="auto" w:line="480"/>
        <w:rPr>
          <w:sz w:val="24"/>
          <w:szCs w:val="24"/>
        </w:rPr>
      </w:pPr>
      <w:commentRangeStart w:id="0"/>
      <w:r>
        <w:rPr>
          <w:b/>
          <w:color w:val="434343"/>
          <w:sz w:val="28"/>
          <w:szCs w:val="28"/>
        </w:rPr>
        <w:t>Abstract</w:t>
      </w:r>
      <w:r>
        <w:rPr>
          <w:b/>
          <w:color w:val="434343"/>
          <w:sz w:val="28"/>
          <w:szCs w:val="28"/>
        </w:rPr>
      </w:r>
      <w:commentRangeEnd w:id="0"/>
      <w:r>
        <w:commentReference w:id="0"/>
      </w:r>
      <w:r>
        <w:rPr>
          <w:b/>
          <w:sz w:val="24"/>
          <w:szCs w:val="24"/>
        </w:rPr>
        <w:br/>
      </w:r>
      <w:r>
        <w:rPr>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 long-term forest plot study within Oregon, USA, provided a rare opportunity </w:t>
      </w:r>
      <w:commentRangeStart w:id="1"/>
      <w:r>
        <w:rPr>
          <w:sz w:val="24"/>
          <w:szCs w:val="24"/>
        </w:rPr>
        <w:t xml:space="preserve">to investigate the interaction between commercial thinning practices and tree mortality caused by </w:t>
      </w:r>
      <w:r>
        <w:rPr>
          <w:i/>
          <w:sz w:val="24"/>
          <w:szCs w:val="24"/>
        </w:rPr>
        <w:t>Coniferiporia sulphurascens</w:t>
      </w:r>
      <w:r>
        <w:rPr>
          <w:sz w:val="24"/>
          <w:szCs w:val="24"/>
        </w:rPr>
        <w:t>.</w:t>
      </w:r>
      <w:r>
        <w:rPr>
          <w:sz w:val="24"/>
          <w:szCs w:val="24"/>
        </w:rPr>
      </w:r>
      <w:commentRangeEnd w:id="1"/>
      <w:r>
        <w:commentReference w:id="1"/>
      </w:r>
      <w:r>
        <w:rPr>
          <w:sz w:val="24"/>
          <w:szCs w:val="24"/>
        </w:rPr>
        <w:t xml:space="preserve"> Three different thinning prescriptions were applied across ~160 hectares within the Siuslaw National Forest. Treatments included five stands that were thinned to 34.5 m</w:t>
      </w:r>
      <w:r>
        <w:rPr>
          <w:color w:val="333333"/>
          <w:sz w:val="24"/>
          <w:szCs w:val="24"/>
          <w:vertAlign w:val="superscript"/>
        </w:rPr>
        <w:t>2</w:t>
      </w:r>
      <w:r>
        <w:rPr>
          <w:sz w:val="24"/>
          <w:szCs w:val="24"/>
        </w:rPr>
        <w:t>/ha of basal area, five stands that were thinned to 42.1 m</w:t>
      </w:r>
      <w:r>
        <w:rPr>
          <w:color w:val="333333"/>
          <w:sz w:val="24"/>
          <w:szCs w:val="24"/>
          <w:vertAlign w:val="superscript"/>
        </w:rPr>
        <w:t>2</w:t>
      </w:r>
      <w:r>
        <w:rPr>
          <w:sz w:val="24"/>
          <w:szCs w:val="24"/>
        </w:rPr>
        <w:t xml:space="preserve">/ha of basal area, and five control stands where no thinning occurred. A network of 75 fixed radius plots, 0.04 ha in size, were established in 1985 within the 15 stands. Inventories were conducted approximately every 5 years with a final evaluation being conducted in 2020. Observed data was compared with anticipated data produced by the Forest Vegetation Simulator and Western Root Disease Models. </w:t>
      </w:r>
      <w:commentRangeStart w:id="2"/>
      <w:r>
        <w:rPr>
          <w:sz w:val="24"/>
          <w:szCs w:val="24"/>
        </w:rPr>
        <w:t xml:space="preserve">An analysis of variance examination determined that there was not a significant difference among treatments (p = 0.628). </w:t>
      </w:r>
      <w:r>
        <w:rPr>
          <w:sz w:val="24"/>
          <w:szCs w:val="24"/>
        </w:rPr>
      </w:r>
      <w:commentRangeStart w:id="3"/>
      <w:commentRangeEnd w:id="2"/>
      <w:r>
        <w:commentReference w:id="2"/>
      </w:r>
      <w:r>
        <w:rPr>
          <w:sz w:val="24"/>
          <w:szCs w:val="24"/>
        </w:rPr>
        <w:t>Results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color w:val="24292E"/>
          <w:sz w:val="24"/>
          <w:szCs w:val="24"/>
          <w:highlight w:val="white"/>
        </w:rPr>
        <w:t>.</w:t>
      </w:r>
      <w:r>
        <w:rPr>
          <w:sz w:val="24"/>
          <w:szCs w:val="24"/>
        </w:rPr>
        <w:t xml:space="preserve"> </w:t>
      </w:r>
      <w:r>
        <w:rPr>
          <w:sz w:val="24"/>
          <w:szCs w:val="24"/>
        </w:rPr>
      </w:r>
      <w:commentRangeStart w:id="4"/>
      <w:commentRangeEnd w:id="3"/>
      <w:r>
        <w:commentReference w:id="3"/>
      </w:r>
      <w:r>
        <w:rPr>
          <w:sz w:val="24"/>
          <w:szCs w:val="24"/>
        </w:rPr>
        <w:t xml:space="preserve">Modelled data was found to reliably predict observed data for both the Forest Vegetation Simulator and Western Root Disease Models. </w:t>
      </w:r>
      <w:r>
        <w:rPr>
          <w:sz w:val="24"/>
          <w:szCs w:val="24"/>
        </w:rPr>
      </w:r>
      <w:commentRangeEnd w:id="4"/>
      <w:r>
        <w:commentReference w:id="4"/>
      </w:r>
      <w:r>
        <w:rPr>
          <w:sz w:val="24"/>
          <w:szCs w:val="24"/>
        </w:rPr>
        <w:t xml:space="preserve">From the results of this study, commercial thinning treatments do not seem to have a significant effect on reducing tree mortality caused by </w:t>
      </w:r>
      <w:r>
        <w:rPr>
          <w:i/>
          <w:iCs/>
          <w:sz w:val="24"/>
          <w:szCs w:val="24"/>
        </w:rPr>
        <w:t>Coniferiporia sulphurascens</w:t>
      </w:r>
      <w:r>
        <w:rPr>
          <w:sz w:val="24"/>
          <w:szCs w:val="24"/>
        </w:rPr>
        <w:t xml:space="preserve">. </w:t>
      </w:r>
    </w:p>
    <w:p>
      <w:pPr>
        <w:pStyle w:val="Normal"/>
        <w:spacing w:lineRule="auto" w:line="480"/>
        <w:rPr>
          <w:b/>
          <w:b/>
          <w:sz w:val="24"/>
          <w:szCs w:val="24"/>
        </w:rPr>
      </w:pPr>
      <w:r>
        <w:rPr>
          <w:b/>
          <w:sz w:val="24"/>
          <w:szCs w:val="24"/>
        </w:rPr>
      </w:r>
    </w:p>
    <w:p>
      <w:pPr>
        <w:pStyle w:val="Normal"/>
        <w:spacing w:lineRule="auto" w:line="480"/>
        <w:rPr>
          <w:sz w:val="24"/>
          <w:szCs w:val="24"/>
        </w:rPr>
      </w:pPr>
      <w:r>
        <w:rPr>
          <w:b/>
          <w:color w:val="434343"/>
          <w:sz w:val="28"/>
          <w:szCs w:val="28"/>
        </w:rPr>
        <w:t>1. Introduction</w:t>
      </w:r>
    </w:p>
    <w:p>
      <w:pPr>
        <w:pStyle w:val="Normal"/>
        <w:spacing w:lineRule="auto" w:line="480"/>
        <w:rPr>
          <w:sz w:val="24"/>
          <w:szCs w:val="24"/>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br/>
      </w:r>
    </w:p>
    <w:p>
      <w:pPr>
        <w:pStyle w:val="Normal"/>
        <w:spacing w:lineRule="auto" w:line="480"/>
        <w:rPr>
          <w:color w:val="24292E"/>
          <w:sz w:val="24"/>
          <w:szCs w:val="24"/>
        </w:rPr>
      </w:pPr>
      <w:r>
        <w:rPr>
          <w:i/>
          <w:sz w:val="24"/>
          <w:szCs w:val="24"/>
        </w:rPr>
        <w:t xml:space="preserve">Coniferiporia sulphurascens </w:t>
      </w:r>
      <w:r>
        <w:rPr>
          <w:color w:val="24292E"/>
          <w:sz w:val="24"/>
          <w:szCs w:val="24"/>
          <w:highlight w:val="white"/>
        </w:rPr>
        <w:t>(Pilát) L. W. Zhou and Y. C. Dai</w:t>
      </w:r>
      <w:r>
        <w:rPr>
          <w:sz w:val="24"/>
          <w:szCs w:val="24"/>
        </w:rPr>
        <w:t xml:space="preserve"> is an indigenous root disease fungus of North America, that causes laminated root rot (LRR) in the highly susceptible Douglas-fir (</w:t>
      </w:r>
      <w:r>
        <w:rPr>
          <w:i/>
          <w:sz w:val="24"/>
          <w:szCs w:val="24"/>
        </w:rPr>
        <w:t>Pseudotsuga menziesii</w:t>
      </w:r>
      <w:r>
        <w:rPr>
          <w:sz w:val="24"/>
          <w:szCs w:val="24"/>
        </w:rPr>
        <w:t xml:space="preserve"> (Mirb.)) </w:t>
      </w:r>
      <w:r>
        <w:rPr>
          <w:color w:val="24292E"/>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color w:val="24292E"/>
          <w:sz w:val="24"/>
          <w:szCs w:val="24"/>
          <w:highlight w:val="white"/>
        </w:rPr>
        <w:t xml:space="preserve">Cook et al., 2013). </w:t>
      </w:r>
      <w:r>
        <w:rPr>
          <w:color w:val="24292E"/>
          <w:sz w:val="24"/>
          <w:szCs w:val="24"/>
        </w:rPr>
        <w:t>It is a valuable tree within the timber industry, producing more timber than any other species in North America (Hanna et al., 2016).</w:t>
      </w:r>
      <w:r>
        <w:rPr>
          <w:color w:val="222222"/>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color w:val="24292E"/>
          <w:sz w:val="24"/>
          <w:szCs w:val="24"/>
          <w:highlight w:val="white"/>
        </w:rPr>
        <w:t>Cleary et al., 2013</w:t>
      </w:r>
      <w:r>
        <w:rPr>
          <w:sz w:val="24"/>
          <w:szCs w:val="24"/>
        </w:rPr>
        <w:t xml:space="preserve">; Thies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color w:val="24292E"/>
          <w:sz w:val="24"/>
          <w:szCs w:val="24"/>
          <w:highlight w:val="white"/>
        </w:rPr>
        <w:t>(Leal et al., 2019)</w:t>
      </w:r>
      <w:r>
        <w:rPr>
          <w:sz w:val="24"/>
          <w:szCs w:val="24"/>
        </w:rPr>
        <w:t xml:space="preserve">. </w:t>
      </w:r>
      <w:r>
        <w:rPr>
          <w:color w:val="252525"/>
          <w:sz w:val="24"/>
          <w:szCs w:val="24"/>
        </w:rPr>
        <w:t>It is likely</w:t>
      </w:r>
      <w:r>
        <w:rPr>
          <w:color w:val="E36B00"/>
          <w:sz w:val="24"/>
          <w:szCs w:val="24"/>
        </w:rPr>
        <w:t xml:space="preserve"> </w:t>
      </w:r>
      <w:r>
        <w:rPr>
          <w:color w:val="252525"/>
          <w:sz w:val="24"/>
          <w:szCs w:val="24"/>
        </w:rPr>
        <w:t xml:space="preserve">the most important coastal forest tree disease in the Pacific Northwest and has significant effects on inland forests as well </w:t>
      </w:r>
      <w:r>
        <w:rPr>
          <w:color w:val="24292E"/>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color w:val="24292E"/>
          <w:sz w:val="24"/>
          <w:szCs w:val="24"/>
        </w:rPr>
      </w:pPr>
      <w:r>
        <w:rPr>
          <w:color w:val="24292E"/>
          <w:sz w:val="24"/>
          <w:szCs w:val="24"/>
        </w:rPr>
      </w:r>
    </w:p>
    <w:p>
      <w:pPr>
        <w:pStyle w:val="Normal"/>
        <w:spacing w:lineRule="auto" w:line="480"/>
        <w:rPr>
          <w:sz w:val="24"/>
          <w:szCs w:val="24"/>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w:t>
      </w:r>
      <w:r>
        <w:rPr>
          <w:color w:val="252525"/>
          <w:sz w:val="24"/>
          <w:szCs w:val="24"/>
        </w:rPr>
        <w:t xml:space="preserve">The only way to confirm the </w:t>
      </w:r>
      <w:r>
        <w:rPr>
          <w:sz w:val="24"/>
          <w:szCs w:val="24"/>
        </w:rPr>
        <w:t>presence</w:t>
      </w:r>
      <w:r>
        <w:rPr>
          <w:color w:val="252525"/>
          <w:sz w:val="24"/>
          <w:szCs w:val="24"/>
        </w:rPr>
        <w:t xml:space="preserve"> of </w:t>
      </w:r>
      <w:r>
        <w:rPr>
          <w:i/>
          <w:color w:val="252525"/>
          <w:sz w:val="24"/>
          <w:szCs w:val="24"/>
        </w:rPr>
        <w:t xml:space="preserve">C. sulphurascens </w:t>
      </w:r>
      <w:r>
        <w:rPr>
          <w:color w:val="252525"/>
          <w:sz w:val="24"/>
          <w:szCs w:val="24"/>
        </w:rPr>
        <w:t xml:space="preserve">and </w:t>
      </w:r>
      <w:r>
        <w:rPr>
          <w:sz w:val="24"/>
          <w:szCs w:val="24"/>
        </w:rPr>
        <w:t>to reliably determine the distribution and disease severity within a stand, is through ground-based</w:t>
      </w:r>
      <w:r>
        <w:rPr>
          <w:color w:val="E36B00"/>
          <w:sz w:val="24"/>
          <w:szCs w:val="24"/>
        </w:rPr>
        <w:t xml:space="preserve"> </w:t>
      </w:r>
      <w:r>
        <w:rPr>
          <w:color w:val="252525"/>
          <w:sz w:val="24"/>
          <w:szCs w:val="24"/>
        </w:rPr>
        <w:t>surveys</w:t>
      </w:r>
      <w:r>
        <w:rPr>
          <w:sz w:val="24"/>
          <w:szCs w:val="24"/>
        </w:rPr>
        <w:t xml:space="preserve"> (</w:t>
      </w:r>
      <w:r>
        <w:rPr>
          <w:color w:val="24292E"/>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eastAsia="Georgia" w:cs="Georgia" w:ascii="Georgia" w:hAnsi="Georgia"/>
          <w:color w:val="2E2E2E"/>
          <w:sz w:val="27"/>
          <w:szCs w:val="27"/>
        </w:rPr>
        <w:t>(</w:t>
      </w:r>
      <w:r>
        <w:rPr>
          <w:color w:val="24292E"/>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Long term forest plot studies can be powerful sources of information, yet they have been scarce and often lack incremental or detailed data over long periods of time (Norris et al., 2014)</w:t>
      </w:r>
      <w:r>
        <w:rPr>
          <w:color w:val="FF0000"/>
          <w:sz w:val="24"/>
          <w:szCs w:val="24"/>
        </w:rPr>
        <w:t xml:space="preserve">. </w:t>
      </w:r>
      <w:r>
        <w:rPr>
          <w:sz w:val="24"/>
          <w:szCs w:val="24"/>
        </w:rPr>
        <w:t xml:space="preserve">Data from these studies </w:t>
      </w:r>
      <w:r>
        <w:rPr>
          <w:color w:val="24292E"/>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color w:val="24292E"/>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color w:val="222222"/>
          <w:sz w:val="20"/>
          <w:szCs w:val="2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color w:val="222222"/>
          <w:sz w:val="20"/>
          <w:szCs w:val="20"/>
          <w:highlight w:val="white"/>
        </w:rPr>
        <w:t xml:space="preserve"> </w:t>
      </w:r>
    </w:p>
    <w:p>
      <w:pPr>
        <w:pStyle w:val="Normal"/>
        <w:spacing w:lineRule="auto" w:line="480"/>
        <w:rPr>
          <w:color w:val="222222"/>
          <w:sz w:val="20"/>
          <w:szCs w:val="20"/>
        </w:rPr>
      </w:pPr>
      <w:r>
        <w:rPr>
          <w:color w:val="222222"/>
          <w:sz w:val="20"/>
          <w:szCs w:val="20"/>
        </w:rPr>
      </w:r>
    </w:p>
    <w:p>
      <w:pPr>
        <w:pStyle w:val="Normal"/>
        <w:spacing w:lineRule="auto" w:line="480"/>
        <w:rPr>
          <w:sz w:val="24"/>
          <w:szCs w:val="24"/>
          <w:highlight w:val="white"/>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w:t>
      </w:r>
      <w:hyperlink r:id="rId5">
        <w:r>
          <w:rPr>
            <w:sz w:val="24"/>
            <w:szCs w:val="24"/>
          </w:rPr>
          <w:t>Bref.</w:t>
        </w:r>
      </w:hyperlink>
      <w:r>
        <w:rPr>
          <w:sz w:val="24"/>
          <w:szCs w:val="24"/>
        </w:rPr>
        <w:t xml:space="preserve"> (1888) root disease respectively, to the best of the author’s knowledge, there has not been a long term study to assess quality control for the WRDM and LRR caused by </w:t>
      </w:r>
      <w:r>
        <w:rPr>
          <w:i/>
          <w:iCs/>
          <w:sz w:val="24"/>
          <w:szCs w:val="24"/>
        </w:rPr>
        <w:t>C. sulphurascens</w:t>
      </w:r>
      <w:r>
        <w:rPr>
          <w:sz w:val="24"/>
          <w:szCs w:val="24"/>
        </w:rPr>
        <w:t xml:space="preserve">. </w:t>
        <w:br/>
        <w:br/>
        <w:t>The Siuslaw National Forest produces one of the highest quantities of wood fiber of all the national forests within the USA (USDA, 1990)</w:t>
      </w:r>
      <w:r>
        <w:rPr>
          <w:b/>
          <w:color w:val="252525"/>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both threatened species (</w:t>
      </w:r>
      <w:commentRangeStart w:id="5"/>
      <w:r>
        <w:rPr>
          <w:sz w:val="24"/>
          <w:szCs w:val="24"/>
        </w:rPr>
        <w:t>USDA, 1990</w:t>
      </w:r>
      <w:r>
        <w:rPr>
          <w:sz w:val="24"/>
          <w:szCs w:val="24"/>
        </w:rPr>
      </w:r>
      <w:commentRangeEnd w:id="5"/>
      <w:r>
        <w:commentReference w:id="5"/>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p>
    <w:p>
      <w:pPr>
        <w:pStyle w:val="Normal"/>
        <w:spacing w:lineRule="auto" w:line="480"/>
        <w:rPr>
          <w:sz w:val="24"/>
          <w:szCs w:val="24"/>
        </w:rPr>
      </w:pPr>
      <w:r>
        <w:rPr>
          <w:sz w:val="24"/>
          <w:szCs w:val="24"/>
        </w:rPr>
      </w:r>
    </w:p>
    <w:p>
      <w:pPr>
        <w:pStyle w:val="Normal"/>
        <w:spacing w:lineRule="auto" w:line="480"/>
        <w:rPr>
          <w:i/>
          <w:i/>
          <w:iCs/>
          <w:sz w:val="24"/>
          <w:szCs w:val="24"/>
        </w:rPr>
      </w:pP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w:t>
      </w:r>
      <w:r>
        <w:rPr>
          <w:sz w:val="24"/>
          <w:szCs w:val="24"/>
        </w:rPr>
        <w:t xml:space="preserve">Spcifically </w:t>
      </w:r>
      <w:r>
        <w:rPr>
          <w:rFonts w:eastAsia="NSimSun" w:cs="Lucida Sans" w:ascii="Arial" w:hAnsi="Arial"/>
          <w:color w:val="auto"/>
          <w:kern w:val="2"/>
          <w:sz w:val="24"/>
          <w:szCs w:val="24"/>
          <w:lang w:val="en-US" w:eastAsia="zh-CN" w:bidi="hi-IN"/>
        </w:rPr>
        <w:t xml:space="preserve">the studies </w:t>
      </w:r>
      <w:r>
        <w:rPr>
          <w:rFonts w:eastAsia="NSimSun" w:cs="Lucida Sans" w:ascii="Arial" w:hAnsi="Arial"/>
          <w:color w:val="auto"/>
          <w:kern w:val="2"/>
          <w:sz w:val="24"/>
          <w:szCs w:val="24"/>
          <w:lang w:val="en-US" w:eastAsia="zh-CN" w:bidi="hi-IN"/>
        </w:rPr>
        <w:t xml:space="preserve">aimed </w:t>
      </w:r>
      <w:r>
        <w:rPr>
          <w:rFonts w:eastAsia="NSimSun" w:cs="Lucida Sans" w:ascii="Arial" w:hAnsi="Arial"/>
          <w:color w:val="auto"/>
          <w:kern w:val="2"/>
          <w:sz w:val="24"/>
          <w:szCs w:val="24"/>
          <w:lang w:val="en-US" w:eastAsia="zh-CN" w:bidi="hi-IN"/>
        </w:rPr>
        <w:t>to d</w:t>
      </w:r>
      <w:r>
        <w:rPr>
          <w:rFonts w:ascii="Arial" w:hAnsi="Arial"/>
          <w:sz w:val="24"/>
          <w:szCs w:val="24"/>
        </w:rPr>
        <w:t xml:space="preserve">etermine the effects of commercial thinning </w:t>
      </w:r>
      <w:r>
        <w:rPr>
          <w:rFonts w:eastAsia="NSimSun" w:cs="Lucida Sans" w:ascii="Arial" w:hAnsi="Arial"/>
          <w:color w:val="auto"/>
          <w:kern w:val="2"/>
          <w:sz w:val="24"/>
          <w:szCs w:val="24"/>
          <w:lang w:val="en-US" w:eastAsia="zh-CN" w:bidi="hi-IN"/>
        </w:rPr>
        <w:t xml:space="preserve">treatments </w:t>
      </w:r>
      <w:r>
        <w:rPr>
          <w:rFonts w:ascii="Arial" w:hAnsi="Arial"/>
          <w:sz w:val="24"/>
          <w:szCs w:val="24"/>
        </w:rPr>
        <w:t xml:space="preserve">and hardwood rotations on growth and mortality of Douglas-fir on sites with high </w:t>
      </w:r>
      <w:r>
        <w:rPr>
          <w:rFonts w:eastAsia="NSimSun" w:cs="Lucida Sans" w:ascii="Arial" w:hAnsi="Arial"/>
          <w:color w:val="auto"/>
          <w:kern w:val="2"/>
          <w:sz w:val="24"/>
          <w:szCs w:val="24"/>
          <w:lang w:val="en-US" w:eastAsia="zh-CN" w:bidi="hi-IN"/>
        </w:rPr>
        <w:t xml:space="preserve">incidence of </w:t>
      </w:r>
      <w:r>
        <w:rPr>
          <w:rFonts w:ascii="Arial" w:hAnsi="Arial"/>
          <w:sz w:val="24"/>
          <w:szCs w:val="24"/>
        </w:rPr>
        <w:t>laminated root rot</w:t>
      </w:r>
      <w:r>
        <w:rPr>
          <w:rFonts w:ascii="Arial" w:hAnsi="Arial"/>
          <w:i/>
          <w:iCs/>
          <w:sz w:val="24"/>
          <w:szCs w:val="24"/>
        </w:rPr>
        <w:t xml:space="preserve">. </w:t>
      </w:r>
    </w:p>
    <w:p>
      <w:pPr>
        <w:pStyle w:val="Normal"/>
        <w:spacing w:lineRule="auto" w:line="480"/>
        <w:rPr>
          <w:i/>
          <w:i/>
          <w:iCs/>
          <w:sz w:val="24"/>
          <w:szCs w:val="24"/>
        </w:rPr>
      </w:pPr>
      <w:r>
        <w:rPr>
          <w:sz w:val="24"/>
          <w:szCs w:val="24"/>
        </w:rPr>
        <w:t xml:space="preserve">The specific objectives were to: (i) evaluate the effect of thinning on </w:t>
      </w:r>
      <w:r>
        <w:rPr>
          <w:sz w:val="24"/>
          <w:szCs w:val="24"/>
        </w:rPr>
        <w:t xml:space="preserve">Douglas-fir growth and </w:t>
      </w:r>
      <w:r>
        <w:rPr>
          <w:i w:val="false"/>
          <w:iCs w:val="false"/>
          <w:sz w:val="24"/>
          <w:szCs w:val="24"/>
        </w:rPr>
        <w:t>LRR</w:t>
      </w:r>
      <w:r>
        <w:rPr>
          <w:i/>
          <w:iCs/>
          <w:sz w:val="24"/>
          <w:szCs w:val="24"/>
        </w:rPr>
        <w:t>-</w:t>
      </w:r>
      <w:r>
        <w:rPr>
          <w:sz w:val="24"/>
          <w:szCs w:val="24"/>
        </w:rPr>
        <w:t xml:space="preserve">induced mortality; (ii) compare the rate of </w:t>
      </w:r>
      <w:r>
        <w:rPr>
          <w:sz w:val="24"/>
          <w:szCs w:val="24"/>
        </w:rPr>
        <w:t>spread of</w:t>
      </w:r>
      <w:r>
        <w:rPr>
          <w:sz w:val="24"/>
          <w:szCs w:val="24"/>
        </w:rPr>
        <w:t xml:space="preserve"> </w:t>
      </w:r>
      <w:r>
        <w:rPr>
          <w:i/>
          <w:iCs/>
          <w:sz w:val="24"/>
          <w:szCs w:val="24"/>
        </w:rPr>
        <w:t>C. sulphurascens</w:t>
      </w:r>
      <w:r>
        <w:rPr>
          <w:sz w:val="24"/>
          <w:szCs w:val="24"/>
        </w:rPr>
        <w:t xml:space="preserve"> in thinned and unthinned stands; </w:t>
      </w:r>
      <w:r>
        <w:rPr>
          <w:i w:val="false"/>
          <w:iCs w:val="false"/>
          <w:sz w:val="24"/>
          <w:szCs w:val="24"/>
        </w:rPr>
        <w:t xml:space="preserve">(iii) evaluate the effect of hardwood rotations on Douglas-fir growth and LRR-induced mortality; (iv) (iii) validate the ability of the Forest Vegetation Simulator and Western Root Disease Model to predict growth and yield of stands severely impacted by </w:t>
      </w:r>
      <w:r>
        <w:rPr>
          <w:i/>
          <w:iCs/>
          <w:sz w:val="24"/>
          <w:szCs w:val="24"/>
        </w:rPr>
        <w:t xml:space="preserve">C. sulphurascens </w:t>
      </w:r>
      <w:r>
        <w:rPr>
          <w:i w:val="false"/>
          <w:iCs w:val="false"/>
          <w:sz w:val="24"/>
          <w:szCs w:val="24"/>
        </w:rPr>
        <w:t>following thinning and rotation treatments.</w:t>
      </w:r>
    </w:p>
    <w:p>
      <w:pPr>
        <w:pStyle w:val="Normal"/>
        <w:spacing w:lineRule="auto" w:line="480"/>
        <w:rPr>
          <w:i/>
          <w:i/>
          <w:iCs/>
          <w:sz w:val="24"/>
          <w:szCs w:val="24"/>
        </w:rPr>
      </w:pPr>
      <w:r>
        <w:rPr/>
        <w:br/>
      </w:r>
      <w:r>
        <w:rPr>
          <w:b/>
          <w:sz w:val="28"/>
          <w:szCs w:val="28"/>
        </w:rPr>
        <w:t>2. Methods</w:t>
      </w:r>
    </w:p>
    <w:p>
      <w:pPr>
        <w:pStyle w:val="Normal"/>
        <w:spacing w:lineRule="auto" w:line="480"/>
        <w:rPr>
          <w:sz w:val="24"/>
          <w:szCs w:val="24"/>
        </w:rPr>
      </w:pPr>
      <w:r>
        <w:rPr>
          <w:b/>
          <w:sz w:val="24"/>
          <w:szCs w:val="24"/>
        </w:rPr>
        <w:t xml:space="preserve">2.1 </w:t>
      </w:r>
      <w:r>
        <w:rPr>
          <w:b/>
          <w:sz w:val="24"/>
          <w:szCs w:val="24"/>
        </w:rPr>
        <w:t>Thinning study</w:t>
      </w:r>
    </w:p>
    <w:p>
      <w:pPr>
        <w:pStyle w:val="Normal"/>
        <w:spacing w:lineRule="auto" w:line="480"/>
        <w:rPr>
          <w:sz w:val="24"/>
          <w:szCs w:val="24"/>
        </w:rPr>
      </w:pPr>
      <w:r>
        <w:rPr>
          <w:b/>
          <w:sz w:val="24"/>
          <w:szCs w:val="24"/>
        </w:rPr>
        <w:t>2.1.1 S</w:t>
      </w:r>
      <w:r>
        <w:rPr>
          <w:b/>
          <w:sz w:val="24"/>
          <w:szCs w:val="24"/>
        </w:rPr>
        <w:t>tudy area</w:t>
      </w:r>
      <w:r>
        <w:rPr>
          <w:sz w:val="24"/>
          <w:szCs w:val="24"/>
        </w:rPr>
        <w:br/>
      </w:r>
      <w:commentRangeStart w:id="6"/>
      <w:commentRangeStart w:id="7"/>
      <w:r>
        <w:rPr>
          <w:sz w:val="24"/>
          <w:szCs w:val="24"/>
        </w:rPr>
        <w:t xml:space="preserve">This </w:t>
      </w:r>
      <w:r>
        <w:rPr>
          <w:sz w:val="24"/>
          <w:szCs w:val="24"/>
        </w:rPr>
      </w:r>
      <w:commentRangeEnd w:id="7"/>
      <w:r>
        <w:commentReference w:id="7"/>
      </w:r>
      <w:r>
        <w:rPr>
          <w:sz w:val="24"/>
          <w:szCs w:val="24"/>
        </w:rPr>
      </w:r>
      <w:commentRangeEnd w:id="6"/>
      <w:r>
        <w:commentReference w:id="6"/>
      </w:r>
      <w:r>
        <w:rPr>
          <w:sz w:val="24"/>
          <w:szCs w:val="24"/>
        </w:rPr>
        <w:t>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sz w:val="24"/>
          <w:szCs w:val="24"/>
        </w:rPr>
        <w:t> (Rafn.) Sarg.), western redcedar (</w:t>
      </w:r>
      <w:hyperlink r:id="rId9" w:tgtFrame="Learn more about Thuja plicata from ScienceDirect's AI-generated Topic Pages">
        <w:r>
          <w:rPr>
            <w:i/>
            <w:iCs/>
            <w:sz w:val="24"/>
            <w:szCs w:val="24"/>
          </w:rPr>
          <w:t>Thuja plicata</w:t>
        </w:r>
      </w:hyperlink>
      <w:r>
        <w:rPr>
          <w:sz w:val="24"/>
          <w:szCs w:val="24"/>
        </w:rPr>
        <w:t> 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ex </w:t>
      </w:r>
      <w:hyperlink r:id="rId11" w:tgtFrame="David Don">
        <w:r>
          <w:rPr>
            <w:sz w:val="24"/>
            <w:szCs w:val="24"/>
          </w:rPr>
          <w:t>D. Don</w:t>
        </w:r>
      </w:hyperlink>
      <w:r>
        <w:rPr>
          <w:sz w:val="24"/>
          <w:szCs w:val="24"/>
        </w:rPr>
        <w:t>)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ex </w:t>
      </w:r>
      <w:hyperlink r:id="rId14" w:tgtFrame="William Jackson Hooker">
        <w:r>
          <w:rPr>
            <w:sz w:val="24"/>
            <w:szCs w:val="24"/>
          </w:rPr>
          <w:t>Hook.</w:t>
        </w:r>
      </w:hyperlink>
      <w:r>
        <w:rPr>
          <w:sz w:val="24"/>
          <w:szCs w:val="24"/>
        </w:rPr>
        <w:t>)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sz w:val="24"/>
          <w:szCs w:val="24"/>
        </w:rPr>
        <w:t>Fig. 1</w:t>
      </w:r>
      <w:r>
        <w:rPr>
          <w:sz w:val="24"/>
          <w:szCs w:val="24"/>
        </w:rPr>
        <w:t xml:space="preserve">). </w:t>
      </w:r>
    </w:p>
    <w:p>
      <w:pPr>
        <w:pStyle w:val="Normal"/>
        <w:spacing w:lineRule="auto" w:line="480"/>
        <w:rPr>
          <w:sz w:val="24"/>
          <w:szCs w:val="24"/>
        </w:rPr>
      </w:pPr>
      <w:r>
        <w:rPr>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color w:val="333333"/>
          <w:sz w:val="24"/>
          <w:szCs w:val="24"/>
          <w:vertAlign w:val="superscript"/>
        </w:rPr>
        <w:t>2</w:t>
      </w:r>
      <w:r>
        <w:rPr>
          <w:sz w:val="24"/>
          <w:szCs w:val="24"/>
        </w:rPr>
        <w:t>/ha of basal area. Treatment 3 (TMT 3) was made up of five stands that were thinned to 42.1 m</w:t>
      </w:r>
      <w:r>
        <w:rPr>
          <w:color w:val="333333"/>
          <w:sz w:val="24"/>
          <w:szCs w:val="24"/>
          <w:vertAlign w:val="superscript"/>
        </w:rPr>
        <w:t>2</w:t>
      </w:r>
      <w:r>
        <w:rPr>
          <w:sz w:val="24"/>
          <w:szCs w:val="24"/>
        </w:rPr>
        <w:t>/ha</w:t>
      </w:r>
      <w:r>
        <w:rPr>
          <w:color w:val="7030A0"/>
          <w:sz w:val="24"/>
          <w:szCs w:val="24"/>
        </w:rPr>
        <w:t xml:space="preserve"> </w:t>
      </w:r>
      <w:r>
        <w:rPr>
          <w:sz w:val="24"/>
          <w:szCs w:val="24"/>
        </w:rPr>
        <w:t xml:space="preserve">of basal area. </w:t>
      </w:r>
      <w:commentRangeStart w:id="8"/>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8"/>
      <w:r>
        <w:commentReference w:id="8"/>
      </w:r>
      <w:r>
        <w:rPr>
          <w:sz w:val="24"/>
          <w:szCs w:val="24"/>
        </w:rPr>
        <w:br/>
      </w:r>
    </w:p>
    <w:p>
      <w:pPr>
        <w:pStyle w:val="Normal"/>
        <w:spacing w:lineRule="auto" w:line="480"/>
        <w:rPr>
          <w:b/>
          <w:b/>
          <w:bCs/>
          <w:sz w:val="24"/>
          <w:szCs w:val="24"/>
        </w:rPr>
      </w:pPr>
      <w:r>
        <w:rPr>
          <w:b/>
          <w:bCs/>
          <w:sz w:val="24"/>
          <w:szCs w:val="24"/>
        </w:rPr>
        <w:t>2.</w:t>
      </w:r>
      <w:r>
        <w:rPr>
          <w:b/>
          <w:bCs/>
          <w:sz w:val="24"/>
          <w:szCs w:val="24"/>
        </w:rPr>
        <w:t>1.</w:t>
      </w:r>
      <w:r>
        <w:rPr>
          <w:b/>
          <w:bCs/>
          <w:sz w:val="24"/>
          <w:szCs w:val="24"/>
        </w:rPr>
        <w:t xml:space="preserve">2 Plot network </w:t>
      </w:r>
    </w:p>
    <w:p>
      <w:pPr>
        <w:pStyle w:val="Normal"/>
        <w:spacing w:lineRule="auto" w:line="480"/>
        <w:rPr>
          <w:sz w:val="24"/>
          <w:szCs w:val="24"/>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color w:val="24292E"/>
          <w:sz w:val="24"/>
          <w:szCs w:val="24"/>
          <w:highlight w:val="white"/>
        </w:rPr>
        <w:t>(ESRI, 2011)</w:t>
      </w:r>
      <w:r>
        <w:rPr>
          <w:sz w:val="24"/>
          <w:szCs w:val="24"/>
        </w:rPr>
        <w:t>. The DEM was downloaded from the USGS Earth Explorer online website (</w:t>
      </w:r>
      <w:hyperlink r:id="rId16">
        <w:r>
          <w:rPr>
            <w:rStyle w:val="InternetLink"/>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4160520"/>
            <wp:effectExtent l="0" t="0" r="0" b="0"/>
            <wp:docPr id="1"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pic:cNvPicPr>
                      <a:picLocks noChangeAspect="1" noChangeArrowheads="1"/>
                    </pic:cNvPicPr>
                  </pic:nvPicPr>
                  <pic:blipFill>
                    <a:blip r:embed="rId17"/>
                    <a:stretch>
                      <a:fillRect/>
                    </a:stretch>
                  </pic:blipFill>
                  <pic:spPr bwMode="auto">
                    <a:xfrm>
                      <a:off x="0" y="0"/>
                      <a:ext cx="5943600" cy="4160520"/>
                    </a:xfrm>
                    <a:prstGeom prst="rect">
                      <a:avLst/>
                    </a:prstGeom>
                  </pic:spPr>
                </pic:pic>
              </a:graphicData>
            </a:graphic>
          </wp:inline>
        </w:drawing>
      </w:r>
    </w:p>
    <w:p>
      <w:pPr>
        <w:pStyle w:val="Normal"/>
        <w:spacing w:lineRule="auto" w:line="480"/>
        <w:rPr>
          <w:sz w:val="24"/>
          <w:szCs w:val="24"/>
        </w:rPr>
      </w:pPr>
      <w:r>
        <w:rPr>
          <w:b/>
          <w:sz w:val="24"/>
          <w:szCs w:val="24"/>
        </w:rPr>
        <w:t xml:space="preserve">Figure 1: </w:t>
      </w:r>
      <w:r>
        <w:rPr>
          <w:sz w:val="24"/>
          <w:szCs w:val="24"/>
        </w:rPr>
        <w:t xml:space="preserve">Study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b/>
          <w:b/>
          <w:iCs/>
          <w:sz w:val="24"/>
          <w:szCs w:val="24"/>
        </w:rPr>
      </w:pPr>
      <w:r>
        <w:rPr>
          <w:b/>
          <w:iCs/>
          <w:sz w:val="24"/>
          <w:szCs w:val="24"/>
        </w:rPr>
        <w:t>2.</w:t>
      </w:r>
      <w:r>
        <w:rPr>
          <w:b/>
          <w:iCs/>
          <w:sz w:val="24"/>
          <w:szCs w:val="24"/>
        </w:rPr>
        <w:t>1.</w:t>
      </w:r>
      <w:r>
        <w:rPr>
          <w:b/>
          <w:iCs/>
          <w:sz w:val="24"/>
          <w:szCs w:val="24"/>
        </w:rPr>
        <w:t>3 Data collection</w:t>
      </w:r>
    </w:p>
    <w:p>
      <w:pPr>
        <w:pStyle w:val="Normal"/>
        <w:spacing w:lineRule="auto" w:line="480"/>
        <w:rPr>
          <w:sz w:val="24"/>
          <w:szCs w:val="24"/>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sz w:val="24"/>
          <w:szCs w:val="24"/>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rStyle w:val="InternetLink"/>
          <w:sz w:val="24"/>
          <w:szCs w:val="24"/>
        </w:rPr>
      </w:pPr>
      <w:r>
        <w:rPr>
          <w:b/>
          <w:iCs/>
          <w:sz w:val="24"/>
          <w:szCs w:val="24"/>
        </w:rPr>
        <w:t>2.</w:t>
      </w:r>
      <w:r>
        <w:rPr>
          <w:b/>
          <w:iCs/>
          <w:sz w:val="24"/>
          <w:szCs w:val="24"/>
        </w:rPr>
        <w:t>1.</w:t>
      </w:r>
      <w:r>
        <w:rPr>
          <w:b/>
          <w:iCs/>
          <w:sz w:val="24"/>
          <w:szCs w:val="24"/>
        </w:rPr>
        <w:t>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sz w:val="24"/>
            <w:szCs w:val="24"/>
          </w:rPr>
          <w:t>https://mcmurtrs.github.io/WoodsCreek/</w:t>
        </w:r>
      </w:hyperlink>
    </w:p>
    <w:p>
      <w:pPr>
        <w:pStyle w:val="Normal"/>
        <w:spacing w:lineRule="auto" w:line="480"/>
        <w:rPr>
          <w:rStyle w:val="InternetLink"/>
          <w:sz w:val="24"/>
          <w:szCs w:val="24"/>
        </w:rPr>
      </w:pPr>
      <w:r>
        <w:rPr>
          <w:sz w:val="24"/>
          <w:szCs w:val="24"/>
        </w:rPr>
      </w:r>
    </w:p>
    <w:p>
      <w:pPr>
        <w:pStyle w:val="Normal"/>
        <w:spacing w:lineRule="auto" w:line="480"/>
        <w:rPr>
          <w:b/>
          <w:b/>
          <w:i/>
          <w:i/>
          <w:sz w:val="24"/>
          <w:szCs w:val="24"/>
        </w:rPr>
      </w:pPr>
      <w:r>
        <w:rPr>
          <w:sz w:val="24"/>
          <w:szCs w:val="24"/>
        </w:rPr>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w:t>
      </w:r>
      <w:r>
        <w:rPr>
          <w:b/>
          <w:iCs/>
          <w:sz w:val="24"/>
          <w:szCs w:val="24"/>
        </w:rPr>
        <w:t>1.</w:t>
      </w:r>
      <w:r>
        <w:rPr>
          <w:b/>
          <w:iCs/>
          <w:sz w:val="24"/>
          <w:szCs w:val="24"/>
        </w:rPr>
        <w:t>5 Statistical analysis</w:t>
      </w:r>
    </w:p>
    <w:p>
      <w:pPr>
        <w:pStyle w:val="Normal"/>
        <w:tabs>
          <w:tab w:val="clear" w:pos="720"/>
          <w:tab w:val="left" w:pos="6390" w:leader="none"/>
        </w:tabs>
        <w:spacing w:lineRule="auto" w:line="480"/>
        <w:rPr>
          <w:color w:val="24292E"/>
          <w:sz w:val="24"/>
          <w:szCs w:val="24"/>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color w:val="24292E"/>
          <w:sz w:val="24"/>
          <w:szCs w:val="24"/>
          <w:highlight w:val="white"/>
        </w:rPr>
        <w:t xml:space="preserve"> Cumulative stand mortality was defined as number of confirmed dead trees from LRR over total number of trees within the stand. ANOVA tests were performed in R with packages</w:t>
      </w:r>
      <w:r>
        <w:rPr>
          <w:color w:val="24292E"/>
          <w:sz w:val="24"/>
          <w:szCs w:val="24"/>
        </w:rPr>
        <w:t xml:space="preserve"> tidyverse </w:t>
      </w:r>
      <w:r>
        <w:rPr/>
        <w:t>(Wickham, 2017) and ggplot2 (</w:t>
      </w:r>
      <w:r>
        <w:rPr>
          <w:color w:val="222222"/>
          <w:sz w:val="20"/>
          <w:szCs w:val="20"/>
          <w:shd w:fill="FFFFFF" w:val="clear"/>
        </w:rPr>
        <w:t>Wickham, 2009)</w:t>
      </w:r>
      <w:r>
        <w:rPr/>
        <w:t>.</w:t>
      </w:r>
      <w:r>
        <w:rPr>
          <w:color w:val="24292E"/>
          <w:sz w:val="24"/>
          <w:szCs w:val="24"/>
          <w:highlight w:val="white"/>
        </w:rPr>
        <w:br/>
        <w:t xml:space="preserve"> </w:t>
      </w:r>
      <w:r>
        <w:rPr>
          <w:color w:val="24292E"/>
          <w:sz w:val="24"/>
          <w:szCs w:val="24"/>
        </w:rPr>
        <w:tab/>
      </w:r>
    </w:p>
    <w:p>
      <w:pPr>
        <w:pStyle w:val="Normal"/>
        <w:tabs>
          <w:tab w:val="clear" w:pos="720"/>
          <w:tab w:val="left" w:pos="6390" w:leader="none"/>
        </w:tabs>
        <w:spacing w:lineRule="auto" w:line="480"/>
        <w:jc w:val="center"/>
        <w:rPr>
          <w:bCs/>
          <w:iCs/>
          <w:sz w:val="24"/>
          <w:szCs w:val="24"/>
        </w:rPr>
      </w:pPr>
      <w:r>
        <w:rPr>
          <w:rFonts w:cs="Segoe UI" w:ascii="Segoe UI" w:hAnsi="Segoe UI"/>
          <w:b/>
          <w:bCs/>
          <w:color w:val="24292F"/>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2.</w:t>
      </w:r>
      <w:r>
        <w:rPr>
          <w:b/>
          <w:sz w:val="24"/>
          <w:szCs w:val="24"/>
        </w:rPr>
        <w:t>1.</w:t>
      </w:r>
      <w:r>
        <w:rPr>
          <w:b/>
          <w:sz w:val="24"/>
          <w:szCs w:val="24"/>
        </w:rPr>
        <w:t>6 Forest Vegetation Simulator</w:t>
      </w:r>
    </w:p>
    <w:p>
      <w:pPr>
        <w:pStyle w:val="Normal"/>
        <w:shd w:val="clear" w:color="auto" w:fill="FFFFFF"/>
        <w:spacing w:lineRule="auto" w:line="480" w:before="0" w:after="240"/>
        <w:rPr>
          <w:b/>
          <w:b/>
          <w:sz w:val="24"/>
          <w:szCs w:val="24"/>
        </w:rPr>
      </w:pPr>
      <w:r>
        <w:rPr>
          <w:color w:val="24292E"/>
          <w:sz w:val="24"/>
          <w:szCs w:val="24"/>
        </w:rPr>
        <w:t>Individual stand files were each run within FVS version 3261, RV: 2020.10.10, through the graphical user interface. The variant used for all modelled runs was the Pacific Northwest Coast (PN) variant.</w:t>
      </w:r>
      <w:r>
        <w:rPr>
          <w:sz w:val="24"/>
          <w:szCs w:val="24"/>
        </w:rPr>
        <w:t xml:space="preserve"> Cleaned excel files were formatted to work with FVS and converted to a database file using the USFS Sqlite3 database builder website (</w:t>
      </w:r>
      <w:hyperlink r:id="rId19">
        <w:r>
          <w:rPr>
            <w:color w:val="1155CC"/>
            <w:sz w:val="24"/>
            <w:szCs w:val="24"/>
            <w:u w:val="single"/>
          </w:rPr>
          <w:t>https://forest.moscowfsl.wsu.edu/FVSDataConvert/</w:t>
        </w:r>
      </w:hyperlink>
      <w:r>
        <w:rPr>
          <w:sz w:val="24"/>
          <w:szCs w:val="24"/>
        </w:rPr>
        <w:t>). Underlying data errors were initially checked in FVS using the “stand summary data '' option. For the FVS analysis, two comparisons were made; the first comparison involved the observed data compared to a default run in FVS. The second comparison included a comparison of the observed data with the WRDM extension.</w:t>
        <w:b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color w:val="24292E"/>
          <w:sz w:val="24"/>
          <w:szCs w:val="24"/>
          <w:highlight w:val="white"/>
        </w:rPr>
        <w:t>(Maffei et al., 2008; Goheen and Thompson, 1998; Marsden, 1992a; Smith and Zhang ,1997).</w:t>
      </w:r>
    </w:p>
    <w:p>
      <w:pPr>
        <w:pStyle w:val="Normal"/>
        <w:spacing w:lineRule="auto" w:line="480"/>
        <w:rPr>
          <w:color w:val="21908C"/>
          <w:sz w:val="24"/>
          <w:szCs w:val="24"/>
          <w:highlight w:val="white"/>
        </w:rPr>
      </w:pPr>
      <w:r>
        <w:rPr>
          <w:iCs/>
          <w:color w:val="24292E"/>
          <w:sz w:val="24"/>
          <w:szCs w:val="24"/>
          <w:highlight w:val="white"/>
        </w:rPr>
        <w:t xml:space="preserve">For the WRDM, </w:t>
      </w:r>
      <w:r>
        <w:rPr>
          <w:i/>
          <w:color w:val="24292E"/>
          <w:sz w:val="24"/>
          <w:szCs w:val="24"/>
          <w:highlight w:val="white"/>
        </w:rPr>
        <w:t>Phellinus</w:t>
      </w:r>
      <w:r>
        <w:rPr>
          <w:color w:val="24292E"/>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color w:val="24292E"/>
          <w:sz w:val="24"/>
          <w:szCs w:val="24"/>
        </w:rPr>
        <w:t xml:space="preserve"> The proportion of plots within a stand in which LRR was detected was used as total root disease parameter. This was</w:t>
      </w:r>
      <w:r>
        <w:rPr>
          <w:color w:val="24292E"/>
          <w:sz w:val="24"/>
          <w:szCs w:val="24"/>
          <w:highlight w:val="white"/>
        </w:rPr>
        <w:t xml:space="preserve"> calculated by multiplying the percentage of plots within the stand where </w:t>
      </w:r>
      <w:r>
        <w:rPr>
          <w:i/>
          <w:color w:val="24292E"/>
          <w:sz w:val="24"/>
          <w:szCs w:val="24"/>
          <w:highlight w:val="white"/>
        </w:rPr>
        <w:t>Coniferiporia</w:t>
      </w:r>
      <w:r>
        <w:rPr>
          <w:color w:val="24292E"/>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pPr>
        <w:pStyle w:val="Normal"/>
        <w:spacing w:lineRule="auto" w:line="480"/>
        <w:rPr>
          <w:color w:val="24292E"/>
          <w:sz w:val="24"/>
          <w:szCs w:val="24"/>
          <w:highlight w:val="white"/>
        </w:rPr>
      </w:pPr>
      <w:r>
        <w:rPr>
          <w:color w:val="24292E"/>
          <w:sz w:val="24"/>
          <w:szCs w:val="24"/>
          <w:highlight w:val="white"/>
        </w:rPr>
      </w:r>
    </w:p>
    <w:p>
      <w:pPr>
        <w:pStyle w:val="Normal"/>
        <w:spacing w:lineRule="auto" w:line="480"/>
        <w:rPr>
          <w:color w:val="24292E"/>
          <w:sz w:val="24"/>
          <w:szCs w:val="24"/>
          <w:highlight w:val="white"/>
        </w:rPr>
      </w:pPr>
      <w:r>
        <w:rPr>
          <w:color w:val="24292E"/>
          <w:sz w:val="24"/>
          <w:szCs w:val="24"/>
          <w:highlight w:val="white"/>
        </w:rPr>
        <w:t>Parameters for the RRInit keyword, proportion of roots infected was estimated at a 0.4 overall and used as the standard. This was taking into consideration that 0.1 (10%) is 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r>
        <w:rPr>
          <w:i/>
          <w:color w:val="24292E"/>
          <w:sz w:val="24"/>
          <w:szCs w:val="24"/>
          <w:highlight w:val="white"/>
        </w:rPr>
        <w:t>Dendroctonus pseudotsugae</w:t>
      </w:r>
      <w:r>
        <w:rPr>
          <w:color w:val="24292E"/>
          <w:sz w:val="24"/>
          <w:szCs w:val="24"/>
          <w:highlight w:val="white"/>
        </w:rPr>
        <w:t xml:space="preserve"> Hopkins) occurs throughout the extensive range of </w:t>
      </w:r>
      <w:r>
        <w:rPr>
          <w:i w:val="false"/>
          <w:iCs w:val="false"/>
          <w:color w:val="434343"/>
          <w:sz w:val="24"/>
          <w:szCs w:val="24"/>
        </w:rPr>
        <w:t>Douglas-fir</w:t>
      </w:r>
      <w:r>
        <w:rPr>
          <w:i/>
          <w:color w:val="434343"/>
          <w:sz w:val="24"/>
          <w:szCs w:val="24"/>
        </w:rPr>
        <w:t xml:space="preserve"> </w:t>
      </w:r>
      <w:r>
        <w:rPr>
          <w:color w:val="434343"/>
          <w:sz w:val="24"/>
          <w:szCs w:val="24"/>
        </w:rPr>
        <w:t>(Furniss and Kegley, 2014).</w:t>
      </w:r>
      <w:r>
        <w:rPr>
          <w:i/>
          <w:color w:val="434343"/>
          <w:sz w:val="24"/>
          <w:szCs w:val="24"/>
        </w:rPr>
        <w:t xml:space="preserve"> </w:t>
      </w:r>
      <w:r>
        <w:rPr>
          <w:color w:val="24292E"/>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input data files, output data files, and log files can be found at </w:t>
      </w:r>
      <w:r>
        <w:rPr>
          <w:color w:val="1155CC"/>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2.</w:t>
      </w:r>
      <w:r>
        <w:rPr>
          <w:b/>
          <w:sz w:val="24"/>
          <w:szCs w:val="24"/>
        </w:rPr>
        <w:t>2</w:t>
      </w:r>
      <w:r>
        <w:rPr>
          <w:b/>
          <w:sz w:val="24"/>
          <w:szCs w:val="24"/>
        </w:rPr>
        <w:t xml:space="preserve"> </w:t>
      </w:r>
      <w:r>
        <w:rPr>
          <w:b/>
          <w:sz w:val="24"/>
          <w:szCs w:val="24"/>
        </w:rPr>
        <w:t>Hardwood rotation study</w:t>
      </w:r>
    </w:p>
    <w:p>
      <w:pPr>
        <w:pStyle w:val="Normal"/>
        <w:spacing w:lineRule="auto" w:line="480"/>
        <w:rPr>
          <w:sz w:val="24"/>
          <w:szCs w:val="24"/>
        </w:rPr>
      </w:pPr>
      <w:r>
        <w:rPr>
          <w:b/>
          <w:sz w:val="24"/>
          <w:szCs w:val="24"/>
        </w:rPr>
        <w:t>2.2.1 S</w:t>
      </w:r>
      <w:r>
        <w:rPr>
          <w:b/>
          <w:sz w:val="24"/>
          <w:szCs w:val="24"/>
        </w:rPr>
        <w:t>tudy area</w:t>
      </w:r>
    </w:p>
    <w:p>
      <w:pPr>
        <w:pStyle w:val="Normal"/>
        <w:bidi w:val="0"/>
        <w:spacing w:lineRule="auto" w:line="480"/>
        <w:jc w:val="left"/>
        <w:rPr>
          <w:rFonts w:ascii="Arial" w:hAnsi="Arial"/>
          <w:b w:val="false"/>
          <w:b w:val="false"/>
          <w:bCs w:val="false"/>
          <w:sz w:val="24"/>
          <w:szCs w:val="24"/>
        </w:rPr>
      </w:pPr>
      <w:r>
        <w:rPr>
          <w:rFonts w:ascii="Arial" w:hAnsi="Arial"/>
          <w:b w:val="false"/>
          <w:bCs w:val="false"/>
          <w:sz w:val="24"/>
          <w:szCs w:val="24"/>
        </w:rPr>
        <w:t xml:space="preserve">A 35 acre stand of 40 year old Douglas-fir, at he time owned by International Paper Co., was selected based on high incidence of laminated root rot (LRR). The stand </w:t>
      </w:r>
      <w:r>
        <w:rPr>
          <w:rFonts w:eastAsia="NSimSun" w:cs="Lucida Sans" w:ascii="Arial" w:hAnsi="Arial"/>
          <w:b w:val="false"/>
          <w:bCs w:val="false"/>
          <w:color w:val="auto"/>
          <w:kern w:val="2"/>
          <w:sz w:val="24"/>
          <w:szCs w:val="24"/>
          <w:lang w:val="en-US" w:eastAsia="zh-CN" w:bidi="hi-IN"/>
        </w:rPr>
        <w:t>lay</w:t>
      </w:r>
      <w:r>
        <w:rPr>
          <w:rFonts w:ascii="Arial" w:hAnsi="Arial"/>
          <w:b w:val="false"/>
          <w:bCs w:val="false"/>
          <w:sz w:val="24"/>
          <w:szCs w:val="24"/>
        </w:rPr>
        <w:t xml:space="preserve"> on a NE slope at about 1800’ elevation near the town of Apiary in NW Oregon. In March of 1973, the experimental </w:t>
      </w:r>
      <w:r>
        <w:rPr>
          <w:rFonts w:eastAsia="NSimSun" w:cs="Lucida Sans" w:ascii="Arial" w:hAnsi="Arial"/>
          <w:b w:val="false"/>
          <w:bCs w:val="false"/>
          <w:color w:val="auto"/>
          <w:kern w:val="2"/>
          <w:sz w:val="24"/>
          <w:szCs w:val="24"/>
          <w:lang w:val="en-US" w:eastAsia="zh-CN" w:bidi="hi-IN"/>
        </w:rPr>
        <w:t>area</w:t>
      </w:r>
      <w:r>
        <w:rPr>
          <w:rFonts w:ascii="Arial" w:hAnsi="Arial"/>
          <w:b w:val="false"/>
          <w:bCs w:val="false"/>
          <w:sz w:val="24"/>
          <w:szCs w:val="24"/>
        </w:rPr>
        <w:t xml:space="preserve"> was delimited by establishing a grid of stakes at 2-chain (132’) intervals running NE-SW and S</w:t>
      </w:r>
      <w:r>
        <w:rPr>
          <w:rFonts w:eastAsia="NSimSun" w:cs="Lucida Sans" w:ascii="Arial" w:hAnsi="Arial"/>
          <w:b w:val="false"/>
          <w:bCs w:val="false"/>
          <w:color w:val="auto"/>
          <w:kern w:val="2"/>
          <w:sz w:val="24"/>
          <w:szCs w:val="24"/>
          <w:lang w:val="en-US" w:eastAsia="zh-CN" w:bidi="hi-IN"/>
        </w:rPr>
        <w:t>E-NW</w:t>
      </w:r>
      <w:r>
        <w:rPr>
          <w:rFonts w:ascii="Arial" w:hAnsi="Arial"/>
          <w:b w:val="false"/>
          <w:bCs w:val="false"/>
          <w:sz w:val="24"/>
          <w:szCs w:val="24"/>
        </w:rPr>
        <w:t xml:space="preserve">. Each grid block was surveyed for evidence of laminated root rot, with each stump, log, or tree showing signs or symptoms recorded along with its diameter, </w:t>
      </w:r>
      <w:r>
        <w:rPr>
          <w:rFonts w:eastAsia="NSimSun" w:cs="Lucida Sans" w:ascii="Arial" w:hAnsi="Arial"/>
          <w:b w:val="false"/>
          <w:bCs w:val="false"/>
          <w:color w:val="auto"/>
          <w:kern w:val="2"/>
          <w:sz w:val="24"/>
          <w:szCs w:val="24"/>
          <w:lang w:val="en-US" w:eastAsia="zh-CN" w:bidi="hi-IN"/>
        </w:rPr>
        <w:t>location relative to chain grid,</w:t>
      </w:r>
      <w:r>
        <w:rPr>
          <w:rFonts w:ascii="Arial" w:hAnsi="Arial"/>
          <w:b w:val="false"/>
          <w:bCs w:val="false"/>
          <w:sz w:val="24"/>
          <w:szCs w:val="24"/>
        </w:rPr>
        <w:t xml:space="preserve"> and approximate date of </w:t>
      </w:r>
      <w:r>
        <w:rPr>
          <w:rFonts w:eastAsia="NSimSun" w:cs="Lucida Sans" w:ascii="Arial" w:hAnsi="Arial"/>
          <w:b w:val="false"/>
          <w:bCs w:val="false"/>
          <w:color w:val="auto"/>
          <w:kern w:val="2"/>
          <w:sz w:val="24"/>
          <w:szCs w:val="24"/>
          <w:lang w:val="en-US" w:eastAsia="zh-CN" w:bidi="hi-IN"/>
        </w:rPr>
        <w:t>mortality</w:t>
      </w:r>
      <w:r>
        <w:rPr>
          <w:rFonts w:ascii="Arial" w:hAnsi="Arial"/>
          <w:b w:val="false"/>
          <w:bCs w:val="false"/>
          <w:sz w:val="24"/>
          <w:szCs w:val="24"/>
        </w:rPr>
        <w:t xml:space="preserve">. Signs and symptoms included </w:t>
      </w:r>
      <w:r>
        <w:rPr>
          <w:rFonts w:eastAsia="NSimSun" w:cs="Lucida Sans" w:ascii="Arial" w:hAnsi="Arial"/>
          <w:b w:val="false"/>
          <w:bCs w:val="false"/>
          <w:color w:val="auto"/>
          <w:kern w:val="2"/>
          <w:sz w:val="24"/>
          <w:szCs w:val="24"/>
          <w:lang w:val="en-US" w:eastAsia="zh-CN" w:bidi="hi-IN"/>
        </w:rPr>
        <w:t>crescent-shaped decay pockets extending from bole to roots</w:t>
      </w:r>
      <w:r>
        <w:rPr>
          <w:rFonts w:ascii="Arial" w:hAnsi="Arial"/>
          <w:b w:val="false"/>
          <w:bCs w:val="false"/>
          <w:sz w:val="24"/>
          <w:szCs w:val="24"/>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ascii="Arial" w:hAnsi="Arial"/>
          <w:b w:val="false"/>
          <w:bCs w:val="false"/>
          <w:color w:val="auto"/>
          <w:kern w:val="2"/>
          <w:sz w:val="24"/>
          <w:szCs w:val="24"/>
          <w:lang w:val="en-US" w:eastAsia="zh-CN" w:bidi="hi-IN"/>
        </w:rPr>
        <w:t>S</w:t>
      </w:r>
      <w:r>
        <w:rPr>
          <w:rFonts w:ascii="Arial" w:hAnsi="Arial"/>
          <w:b w:val="false"/>
          <w:bCs w:val="false"/>
          <w:sz w:val="24"/>
          <w:szCs w:val="24"/>
        </w:rPr>
        <w:t xml:space="preserve">lash </w:t>
      </w:r>
      <w:r>
        <w:rPr>
          <w:rFonts w:eastAsia="NSimSun" w:cs="Lucida Sans" w:ascii="Arial" w:hAnsi="Arial"/>
          <w:b w:val="false"/>
          <w:bCs w:val="false"/>
          <w:color w:val="auto"/>
          <w:kern w:val="2"/>
          <w:sz w:val="24"/>
          <w:szCs w:val="24"/>
          <w:lang w:val="en-US" w:eastAsia="zh-CN" w:bidi="hi-IN"/>
        </w:rPr>
        <w:t xml:space="preserve">was broadcast burned in </w:t>
      </w:r>
      <w:r>
        <w:rPr>
          <w:rFonts w:ascii="Arial" w:hAnsi="Arial"/>
          <w:b w:val="false"/>
          <w:bCs w:val="false"/>
          <w:sz w:val="24"/>
          <w:szCs w:val="24"/>
        </w:rPr>
        <w:t xml:space="preserve">the spring of 1974.  </w:t>
      </w:r>
    </w:p>
    <w:p>
      <w:pPr>
        <w:pStyle w:val="Normal"/>
        <w:spacing w:lineRule="auto" w:line="480"/>
        <w:rPr>
          <w:b/>
          <w:b/>
          <w:bCs/>
          <w:sz w:val="24"/>
          <w:szCs w:val="24"/>
        </w:rPr>
      </w:pPr>
      <w:r>
        <w:rPr>
          <w:sz w:val="24"/>
          <w:szCs w:val="24"/>
        </w:rPr>
      </w:r>
    </w:p>
    <w:p>
      <w:pPr>
        <w:pStyle w:val="Normal"/>
        <w:spacing w:lineRule="auto" w:line="480"/>
        <w:rPr>
          <w:b/>
          <w:b/>
          <w:bCs/>
          <w:sz w:val="24"/>
          <w:szCs w:val="24"/>
        </w:rPr>
      </w:pPr>
      <w:r>
        <w:rPr>
          <w:b/>
          <w:bCs/>
          <w:sz w:val="24"/>
          <w:szCs w:val="24"/>
        </w:rPr>
        <w:t>2.</w:t>
      </w:r>
      <w:r>
        <w:rPr>
          <w:b/>
          <w:bCs/>
          <w:sz w:val="24"/>
          <w:szCs w:val="24"/>
        </w:rPr>
        <w:t>2.</w:t>
      </w:r>
      <w:r>
        <w:rPr>
          <w:b/>
          <w:bCs/>
          <w:sz w:val="24"/>
          <w:szCs w:val="24"/>
        </w:rPr>
        <w:t>2 Plot network</w:t>
      </w:r>
    </w:p>
    <w:p>
      <w:pPr>
        <w:pStyle w:val="Normal"/>
        <w:bidi w:val="0"/>
        <w:spacing w:lineRule="auto" w:line="480"/>
        <w:jc w:val="left"/>
        <w:rPr>
          <w:rFonts w:ascii="Arial" w:hAnsi="Arial"/>
          <w:sz w:val="24"/>
          <w:szCs w:val="24"/>
        </w:rPr>
      </w:pPr>
      <w:r>
        <w:rPr>
          <w:rFonts w:ascii="Arial" w:hAnsi="Arial"/>
          <w:sz w:val="24"/>
          <w:szCs w:val="24"/>
        </w:rPr>
        <w:t>Twenty five</w:t>
      </w:r>
      <w:r>
        <w:rPr>
          <w:rFonts w:ascii="Arial" w:hAnsi="Arial"/>
          <w:sz w:val="24"/>
          <w:szCs w:val="24"/>
        </w:rPr>
        <w:t xml:space="preserve"> plots were established and </w:t>
      </w:r>
      <w:r>
        <w:rPr>
          <w:rFonts w:eastAsia="NSimSun" w:cs="Lucida Sans" w:ascii="Arial" w:hAnsi="Arial"/>
          <w:color w:val="auto"/>
          <w:kern w:val="2"/>
          <w:sz w:val="24"/>
          <w:szCs w:val="24"/>
          <w:lang w:val="en-US" w:eastAsia="zh-CN" w:bidi="hi-IN"/>
        </w:rPr>
        <w:t xml:space="preserve">blocked </w:t>
      </w:r>
      <w:r>
        <w:rPr>
          <w:rFonts w:ascii="Arial" w:hAnsi="Arial"/>
          <w:sz w:val="24"/>
          <w:szCs w:val="24"/>
        </w:rPr>
        <w:t xml:space="preserve">by incidence and distribution of LRR. One </w:t>
      </w:r>
      <w:r>
        <w:rPr>
          <w:rFonts w:eastAsia="NSimSun" w:cs="Lucida Sans" w:ascii="Arial" w:hAnsi="Arial"/>
          <w:color w:val="auto"/>
          <w:kern w:val="2"/>
          <w:sz w:val="24"/>
          <w:szCs w:val="24"/>
          <w:lang w:val="en-US" w:eastAsia="zh-CN" w:bidi="hi-IN"/>
        </w:rPr>
        <w:t>block</w:t>
      </w:r>
      <w:r>
        <w:rPr>
          <w:rFonts w:ascii="Arial" w:hAnsi="Arial"/>
          <w:sz w:val="24"/>
          <w:szCs w:val="24"/>
        </w:rPr>
        <w:t xml:space="preserve"> included the five plots at the eastern corner of the site based on high incidence and density of LRR in the area. The remaining 20 plots were assigned to an additional 4 </w:t>
      </w:r>
      <w:r>
        <w:rPr>
          <w:rFonts w:eastAsia="NSimSun" w:cs="Lucida Sans" w:ascii="Arial" w:hAnsi="Arial"/>
          <w:color w:val="auto"/>
          <w:kern w:val="2"/>
          <w:sz w:val="24"/>
          <w:szCs w:val="24"/>
          <w:lang w:val="en-US" w:eastAsia="zh-CN" w:bidi="hi-IN"/>
        </w:rPr>
        <w:t>blocks</w:t>
      </w:r>
      <w:r>
        <w:rPr>
          <w:rFonts w:ascii="Arial" w:hAnsi="Arial"/>
          <w:sz w:val="24"/>
          <w:szCs w:val="24"/>
        </w:rPr>
        <w:t xml:space="preserve"> based on disease incidence. </w:t>
      </w:r>
      <w:r>
        <w:rPr>
          <w:rFonts w:eastAsia="NSimSun" w:cs="Lucida Sans" w:ascii="Arial" w:hAnsi="Arial"/>
          <w:color w:val="auto"/>
          <w:kern w:val="2"/>
          <w:sz w:val="24"/>
          <w:szCs w:val="24"/>
          <w:lang w:val="en-US" w:eastAsia="zh-CN" w:bidi="hi-IN"/>
        </w:rPr>
        <w:t>Five</w:t>
      </w:r>
      <w:r>
        <w:rPr>
          <w:rFonts w:ascii="Arial" w:hAnsi="Arial"/>
          <w:sz w:val="24"/>
          <w:szCs w:val="24"/>
        </w:rPr>
        <w:t xml:space="preserve"> treatments were randomly assigned to plots in each disease severity </w:t>
      </w:r>
      <w:r>
        <w:rPr>
          <w:rFonts w:eastAsia="NSimSun" w:cs="Lucida Sans" w:ascii="Arial" w:hAnsi="Arial"/>
          <w:color w:val="auto"/>
          <w:kern w:val="2"/>
          <w:sz w:val="24"/>
          <w:szCs w:val="24"/>
          <w:lang w:val="en-US" w:eastAsia="zh-CN" w:bidi="hi-IN"/>
        </w:rPr>
        <w:t>block</w:t>
      </w:r>
      <w:r>
        <w:rPr>
          <w:rFonts w:ascii="Arial" w:hAnsi="Arial"/>
          <w:sz w:val="24"/>
          <w:szCs w:val="24"/>
        </w:rPr>
        <w:t xml:space="preserve">: 1) </w:t>
      </w:r>
      <w:r>
        <w:rPr>
          <w:rFonts w:eastAsia="NSimSun" w:cs="Lucida Sans" w:ascii="Arial" w:hAnsi="Arial"/>
          <w:color w:val="auto"/>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1/20 acre (26.3’ radius) survey subplots were established within in each plot to include the maximum number of </w:t>
      </w:r>
      <w:r>
        <w:rPr>
          <w:rFonts w:eastAsia="NSimSun" w:cs="Lucida Sans" w:ascii="Arial" w:hAnsi="Arial"/>
          <w:i/>
          <w:iCs/>
          <w:color w:val="auto"/>
          <w:kern w:val="2"/>
          <w:sz w:val="24"/>
          <w:szCs w:val="24"/>
          <w:lang w:val="en-US" w:eastAsia="zh-CN" w:bidi="hi-IN"/>
        </w:rPr>
        <w:t>C. sulphurascens</w:t>
      </w:r>
      <w:r>
        <w:rPr>
          <w:rFonts w:eastAsia="NSimSun" w:cs="Lucida Sans" w:ascii="Arial" w:hAnsi="Arial"/>
          <w:color w:val="auto"/>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pPr>
        <w:pStyle w:val="Normal"/>
        <w:bidi w:val="0"/>
        <w:spacing w:lineRule="auto" w:line="480"/>
        <w:jc w:val="left"/>
        <w:rPr>
          <w:rFonts w:ascii="Arial" w:hAnsi="Arial" w:eastAsia="NSimSun" w:cs="Lucida Sans"/>
          <w:color w:val="auto"/>
          <w:kern w:val="2"/>
          <w:sz w:val="24"/>
          <w:szCs w:val="24"/>
          <w:lang w:val="en-US" w:eastAsia="zh-CN" w:bidi="hi-IN"/>
        </w:rPr>
      </w:pPr>
      <w:r>
        <w:rPr>
          <w:rFonts w:eastAsia="NSimSun" w:cs="Lucida Sans" w:ascii="Arial" w:hAnsi="Arial"/>
          <w:color w:val="auto"/>
          <w:kern w:val="2"/>
          <w:sz w:val="24"/>
          <w:szCs w:val="24"/>
          <w:lang w:val="en-US" w:eastAsia="zh-CN" w:bidi="hi-IN"/>
        </w:rPr>
      </w:r>
    </w:p>
    <w:p>
      <w:pPr>
        <w:pStyle w:val="Normal"/>
        <w:bidi w:val="0"/>
        <w:spacing w:lineRule="auto" w:line="480"/>
        <w:jc w:val="left"/>
        <w:rPr>
          <w:rFonts w:ascii="Arial" w:hAnsi="Arial"/>
          <w:sz w:val="24"/>
          <w:szCs w:val="24"/>
        </w:rPr>
      </w:pPr>
      <w:r>
        <w:rPr>
          <w:rFonts w:eastAsia="NSimSun" w:cs="Lucida Sans" w:ascii="Arial" w:hAnsi="Arial"/>
          <w:color w:val="auto"/>
          <w:kern w:val="2"/>
          <w:sz w:val="24"/>
          <w:szCs w:val="24"/>
          <w:lang w:val="en-US" w:eastAsia="zh-CN" w:bidi="hi-IN"/>
        </w:rPr>
        <w:t>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visa versa. Dead seedlings were replaced for two years within and near subplots to maintain stocking levels during establishment.</w:t>
      </w:r>
    </w:p>
    <w:p>
      <w:pPr>
        <w:pStyle w:val="Normal"/>
        <w:bidi w:val="0"/>
        <w:spacing w:lineRule="auto" w:line="480"/>
        <w:jc w:val="left"/>
        <w:rPr>
          <w:rFonts w:eastAsia="NSimSun" w:cs="Lucida Sans"/>
          <w:i/>
          <w:i/>
          <w:iCs/>
          <w:color w:val="auto"/>
          <w:kern w:val="2"/>
          <w:lang w:val="en-US" w:eastAsia="zh-CN" w:bidi="hi-IN"/>
        </w:rPr>
      </w:pPr>
      <w:r>
        <w:rPr>
          <w:rFonts w:ascii="Arial" w:hAnsi="Arial"/>
          <w:sz w:val="24"/>
          <w:szCs w:val="24"/>
        </w:rPr>
      </w:r>
    </w:p>
    <w:p>
      <w:pPr>
        <w:pStyle w:val="Normal"/>
        <w:bidi w:val="0"/>
        <w:spacing w:lineRule="auto" w:line="480"/>
        <w:jc w:val="left"/>
        <w:rPr>
          <w:rFonts w:ascii="Arial" w:hAnsi="Arial"/>
          <w:sz w:val="24"/>
          <w:szCs w:val="24"/>
        </w:rPr>
      </w:pPr>
      <w:r>
        <w:rPr>
          <w:rFonts w:eastAsia="NSimSun" w:cs="Lucida Sans" w:ascii="Arial" w:hAnsi="Arial"/>
          <w:color w:val="auto"/>
          <w:kern w:val="2"/>
          <w:sz w:val="24"/>
          <w:szCs w:val="24"/>
          <w:lang w:val="en-US" w:eastAsia="zh-CN" w:bidi="hi-IN"/>
        </w:rPr>
        <w:t>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8’ x 8’ spacing and replacement of initial mortality. The site was clearcut in 2020 when the first Douglas-fir replanted were 45 years old.</w:t>
      </w:r>
    </w:p>
    <w:p>
      <w:pPr>
        <w:pStyle w:val="Normal"/>
        <w:bidi w:val="0"/>
        <w:spacing w:lineRule="auto" w:line="480"/>
        <w:jc w:val="left"/>
        <w:rPr>
          <w:rFonts w:eastAsia="NSimSun" w:cs="Lucida Sans"/>
          <w:color w:val="auto"/>
          <w:kern w:val="2"/>
          <w:lang w:val="en-US" w:eastAsia="zh-CN" w:bidi="hi-IN"/>
        </w:rPr>
      </w:pPr>
      <w:r>
        <w:rPr>
          <w:rFonts w:eastAsia="NSimSun" w:cs="Lucida Sans" w:ascii="Arial" w:hAnsi="Arial"/>
          <w:color w:val="auto"/>
          <w:kern w:val="2"/>
          <w:sz w:val="24"/>
          <w:szCs w:val="24"/>
          <w:lang w:val="en-US" w:eastAsia="zh-CN" w:bidi="hi-IN"/>
        </w:rPr>
      </w:r>
    </w:p>
    <w:p>
      <w:pPr>
        <w:pStyle w:val="Normal"/>
        <w:bidi w:val="0"/>
        <w:spacing w:lineRule="auto" w:line="480"/>
        <w:jc w:val="left"/>
        <w:rPr>
          <w:rFonts w:ascii="Arial" w:hAnsi="Arial"/>
          <w:sz w:val="24"/>
          <w:szCs w:val="24"/>
        </w:rPr>
      </w:pPr>
      <w:commentRangeStart w:id="9"/>
      <w:r>
        <w:rPr>
          <w:rFonts w:eastAsia="NSimSun" w:cs="Lucida Sans" w:ascii="Arial" w:hAnsi="Arial"/>
          <w:b w:val="false"/>
          <w:bCs w:val="false"/>
          <w:color w:val="auto"/>
          <w:kern w:val="2"/>
          <w:sz w:val="24"/>
          <w:szCs w:val="24"/>
          <w:lang w:val="en-US" w:eastAsia="zh-CN" w:bidi="hi-IN"/>
        </w:rPr>
        <w:t>IPC sold site to Stimpson Lumber Company in 1993. Sold to Weyerhauser in 20??</w:t>
      </w:r>
      <w:commentRangeEnd w:id="9"/>
      <w:r>
        <w:commentReference w:id="9"/>
      </w:r>
      <w:r>
        <w:rPr>
          <w:rFonts w:eastAsia="NSimSun" w:cs="Lucida Sans" w:ascii="Arial" w:hAnsi="Arial"/>
          <w:b w:val="false"/>
          <w:bCs w:val="false"/>
          <w:color w:val="auto"/>
          <w:kern w:val="2"/>
          <w:sz w:val="24"/>
          <w:szCs w:val="24"/>
          <w:lang w:val="en-US" w:eastAsia="zh-CN" w:bidi="hi-IN"/>
        </w:rPr>
      </w:r>
    </w:p>
    <w:p>
      <w:pPr>
        <w:pStyle w:val="Normal"/>
        <w:spacing w:lineRule="auto" w:line="480"/>
        <w:rPr>
          <w:b/>
          <w:b/>
          <w:iCs/>
          <w:sz w:val="24"/>
          <w:szCs w:val="24"/>
        </w:rPr>
      </w:pPr>
      <w:r>
        <w:rPr>
          <w:b/>
          <w:iCs/>
          <w:sz w:val="24"/>
          <w:szCs w:val="24"/>
        </w:rPr>
        <w:t>2.</w:t>
      </w:r>
      <w:r>
        <w:rPr>
          <w:b/>
          <w:iCs/>
          <w:sz w:val="24"/>
          <w:szCs w:val="24"/>
        </w:rPr>
        <w:t>2.</w:t>
      </w:r>
      <w:r>
        <w:rPr>
          <w:b/>
          <w:iCs/>
          <w:sz w:val="24"/>
          <w:szCs w:val="24"/>
        </w:rPr>
        <w:t>3 Data collection</w:t>
      </w:r>
    </w:p>
    <w:p>
      <w:pPr>
        <w:pStyle w:val="Normal"/>
        <w:bidi w:val="0"/>
        <w:spacing w:lineRule="auto" w:line="480"/>
        <w:jc w:val="left"/>
        <w:rPr>
          <w:rFonts w:ascii="Arial" w:hAnsi="Arial"/>
          <w:sz w:val="24"/>
          <w:szCs w:val="24"/>
        </w:rPr>
      </w:pPr>
      <w:r>
        <w:rPr>
          <w:rFonts w:eastAsia="NSimSun" w:cs="Lucida Sans" w:ascii="Arial" w:hAnsi="Arial"/>
          <w:color w:val="auto"/>
          <w:kern w:val="2"/>
          <w:sz w:val="24"/>
          <w:szCs w:val="24"/>
          <w:lang w:val="en-US" w:eastAsia="zh-CN" w:bidi="hi-IN"/>
        </w:rPr>
        <w:t xml:space="preserve">Tree positions were mapped,  </w:t>
      </w:r>
      <w:r>
        <w:rPr>
          <w:rFonts w:eastAsia="NSimSun" w:cs="Lucida Sans" w:ascii="Arial" w:hAnsi="Arial"/>
          <w:color w:val="auto"/>
          <w:kern w:val="2"/>
          <w:sz w:val="24"/>
          <w:szCs w:val="24"/>
          <w:lang w:val="en-US" w:eastAsia="zh-CN" w:bidi="hi-IN"/>
        </w:rPr>
        <w:t>diameters</w:t>
      </w:r>
      <w:r>
        <w:rPr>
          <w:rFonts w:eastAsia="NSimSun" w:cs="Lucida Sans" w:ascii="Arial" w:hAnsi="Arial"/>
          <w:color w:val="auto"/>
          <w:kern w:val="2"/>
          <w:sz w:val="24"/>
          <w:szCs w:val="24"/>
          <w:lang w:val="en-US" w:eastAsia="zh-CN" w:bidi="hi-IN"/>
        </w:rPr>
        <w:t xml:space="preserve"> measured, and condition</w:t>
      </w:r>
      <w:r>
        <w:rPr>
          <w:rFonts w:eastAsia="NSimSun" w:cs="Lucida Sans" w:ascii="Arial" w:hAnsi="Arial"/>
          <w:color w:val="auto"/>
          <w:kern w:val="2"/>
          <w:sz w:val="24"/>
          <w:szCs w:val="24"/>
          <w:lang w:val="en-US" w:eastAsia="zh-CN" w:bidi="hi-IN"/>
        </w:rPr>
        <w:t>s</w:t>
      </w:r>
      <w:r>
        <w:rPr>
          <w:rFonts w:eastAsia="NSimSun" w:cs="Lucida Sans" w:ascii="Arial" w:hAnsi="Arial"/>
          <w:color w:val="auto"/>
          <w:kern w:val="2"/>
          <w:sz w:val="24"/>
          <w:szCs w:val="24"/>
          <w:lang w:val="en-US" w:eastAsia="zh-CN" w:bidi="hi-IN"/>
        </w:rPr>
        <w:t xml:space="preserve"> recorded multiple times across the study: 1986 (continuous Douglas-fir plots only); 1995 (Douglas-fir following 12-year hardwood rotation plots); 2011 (all plots); and 2020 (all plots).</w:t>
      </w:r>
    </w:p>
    <w:p>
      <w:pPr>
        <w:pStyle w:val="Normal"/>
        <w:bidi w:val="0"/>
        <w:spacing w:lineRule="auto" w:line="480"/>
        <w:jc w:val="left"/>
        <w:rPr>
          <w:rFonts w:ascii="Arial" w:hAnsi="Arial" w:eastAsia="NSimSun" w:cs="Lucida Sans"/>
          <w:b w:val="false"/>
          <w:b w:val="false"/>
          <w:bCs w:val="false"/>
          <w:color w:val="auto"/>
          <w:kern w:val="2"/>
          <w:sz w:val="24"/>
          <w:szCs w:val="24"/>
          <w:lang w:val="en-US" w:eastAsia="zh-CN" w:bidi="hi-IN"/>
        </w:rPr>
      </w:pPr>
      <w:r>
        <w:rPr>
          <w:rFonts w:eastAsia="NSimSun" w:cs="Lucida Sans" w:ascii="Arial" w:hAnsi="Arial"/>
          <w:b w:val="false"/>
          <w:bCs w:val="false"/>
          <w:color w:val="auto"/>
          <w:kern w:val="2"/>
          <w:sz w:val="24"/>
          <w:szCs w:val="24"/>
          <w:lang w:val="en-US" w:eastAsia="zh-CN" w:bidi="hi-IN"/>
        </w:rPr>
      </w:r>
    </w:p>
    <w:p>
      <w:pPr>
        <w:pStyle w:val="Normal"/>
        <w:spacing w:lineRule="auto" w:line="480"/>
        <w:rPr>
          <w:rStyle w:val="InternetLink"/>
          <w:sz w:val="24"/>
          <w:szCs w:val="24"/>
        </w:rPr>
      </w:pPr>
      <w:r>
        <w:rPr>
          <w:b/>
          <w:bCs/>
          <w:iCs/>
          <w:sz w:val="24"/>
          <w:szCs w:val="24"/>
        </w:rPr>
        <w:t>2.</w:t>
      </w:r>
      <w:r>
        <w:rPr>
          <w:b/>
          <w:bCs/>
          <w:iCs/>
          <w:sz w:val="24"/>
          <w:szCs w:val="24"/>
        </w:rPr>
        <w:t>2.</w:t>
      </w:r>
      <w:r>
        <w:rPr>
          <w:b/>
          <w:bCs/>
          <w:iCs/>
          <w:sz w:val="24"/>
          <w:szCs w:val="24"/>
        </w:rPr>
        <w:t>4 Data cleaning and analysis</w:t>
      </w:r>
    </w:p>
    <w:p>
      <w:pPr>
        <w:pStyle w:val="Normal"/>
        <w:spacing w:lineRule="auto" w:line="480"/>
        <w:rPr>
          <w:b w:val="false"/>
          <w:b w:val="false"/>
          <w:bCs w:val="false"/>
          <w:sz w:val="24"/>
          <w:szCs w:val="24"/>
        </w:rPr>
      </w:pPr>
      <w:r>
        <w:rPr>
          <w:b w:val="false"/>
          <w:bCs w:val="false"/>
          <w:sz w:val="24"/>
          <w:szCs w:val="24"/>
        </w:rPr>
      </w:r>
    </w:p>
    <w:p>
      <w:pPr>
        <w:pStyle w:val="Normal"/>
        <w:tabs>
          <w:tab w:val="clear" w:pos="720"/>
          <w:tab w:val="left" w:pos="6390" w:leader="none"/>
        </w:tabs>
        <w:spacing w:lineRule="auto" w:line="480"/>
        <w:rPr>
          <w:b/>
          <w:b/>
          <w:iCs/>
          <w:sz w:val="24"/>
          <w:szCs w:val="24"/>
        </w:rPr>
      </w:pPr>
      <w:r>
        <w:rPr>
          <w:b/>
          <w:iCs/>
          <w:sz w:val="24"/>
          <w:szCs w:val="24"/>
        </w:rPr>
        <w:t>2.</w:t>
      </w:r>
      <w:r>
        <w:rPr>
          <w:b/>
          <w:iCs/>
          <w:sz w:val="24"/>
          <w:szCs w:val="24"/>
        </w:rPr>
        <w:t>1.</w:t>
      </w:r>
      <w:r>
        <w:rPr>
          <w:b/>
          <w:iCs/>
          <w:sz w:val="24"/>
          <w:szCs w:val="24"/>
        </w:rPr>
        <w:t>5 Statistical analysis</w:t>
      </w:r>
    </w:p>
    <w:p>
      <w:pPr>
        <w:pStyle w:val="Normal"/>
        <w:tabs>
          <w:tab w:val="clear" w:pos="720"/>
          <w:tab w:val="left" w:pos="6390" w:leader="none"/>
        </w:tabs>
        <w:spacing w:lineRule="auto" w:line="480"/>
        <w:rPr>
          <w:b w:val="false"/>
          <w:b w:val="false"/>
          <w:bCs w:val="false"/>
        </w:rPr>
      </w:pPr>
      <w:r>
        <w:rPr>
          <w:b w:val="false"/>
          <w:bCs w:val="false"/>
        </w:rPr>
      </w:r>
    </w:p>
    <w:p>
      <w:pPr>
        <w:pStyle w:val="Normal"/>
        <w:tabs>
          <w:tab w:val="clear" w:pos="720"/>
          <w:tab w:val="left" w:pos="6390" w:leader="none"/>
        </w:tabs>
        <w:spacing w:lineRule="auto" w:line="480"/>
        <w:rPr>
          <w:b/>
          <w:b/>
          <w:sz w:val="24"/>
          <w:szCs w:val="24"/>
        </w:rPr>
      </w:pPr>
      <w:r>
        <w:rPr>
          <w:b/>
          <w:bCs/>
          <w:iCs/>
          <w:sz w:val="24"/>
          <w:szCs w:val="24"/>
        </w:rPr>
        <w:t>2.</w:t>
      </w:r>
      <w:r>
        <w:rPr>
          <w:b/>
          <w:bCs/>
          <w:iCs/>
          <w:sz w:val="24"/>
          <w:szCs w:val="24"/>
        </w:rPr>
        <w:t>1.</w:t>
      </w:r>
      <w:r>
        <w:rPr>
          <w:b/>
          <w:bCs/>
          <w:iCs/>
          <w:sz w:val="24"/>
          <w:szCs w:val="24"/>
        </w:rPr>
        <w:t>6 Forest Vegetation Simulator</w:t>
      </w:r>
    </w:p>
    <w:p>
      <w:pPr>
        <w:pStyle w:val="Normal"/>
        <w:tabs>
          <w:tab w:val="clear" w:pos="720"/>
          <w:tab w:val="left" w:pos="6390" w:leader="none"/>
        </w:tabs>
        <w:spacing w:lineRule="auto" w:line="480"/>
        <w:rPr>
          <w:b w:val="false"/>
          <w:b w:val="false"/>
          <w:bCs w:val="false"/>
          <w:sz w:val="24"/>
          <w:szCs w:val="24"/>
        </w:rPr>
      </w:pPr>
      <w:r>
        <w:rPr>
          <w:b w:val="false"/>
          <w:bCs w:val="false"/>
          <w:sz w:val="24"/>
          <w:szCs w:val="24"/>
        </w:rPr>
      </w:r>
    </w:p>
    <w:p>
      <w:pPr>
        <w:pStyle w:val="Normal"/>
        <w:tabs>
          <w:tab w:val="clear" w:pos="720"/>
          <w:tab w:val="left" w:pos="6390" w:leader="none"/>
        </w:tabs>
        <w:spacing w:lineRule="auto" w:line="480"/>
        <w:rPr>
          <w:b/>
          <w:b/>
          <w:sz w:val="24"/>
          <w:szCs w:val="24"/>
        </w:rPr>
      </w:pPr>
      <w:r>
        <w:rPr>
          <w:sz w:val="24"/>
          <w:szCs w:val="24"/>
        </w:rPr>
      </w:r>
    </w:p>
    <w:p>
      <w:pPr>
        <w:pStyle w:val="Normal"/>
        <w:spacing w:lineRule="auto" w:line="480"/>
        <w:rPr>
          <w:b/>
          <w:b/>
          <w:color w:val="434343"/>
          <w:sz w:val="28"/>
          <w:szCs w:val="28"/>
        </w:rPr>
      </w:pPr>
      <w:r>
        <w:rPr>
          <w:b/>
          <w:color w:val="434343"/>
          <w:sz w:val="28"/>
          <w:szCs w:val="28"/>
        </w:rPr>
        <w:t xml:space="preserve">3. </w:t>
      </w:r>
      <w:commentRangeStart w:id="10"/>
      <w:r>
        <w:rPr>
          <w:b/>
          <w:color w:val="434343"/>
          <w:sz w:val="28"/>
          <w:szCs w:val="28"/>
        </w:rPr>
        <w:t>Results</w:t>
      </w:r>
      <w:commentRangeEnd w:id="10"/>
      <w:r>
        <w:commentReference w:id="10"/>
      </w:r>
      <w:r>
        <w:rPr>
          <w:b/>
          <w:color w:val="434343"/>
          <w:sz w:val="28"/>
          <w:szCs w:val="28"/>
        </w:rPr>
      </w:r>
    </w:p>
    <w:p>
      <w:pPr>
        <w:pStyle w:val="Normal"/>
        <w:spacing w:lineRule="auto" w:line="480"/>
        <w:rPr>
          <w:b/>
          <w:b/>
          <w:sz w:val="24"/>
          <w:szCs w:val="24"/>
        </w:rPr>
      </w:pPr>
      <w:r>
        <w:rPr>
          <w:b/>
          <w:sz w:val="24"/>
          <w:szCs w:val="24"/>
        </w:rPr>
        <w:t xml:space="preserve">3.1 Species composition </w:t>
      </w:r>
    </w:p>
    <w:p>
      <w:pPr>
        <w:pStyle w:val="Normal"/>
        <w:spacing w:lineRule="auto" w:line="480"/>
        <w:rPr>
          <w:sz w:val="24"/>
          <w:szCs w:val="24"/>
        </w:rPr>
      </w:pPr>
      <w:r>
        <w:rPr>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color w:val="333333"/>
          <w:sz w:val="24"/>
          <w:szCs w:val="24"/>
          <w:vertAlign w:val="superscript"/>
        </w:rPr>
        <w:t>2</w:t>
      </w:r>
      <w:r>
        <w:rPr>
          <w:sz w:val="24"/>
          <w:szCs w:val="24"/>
        </w:rPr>
        <w:t>/ha for TMT 1, 15.3 m</w:t>
      </w:r>
      <w:r>
        <w:rPr>
          <w:b/>
          <w:bCs/>
          <w:color w:val="333333"/>
          <w:sz w:val="24"/>
          <w:szCs w:val="24"/>
          <w:vertAlign w:val="superscript"/>
        </w:rPr>
        <w:t>2</w:t>
      </w:r>
      <w:r>
        <w:rPr>
          <w:sz w:val="24"/>
          <w:szCs w:val="24"/>
        </w:rPr>
        <w:t>/ha for TMT 2, and 17.9 m</w:t>
      </w:r>
      <w:r>
        <w:rPr>
          <w:b/>
          <w:bCs/>
          <w:color w:val="333333"/>
          <w:sz w:val="24"/>
          <w:szCs w:val="24"/>
          <w:vertAlign w:val="superscript"/>
        </w:rPr>
        <w:t>2</w:t>
      </w:r>
      <w:r>
        <w:rPr>
          <w:sz w:val="24"/>
          <w:szCs w:val="24"/>
        </w:rPr>
        <w:t>/ha for TMT 3 (</w:t>
      </w:r>
      <w:r>
        <w:rPr>
          <w:b/>
          <w:bCs/>
          <w:sz w:val="24"/>
          <w:szCs w:val="24"/>
        </w:rPr>
        <w:t>Table 1</w:t>
      </w:r>
      <w:r>
        <w:rPr>
          <w:sz w:val="24"/>
          <w:szCs w:val="24"/>
        </w:rPr>
        <w:t xml:space="preserve">). The mean mortality DBH for all trees was 29.7 cm. Mean DBH of all trees was 46.5 cm with a maximum DBH of 165.8 cm belonging to a </w:t>
      </w:r>
      <w:r>
        <w:rPr>
          <w:iCs/>
          <w:color w:val="434343"/>
          <w:sz w:val="24"/>
          <w:szCs w:val="24"/>
        </w:rPr>
        <w:t>Douglas-fir</w:t>
      </w:r>
      <w:r>
        <w:rPr>
          <w:i/>
          <w:color w:val="434343"/>
          <w:sz w:val="24"/>
          <w:szCs w:val="24"/>
        </w:rPr>
        <w:t xml:space="preserve"> </w:t>
      </w:r>
      <w:r>
        <w:rPr>
          <w:sz w:val="24"/>
          <w:szCs w:val="24"/>
        </w:rPr>
        <w:t xml:space="preserve">tree. The largest western hemlock measured had a DBH of 135 cm.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Summary statistics at the stand level for 1990 and 2020</w:t>
      </w:r>
      <w:r>
        <w:rPr>
          <w:b/>
          <w:bCs/>
          <w:color w:val="21908C"/>
          <w:sz w:val="24"/>
          <w:szCs w:val="24"/>
        </w:rPr>
        <w:t xml:space="preserve">. </w:t>
      </w:r>
      <w:r>
        <w:rPr>
          <w:sz w:val="24"/>
          <w:szCs w:val="24"/>
        </w:rPr>
        <w:t xml:space="preserve">BA = basal area, SD = standard deviation.  </w:t>
      </w:r>
      <w:r>
        <w:rPr>
          <w:b/>
          <w:color w:val="434343"/>
          <w:sz w:val="20"/>
          <w:szCs w:val="20"/>
        </w:rPr>
        <w:br/>
      </w:r>
    </w:p>
    <w:tbl>
      <w:tblPr>
        <w:tblW w:w="10713" w:type="dxa"/>
        <w:jc w:val="left"/>
        <w:tblInd w:w="-576" w:type="dxa"/>
        <w:tblLayout w:type="fixed"/>
        <w:tblCellMar>
          <w:top w:w="0" w:type="dxa"/>
          <w:left w:w="108" w:type="dxa"/>
          <w:bottom w:w="0" w:type="dxa"/>
          <w:right w:w="108" w:type="dxa"/>
        </w:tblCellMar>
        <w:tblLook w:firstRow="1" w:noVBand="1" w:lastRow="0" w:firstColumn="1" w:lastColumn="0" w:noHBand="0" w:val="04a0"/>
      </w:tblPr>
      <w:tblGrid>
        <w:gridCol w:w="1505"/>
        <w:gridCol w:w="1180"/>
        <w:gridCol w:w="1008"/>
        <w:gridCol w:w="266"/>
        <w:gridCol w:w="678"/>
        <w:gridCol w:w="403"/>
        <w:gridCol w:w="678"/>
        <w:gridCol w:w="267"/>
        <w:gridCol w:w="678"/>
        <w:gridCol w:w="403"/>
        <w:gridCol w:w="678"/>
        <w:gridCol w:w="266"/>
        <w:gridCol w:w="678"/>
        <w:gridCol w:w="403"/>
        <w:gridCol w:w="678"/>
        <w:gridCol w:w="265"/>
        <w:gridCol w:w="679"/>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1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95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t>TMT 1</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t>TMT 2</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t>TMT 3</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lang w:val="en-US"/>
              </w:rPr>
            </w:pPr>
            <w:r>
              <w:rPr>
                <w:rFonts w:eastAsia="Times New Roman" w:cs="Times New Roman" w:ascii="Calibri" w:hAnsi="Calibri"/>
                <w:b/>
                <w:bCs/>
                <w:color w:val="000000"/>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11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00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1990</w:t>
            </w:r>
          </w:p>
        </w:tc>
        <w:tc>
          <w:tcPr>
            <w:tcW w:w="267"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1990</w:t>
            </w:r>
          </w:p>
        </w:tc>
        <w:tc>
          <w:tcPr>
            <w:tcW w:w="265"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1180"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100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26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26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c>
          <w:tcPr>
            <w:tcW w:w="679"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lang w:val="en-US"/>
              </w:rPr>
            </w:pPr>
            <w:r>
              <w:rPr>
                <w:rFonts w:eastAsia="Times New Roman" w:cs="Times New Roman" w:ascii="Calibri" w:hAnsi="Calibri"/>
                <w:color w:val="000000"/>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77</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37.2</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47.47</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Live Douglas-fir</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37.48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22.43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7.5</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30.55</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385</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274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186</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712</w:t>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shd w:color="auto" w:fill="auto" w:val="clear"/>
            <w:vAlign w:val="center"/>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10.6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6.27</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Live Western hemlock</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13.63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10.57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6.26</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9.64</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53</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51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14</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94</w:t>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7.6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Live other species</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10.88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5.61</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15</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60</w:t>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95.2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69.4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57.93</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br/>
              <w:t>live trees</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25.87</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14.06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7.07</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31.21</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476</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347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215</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869</w:t>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 BA of</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10.6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Douglas-fir</w:t>
              <w:br/>
              <w:t>(m</w:t>
            </w:r>
            <w:r>
              <w:rPr>
                <w:b/>
                <w:bCs/>
                <w:color w:val="333333"/>
                <w:sz w:val="24"/>
                <w:szCs w:val="24"/>
                <w:vertAlign w:val="superscript"/>
              </w:rPr>
              <w:t>2</w:t>
            </w:r>
            <w:r>
              <w:rPr>
                <w:rFonts w:eastAsia="Times New Roman" w:cs="Times New Roman" w:ascii="Calibri" w:hAnsi="Calibri"/>
                <w:b/>
                <w:bCs/>
                <w:color w:val="000000"/>
                <w:sz w:val="20"/>
                <w:szCs w:val="20"/>
                <w:lang w:val="en-US"/>
              </w:rPr>
              <w:t>/ha)</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2.5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1.3</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53</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70.3</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33.2</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116.8</w:t>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167.4</w:t>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000000"/>
                <w:sz w:val="20"/>
                <w:szCs w:val="20"/>
                <w:lang w:val="en-US"/>
              </w:rPr>
            </w:pPr>
            <w:r>
              <w:rPr>
                <w:rFonts w:eastAsia="Times New Roman" w:cs="Times New Roman" w:ascii="Calibri" w:hAnsi="Calibri"/>
                <w:b/>
                <w:bCs/>
                <w:color w:val="000000"/>
                <w:sz w:val="20"/>
                <w:szCs w:val="20"/>
                <w:lang w:val="en-US"/>
              </w:rPr>
              <w:t>Douglas-fir as</w:t>
            </w:r>
            <w:r>
              <w:rPr>
                <w:rFonts w:eastAsia="Times New Roman" w:cs="Times New Roman" w:ascii="Calibri" w:hAnsi="Calibri"/>
                <w:color w:val="000000"/>
                <w:sz w:val="20"/>
                <w:szCs w:val="20"/>
                <w:lang w:val="en-US"/>
              </w:rPr>
              <w:t xml:space="preserve"> </w:t>
            </w:r>
            <w:r>
              <w:rPr>
                <w:rFonts w:eastAsia="Times New Roman" w:cs="Times New Roman" w:ascii="Calibri" w:hAnsi="Calibri"/>
                <w:b/>
                <w:bCs/>
                <w:color w:val="000000"/>
                <w:sz w:val="20"/>
                <w:szCs w:val="20"/>
                <w:lang w:val="en-US"/>
              </w:rPr>
              <w:t>proportion</w:t>
            </w:r>
          </w:p>
        </w:tc>
        <w:tc>
          <w:tcPr>
            <w:tcW w:w="1180"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Total</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t>81%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87%</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82%</w:t>
            </w:r>
          </w:p>
        </w:tc>
        <w:tc>
          <w:tcPr>
            <w:tcW w:w="26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t>of total trees</w:t>
              <w:br/>
            </w:r>
          </w:p>
        </w:tc>
        <w:tc>
          <w:tcPr>
            <w:tcW w:w="11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000000"/>
                <w:sz w:val="20"/>
                <w:szCs w:val="20"/>
                <w:lang w:val="en-US"/>
              </w:rPr>
            </w:pPr>
            <w:r>
              <w:rPr>
                <w:rFonts w:eastAsia="Times New Roman" w:cs="Times New Roman" w:ascii="Calibri" w:hAnsi="Calibri"/>
                <w:b/>
                <w:bCs/>
                <w:color w:val="000000"/>
                <w:sz w:val="20"/>
                <w:szCs w:val="20"/>
                <w:lang w:val="en-US"/>
              </w:rPr>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16"/>
                <w:szCs w:val="16"/>
                <w:lang w:val="en-US"/>
              </w:rPr>
            </w:pPr>
            <w:r>
              <w:rPr>
                <w:rFonts w:eastAsia="Times New Roman" w:cs="Times New Roman" w:ascii="Calibri" w:hAnsi="Calibri"/>
                <w:color w:val="000000"/>
                <w:sz w:val="16"/>
                <w:szCs w:val="16"/>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26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000000"/>
                <w:sz w:val="20"/>
                <w:szCs w:val="20"/>
                <w:lang w:val="en-US"/>
              </w:rPr>
            </w:pPr>
            <w:r>
              <w:rPr>
                <w:rFonts w:eastAsia="Times New Roman" w:cs="Times New Roman" w:ascii="Calibri" w:hAnsi="Calibri"/>
                <w:color w:val="000000"/>
                <w:sz w:val="20"/>
                <w:szCs w:val="20"/>
                <w:lang w:val="en-US"/>
              </w:rPr>
            </w:r>
          </w:p>
        </w:tc>
      </w:tr>
    </w:tbl>
    <w:p>
      <w:pPr>
        <w:pStyle w:val="Normal"/>
        <w:spacing w:lineRule="auto" w:line="480"/>
        <w:rPr/>
      </w:pPr>
      <w:r>
        <w:rPr/>
      </w:r>
    </w:p>
    <w:p>
      <w:pPr>
        <w:pStyle w:val="Normal"/>
        <w:spacing w:lineRule="auto" w:line="480"/>
        <w:rPr>
          <w:b/>
          <w:b/>
          <w:color w:val="434343"/>
          <w:sz w:val="28"/>
          <w:szCs w:val="28"/>
        </w:rPr>
      </w:pPr>
      <w:r>
        <w:rPr>
          <w:b/>
          <w:color w:val="434343"/>
          <w:sz w:val="28"/>
          <w:szCs w:val="28"/>
        </w:rPr>
      </w:r>
    </w:p>
    <w:p>
      <w:pPr>
        <w:pStyle w:val="Normal"/>
        <w:spacing w:lineRule="auto" w:line="480"/>
        <w:rPr>
          <w:b/>
          <w:b/>
          <w:color w:val="434343"/>
          <w:sz w:val="24"/>
          <w:szCs w:val="24"/>
        </w:rPr>
      </w:pPr>
      <w:r>
        <w:rPr>
          <w:b/>
          <w:color w:val="434343"/>
          <w:sz w:val="24"/>
          <w:szCs w:val="24"/>
        </w:rPr>
        <w:t>3.2 Statistical analysis</w:t>
      </w:r>
    </w:p>
    <w:p>
      <w:pPr>
        <w:pStyle w:val="Normal"/>
        <w:spacing w:lineRule="auto" w:line="480"/>
        <w:rPr>
          <w:color w:val="24292E"/>
          <w:sz w:val="24"/>
          <w:szCs w:val="24"/>
        </w:rPr>
      </w:pPr>
      <w:r>
        <w:rPr>
          <w:color w:val="24292E"/>
          <w:sz w:val="24"/>
          <w:szCs w:val="24"/>
          <w:highlight w:val="white"/>
        </w:rPr>
        <w:t>There were no significant effects found in any of the</w:t>
      </w:r>
      <w:r>
        <w:rPr>
          <w:sz w:val="24"/>
          <w:szCs w:val="24"/>
        </w:rPr>
        <w:t xml:space="preserve"> statistical models for proportion of mortality (arcsine transformed).</w:t>
      </w:r>
      <w:r>
        <w:rPr>
          <w:color w:val="24292E"/>
          <w:sz w:val="24"/>
          <w:szCs w:val="24"/>
          <w:highlight w:val="white"/>
        </w:rPr>
        <w:t xml:space="preserve"> The one-way analysis of variance showed no significance of effect on treatment (</w:t>
      </w:r>
      <w:r>
        <w:rPr>
          <w:b/>
          <w:bCs/>
          <w:color w:val="24292E"/>
          <w:sz w:val="24"/>
          <w:szCs w:val="24"/>
          <w:highlight w:val="white"/>
        </w:rPr>
        <w:t>Table 2</w:t>
      </w:r>
      <w:r>
        <w:rPr>
          <w:color w:val="24292E"/>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color w:val="24292E"/>
          <w:sz w:val="24"/>
          <w:szCs w:val="24"/>
          <w:highlight w:val="white"/>
        </w:rPr>
        <w:t>C. sulphurascens</w:t>
      </w:r>
      <w:r>
        <w:rPr>
          <w:color w:val="24292E"/>
          <w:sz w:val="24"/>
          <w:szCs w:val="24"/>
          <w:highlight w:val="white"/>
        </w:rPr>
        <w:t xml:space="preserve"> across treatment areas</w:t>
      </w:r>
      <w:r>
        <w:rPr>
          <w:color w:val="24292E"/>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color w:val="434343"/>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19"/>
        <w:gridCol w:w="1488"/>
        <w:gridCol w:w="1555"/>
        <w:gridCol w:w="1585"/>
        <w:gridCol w:w="1578"/>
        <w:gridCol w:w="1424"/>
      </w:tblGrid>
      <w:tr>
        <w:trPr/>
        <w:tc>
          <w:tcPr>
            <w:tcW w:w="1719"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Source of Variation</w:t>
            </w:r>
          </w:p>
        </w:tc>
        <w:tc>
          <w:tcPr>
            <w:tcW w:w="1488"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Degrees of Freedom</w:t>
            </w:r>
          </w:p>
        </w:tc>
        <w:tc>
          <w:tcPr>
            <w:tcW w:w="1555"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Sum of Squares</w:t>
            </w:r>
          </w:p>
        </w:tc>
        <w:tc>
          <w:tcPr>
            <w:tcW w:w="1585"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Mean Square</w:t>
            </w:r>
          </w:p>
        </w:tc>
        <w:tc>
          <w:tcPr>
            <w:tcW w:w="1578"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F</w:t>
            </w:r>
          </w:p>
        </w:tc>
        <w:tc>
          <w:tcPr>
            <w:tcW w:w="1424" w:type="dxa"/>
            <w:tcBorders/>
          </w:tcPr>
          <w:p>
            <w:pPr>
              <w:pStyle w:val="Normal"/>
              <w:widowControl/>
              <w:spacing w:lineRule="auto" w:line="240" w:before="0" w:after="0"/>
              <w:jc w:val="center"/>
              <w:rPr>
                <w:b/>
                <w:b/>
                <w:bCs/>
                <w:color w:val="24292E"/>
                <w:sz w:val="24"/>
                <w:szCs w:val="24"/>
              </w:rPr>
            </w:pPr>
            <w:r>
              <w:rPr>
                <w:rFonts w:eastAsia="Arial" w:cs="Arial"/>
                <w:b/>
                <w:bCs/>
                <w:color w:val="24292E"/>
                <w:kern w:val="0"/>
                <w:sz w:val="24"/>
                <w:szCs w:val="24"/>
                <w:lang w:val="en" w:eastAsia="en-US" w:bidi="ar-SA"/>
              </w:rPr>
              <w:t>p-Value</w:t>
            </w:r>
          </w:p>
        </w:tc>
      </w:tr>
      <w:tr>
        <w:trPr>
          <w:trHeight w:val="377" w:hRule="atLeast"/>
        </w:trPr>
        <w:tc>
          <w:tcPr>
            <w:tcW w:w="1719"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Treatment</w:t>
            </w:r>
          </w:p>
        </w:tc>
        <w:tc>
          <w:tcPr>
            <w:tcW w:w="1488"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2</w:t>
            </w:r>
          </w:p>
        </w:tc>
        <w:tc>
          <w:tcPr>
            <w:tcW w:w="1555"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0.01048</w:t>
            </w:r>
          </w:p>
        </w:tc>
        <w:tc>
          <w:tcPr>
            <w:tcW w:w="1585"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0.00524</w:t>
            </w:r>
          </w:p>
        </w:tc>
        <w:tc>
          <w:tcPr>
            <w:tcW w:w="1578"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0.484</w:t>
            </w:r>
          </w:p>
        </w:tc>
        <w:tc>
          <w:tcPr>
            <w:tcW w:w="1424"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0.629</w:t>
            </w:r>
          </w:p>
        </w:tc>
      </w:tr>
      <w:tr>
        <w:trPr/>
        <w:tc>
          <w:tcPr>
            <w:tcW w:w="1719"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Residuals</w:t>
            </w:r>
          </w:p>
        </w:tc>
        <w:tc>
          <w:tcPr>
            <w:tcW w:w="1488"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12</w:t>
            </w:r>
          </w:p>
        </w:tc>
        <w:tc>
          <w:tcPr>
            <w:tcW w:w="1555"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0.12985</w:t>
            </w:r>
          </w:p>
        </w:tc>
        <w:tc>
          <w:tcPr>
            <w:tcW w:w="1585" w:type="dxa"/>
            <w:tcBorders/>
          </w:tcPr>
          <w:p>
            <w:pPr>
              <w:pStyle w:val="Normal"/>
              <w:widowControl/>
              <w:spacing w:lineRule="auto" w:line="480" w:before="120" w:after="0"/>
              <w:jc w:val="center"/>
              <w:rPr>
                <w:color w:val="24292E"/>
                <w:sz w:val="24"/>
                <w:szCs w:val="24"/>
              </w:rPr>
            </w:pPr>
            <w:r>
              <w:rPr>
                <w:rFonts w:eastAsia="Arial" w:cs="Arial"/>
                <w:color w:val="24292E"/>
                <w:kern w:val="0"/>
                <w:sz w:val="24"/>
                <w:szCs w:val="24"/>
                <w:lang w:val="en" w:eastAsia="en-US" w:bidi="ar-SA"/>
              </w:rPr>
              <w:t>0.01082</w:t>
            </w:r>
          </w:p>
        </w:tc>
        <w:tc>
          <w:tcPr>
            <w:tcW w:w="1578" w:type="dxa"/>
            <w:tcBorders/>
          </w:tcPr>
          <w:p>
            <w:pPr>
              <w:pStyle w:val="Normal"/>
              <w:widowControl/>
              <w:spacing w:lineRule="auto" w:line="480" w:before="120" w:after="0"/>
              <w:jc w:val="center"/>
              <w:rPr>
                <w:color w:val="24292E"/>
                <w:sz w:val="24"/>
                <w:szCs w:val="24"/>
              </w:rPr>
            </w:pPr>
            <w:r>
              <w:rPr>
                <w:rFonts w:eastAsia="Arial" w:cs="Arial"/>
                <w:color w:val="24292E"/>
                <w:kern w:val="0"/>
                <w:sz w:val="22"/>
                <w:szCs w:val="22"/>
                <w:lang w:val="en" w:eastAsia="en-US" w:bidi="ar-SA"/>
              </w:rPr>
            </w:r>
          </w:p>
        </w:tc>
        <w:tc>
          <w:tcPr>
            <w:tcW w:w="1424" w:type="dxa"/>
            <w:tcBorders/>
          </w:tcPr>
          <w:p>
            <w:pPr>
              <w:pStyle w:val="Normal"/>
              <w:widowControl/>
              <w:spacing w:lineRule="auto" w:line="480" w:before="120" w:after="0"/>
              <w:jc w:val="center"/>
              <w:rPr>
                <w:color w:val="24292E"/>
                <w:sz w:val="24"/>
                <w:szCs w:val="24"/>
              </w:rPr>
            </w:pPr>
            <w:r>
              <w:rPr>
                <w:rFonts w:eastAsia="Arial" w:cs="Arial"/>
                <w:color w:val="24292E"/>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b/>
          <w:b/>
          <w:color w:val="434343"/>
          <w:sz w:val="24"/>
          <w:szCs w:val="24"/>
        </w:rPr>
      </w:pPr>
      <w:r>
        <w:rPr>
          <w:b/>
          <w:color w:val="434343"/>
          <w:sz w:val="24"/>
          <w:szCs w:val="24"/>
        </w:rPr>
        <w:t xml:space="preserve">3.3 </w:t>
      </w:r>
      <w:commentRangeStart w:id="11"/>
      <w:r>
        <w:rPr>
          <w:b/>
          <w:color w:val="434343"/>
          <w:sz w:val="24"/>
          <w:szCs w:val="24"/>
        </w:rPr>
        <w:t xml:space="preserve">Prevalence rate of root disease </w:t>
      </w:r>
      <w:commentRangeEnd w:id="11"/>
      <w:r>
        <w:commentReference w:id="11"/>
      </w:r>
      <w:r>
        <w:rPr>
          <w:b/>
          <w:color w:val="434343"/>
          <w:sz w:val="24"/>
          <w:szCs w:val="24"/>
        </w:rPr>
      </w:r>
    </w:p>
    <w:p>
      <w:pPr>
        <w:pStyle w:val="Normal"/>
        <w:spacing w:lineRule="auto" w:line="480"/>
        <w:rPr>
          <w:color w:val="21908C"/>
          <w:sz w:val="24"/>
          <w:szCs w:val="24"/>
          <w:highlight w:val="white"/>
        </w:rPr>
      </w:pPr>
      <w:r>
        <w:rPr>
          <w:color w:val="24292E"/>
          <w:sz w:val="24"/>
          <w:szCs w:val="24"/>
          <w:highlight w:val="white"/>
        </w:rPr>
        <w:t>Within every stand, the prevalence of root disease increased over time (</w:t>
      </w:r>
      <w:r>
        <w:rPr>
          <w:b/>
          <w:bCs/>
          <w:color w:val="24292E"/>
          <w:sz w:val="24"/>
          <w:szCs w:val="24"/>
          <w:highlight w:val="white"/>
        </w:rPr>
        <w:t>Fig. 2</w:t>
      </w:r>
      <w:r>
        <w:rPr>
          <w:color w:val="24292E"/>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487035" cy="5487035"/>
            <wp:effectExtent l="0" t="0" r="0" b="0"/>
            <wp:docPr id="2" name="Picture 1"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hart, bar chart, histogram&#10;&#10;Description automatically generated"/>
                    <pic:cNvPicPr>
                      <a:picLocks noChangeAspect="1" noChangeArrowheads="1"/>
                    </pic:cNvPicPr>
                  </pic:nvPicPr>
                  <pic:blipFill>
                    <a:blip r:embed="rId20"/>
                    <a:stretch>
                      <a:fillRect/>
                    </a:stretch>
                  </pic:blipFill>
                  <pic:spPr bwMode="auto">
                    <a:xfrm>
                      <a:off x="0" y="0"/>
                      <a:ext cx="5487035" cy="5487035"/>
                    </a:xfrm>
                    <a:prstGeom prst="rect">
                      <a:avLst/>
                    </a:prstGeom>
                  </pic:spPr>
                </pic:pic>
              </a:graphicData>
            </a:graphic>
          </wp:inline>
        </w:drawing>
      </w:r>
    </w:p>
    <w:p>
      <w:pPr>
        <w:pStyle w:val="Normal"/>
        <w:spacing w:lineRule="auto" w:line="480"/>
        <w:rPr>
          <w:sz w:val="24"/>
          <w:szCs w:val="24"/>
        </w:rPr>
      </w:pPr>
      <w:r>
        <w:rPr>
          <w:b/>
          <w:sz w:val="24"/>
          <w:szCs w:val="24"/>
        </w:rPr>
        <w:t xml:space="preserve">Figure 2: </w:t>
      </w:r>
      <w:r>
        <w:rPr>
          <w:sz w:val="24"/>
          <w:szCs w:val="24"/>
        </w:rPr>
        <w:t xml:space="preserve">Proportion of tree mortality by stand occurring from LRR at initial and final time points. The beginning number of stand values represents which treatment each stand was in.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LRR was found within at least 40% of the plots in all 15 of the total stands. In two of the TMT 1 stands, two of the TMT 2 stands, and one of the TMT 3 stands, it had been found within 100% of the plots by the conclusion of the study.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highlight w:val="white"/>
        </w:rPr>
      </w:pPr>
      <w:r>
        <w:rPr>
          <w:b/>
          <w:sz w:val="24"/>
          <w:szCs w:val="24"/>
          <w:highlight w:val="white"/>
        </w:rPr>
        <w:t>Table 3:</w:t>
      </w:r>
      <w:r>
        <w:rPr>
          <w:sz w:val="24"/>
          <w:szCs w:val="24"/>
          <w:highlight w:val="white"/>
        </w:rPr>
        <w:t xml:space="preserve"> Mean basal area (</w:t>
      </w:r>
      <w:r>
        <w:rPr>
          <w:sz w:val="24"/>
          <w:szCs w:val="24"/>
        </w:rPr>
        <w:t>m</w:t>
      </w:r>
      <w:r>
        <w:rPr>
          <w:color w:val="333333"/>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color w:val="21908C"/>
          <w:sz w:val="24"/>
          <w:szCs w:val="24"/>
          <w:highlight w:val="white"/>
        </w:rPr>
      </w:pPr>
      <w:r>
        <w:rPr>
          <w:color w:val="21908C"/>
          <w:sz w:val="24"/>
          <w:szCs w:val="24"/>
          <w:highlight w:val="white"/>
        </w:rPr>
      </w:r>
    </w:p>
    <w:tbl>
      <w:tblPr>
        <w:tblW w:w="9360" w:type="dxa"/>
        <w:jc w:val="left"/>
        <w:tblInd w:w="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703"/>
        <w:gridCol w:w="1704"/>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b/>
                <w:bCs/>
                <w:color w:val="000000"/>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b/>
                <w:bCs/>
                <w:color w:val="000000"/>
                <w:lang w:val="en-US"/>
              </w:rPr>
              <w:t>Observed</w:t>
            </w:r>
          </w:p>
        </w:tc>
        <w:tc>
          <w:tcPr>
            <w:tcW w:w="1703"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b/>
                <w:bCs/>
                <w:color w:val="000000"/>
                <w:lang w:val="en-US"/>
              </w:rPr>
              <w:t>FVS </w:t>
            </w:r>
          </w:p>
        </w:tc>
        <w:tc>
          <w:tcPr>
            <w:tcW w:w="17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b/>
                <w:bCs/>
                <w:color w:val="000000"/>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b/>
                <w:bCs/>
                <w:color w:val="000000"/>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TMT 1</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78.62609</w:t>
            </w:r>
          </w:p>
        </w:tc>
        <w:tc>
          <w:tcPr>
            <w:tcW w:w="1703"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78.92028</w:t>
            </w:r>
          </w:p>
        </w:tc>
        <w:tc>
          <w:tcPr>
            <w:tcW w:w="17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TMT 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52.24491</w:t>
            </w:r>
          </w:p>
        </w:tc>
        <w:tc>
          <w:tcPr>
            <w:tcW w:w="1703"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53.50427</w:t>
            </w:r>
          </w:p>
        </w:tc>
        <w:tc>
          <w:tcPr>
            <w:tcW w:w="17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TMT 3</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61.32342</w:t>
            </w:r>
          </w:p>
        </w:tc>
        <w:tc>
          <w:tcPr>
            <w:tcW w:w="1703"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58.64272</w:t>
            </w:r>
          </w:p>
        </w:tc>
        <w:tc>
          <w:tcPr>
            <w:tcW w:w="17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192.19442</w:t>
            </w:r>
          </w:p>
        </w:tc>
        <w:tc>
          <w:tcPr>
            <w:tcW w:w="1703"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191.06727</w:t>
            </w:r>
          </w:p>
        </w:tc>
        <w:tc>
          <w:tcPr>
            <w:tcW w:w="1704"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ascii="Times New Roman" w:hAnsi="Times New Roman" w:eastAsia="Times New Roman" w:cs="Times New Roman"/>
                <w:sz w:val="24"/>
                <w:szCs w:val="24"/>
                <w:lang w:val="en-US"/>
              </w:rPr>
            </w:pPr>
            <w:r>
              <w:rPr>
                <w:rFonts w:eastAsia="Times New Roman"/>
                <w:color w:val="000000"/>
                <w:lang w:val="en-US"/>
              </w:rPr>
              <w:t>83% (n = 62/75) </w:t>
            </w:r>
          </w:p>
        </w:tc>
      </w:tr>
    </w:tbl>
    <w:p>
      <w:pPr>
        <w:pStyle w:val="Normal"/>
        <w:spacing w:lineRule="auto" w:line="480"/>
        <w:rPr>
          <w:sz w:val="24"/>
          <w:szCs w:val="24"/>
        </w:rPr>
      </w:pPr>
      <w:r>
        <w:rPr>
          <w:sz w:val="24"/>
          <w:szCs w:val="24"/>
        </w:rPr>
      </w:r>
    </w:p>
    <w:p>
      <w:pPr>
        <w:pStyle w:val="Normal"/>
        <w:spacing w:lineRule="auto" w:line="480"/>
        <w:rPr>
          <w:color w:val="21908C"/>
          <w:sz w:val="24"/>
          <w:szCs w:val="24"/>
          <w:highlight w:val="white"/>
        </w:rPr>
      </w:pPr>
      <w:r>
        <w:rPr>
          <w:color w:val="21908C"/>
          <w:sz w:val="24"/>
          <w:szCs w:val="24"/>
          <w:highlight w:val="white"/>
        </w:rPr>
      </w:r>
    </w:p>
    <w:p>
      <w:pPr>
        <w:pStyle w:val="Normal"/>
        <w:spacing w:lineRule="auto" w:line="480"/>
        <w:rPr>
          <w:b/>
          <w:b/>
          <w:color w:val="434343"/>
          <w:sz w:val="24"/>
          <w:szCs w:val="24"/>
        </w:rPr>
      </w:pPr>
      <w:r>
        <w:rPr>
          <w:b/>
          <w:color w:val="434343"/>
          <w:sz w:val="24"/>
          <w:szCs w:val="24"/>
        </w:rPr>
        <w:t>3.3 Forest Vegetation Simulator and Western Root Disease Models</w:t>
      </w:r>
    </w:p>
    <w:p>
      <w:pPr>
        <w:pStyle w:val="Normal"/>
        <w:spacing w:lineRule="auto" w:line="480"/>
        <w:rPr>
          <w:color w:val="24292E"/>
          <w:sz w:val="24"/>
          <w:szCs w:val="24"/>
          <w:highlight w:val="white"/>
        </w:rPr>
      </w:pPr>
      <w:r>
        <w:rPr>
          <w:color w:val="24292E"/>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color w:val="24292E"/>
          <w:sz w:val="24"/>
          <w:szCs w:val="24"/>
          <w:highlight w:val="white"/>
        </w:rPr>
        <w:t>Figure 3 and Table 3</w:t>
      </w:r>
      <w:r>
        <w:rPr>
          <w:color w:val="24292E"/>
          <w:sz w:val="24"/>
          <w:szCs w:val="24"/>
          <w:highlight w:val="white"/>
        </w:rPr>
        <w:t xml:space="preserve">). </w:t>
      </w:r>
    </w:p>
    <w:p>
      <w:pPr>
        <w:pStyle w:val="Normal"/>
        <w:spacing w:lineRule="auto" w:line="480"/>
        <w:jc w:val="center"/>
        <w:rPr>
          <w:b/>
          <w:b/>
          <w:color w:val="434343"/>
          <w:sz w:val="28"/>
          <w:szCs w:val="28"/>
        </w:rPr>
      </w:pPr>
      <w:r>
        <w:rPr/>
        <w:drawing>
          <wp:inline distT="0" distB="0" distL="0" distR="0">
            <wp:extent cx="4114800" cy="8229600"/>
            <wp:effectExtent l="0" t="0" r="0" b="0"/>
            <wp:docPr id="3"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Chart, line chart&#10;&#10;Description automatically generated"/>
                    <pic:cNvPicPr>
                      <a:picLocks noChangeAspect="1" noChangeArrowheads="1"/>
                    </pic:cNvPicPr>
                  </pic:nvPicPr>
                  <pic:blipFill>
                    <a:blip r:embed="rId21"/>
                    <a:stretch>
                      <a:fillRect/>
                    </a:stretch>
                  </pic:blipFill>
                  <pic:spPr bwMode="auto">
                    <a:xfrm>
                      <a:off x="0" y="0"/>
                      <a:ext cx="4114800" cy="8229600"/>
                    </a:xfrm>
                    <a:prstGeom prst="rect">
                      <a:avLst/>
                    </a:prstGeom>
                  </pic:spPr>
                </pic:pic>
              </a:graphicData>
            </a:graphic>
          </wp:inline>
        </w:drawing>
      </w:r>
    </w:p>
    <w:p>
      <w:p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TMT 1 stands, B = TMT 2 stands, C = TMT 3 stands. The indigo line represents observed data that was collected through surveys. The cyan line depicts the FVS model with default parameters. The gold line is the FVS model run with the WRDM extension. Error bars are representative of the standard error.</w:t>
      </w:r>
    </w:p>
    <w:p>
      <w:pPr>
        <w:pStyle w:val="Normal"/>
        <w:spacing w:lineRule="auto" w:line="480"/>
        <w:rPr>
          <w:sz w:val="24"/>
          <w:szCs w:val="24"/>
        </w:rPr>
      </w:pPr>
      <w:r>
        <w:rPr>
          <w:sz w:val="24"/>
          <w:szCs w:val="24"/>
        </w:rPr>
      </w:r>
    </w:p>
    <w:p>
      <w:pPr>
        <w:pStyle w:val="Normal"/>
        <w:pBdr/>
        <w:spacing w:lineRule="auto" w:line="480"/>
        <w:rPr>
          <w:b/>
          <w:b/>
          <w:color w:val="434343"/>
          <w:sz w:val="28"/>
          <w:szCs w:val="28"/>
        </w:rPr>
      </w:pPr>
      <w:r>
        <w:rPr>
          <w:b/>
          <w:color w:val="434343"/>
          <w:sz w:val="28"/>
          <w:szCs w:val="28"/>
        </w:rPr>
        <w:t xml:space="preserve">4. Conclusions and discussion </w:t>
      </w:r>
    </w:p>
    <w:p>
      <w:pPr>
        <w:pStyle w:val="Normal"/>
        <w:spacing w:lineRule="auto" w:line="480"/>
        <w:rPr>
          <w:sz w:val="24"/>
          <w:szCs w:val="24"/>
        </w:rPr>
      </w:pPr>
      <w:r>
        <w:rPr>
          <w:sz w:val="24"/>
          <w:szCs w:val="24"/>
        </w:rPr>
        <w:t xml:space="preserve">From the results of this study, three important conclusions were made. Firstly, the effects of the thinning did not seem to have a significant difference within tree mortality caused by </w:t>
      </w:r>
      <w:r>
        <w:rPr>
          <w:i/>
          <w:sz w:val="24"/>
          <w:szCs w:val="24"/>
        </w:rPr>
        <w:t xml:space="preserve">C. sulphurascens. </w:t>
      </w:r>
      <w:r>
        <w:rPr>
          <w:sz w:val="24"/>
          <w:szCs w:val="24"/>
        </w:rPr>
        <w:t xml:space="preserve">Secondly, the proportion of tree mortality caused by </w:t>
      </w:r>
      <w:r>
        <w:rPr>
          <w:i/>
          <w:sz w:val="24"/>
          <w:szCs w:val="24"/>
        </w:rPr>
        <w:t>C. sulphurascens</w:t>
      </w:r>
      <w:r>
        <w:rPr>
          <w:sz w:val="24"/>
          <w:szCs w:val="24"/>
        </w:rPr>
        <w:t xml:space="preserve"> in thinned stands was higher when compared to unthinned stands</w:t>
      </w:r>
      <w:r>
        <w:rPr>
          <w:b/>
          <w:color w:val="21908C"/>
          <w:sz w:val="24"/>
          <w:szCs w:val="24"/>
        </w:rPr>
        <w:t xml:space="preserve">. </w:t>
      </w:r>
      <w:r>
        <w:rPr>
          <w:sz w:val="24"/>
          <w:szCs w:val="24"/>
        </w:rPr>
        <w:t xml:space="preserve">Lastly, on average, FVS and the WRDM predicted lower growth and yield volumes when compared with observed data. </w:t>
      </w:r>
    </w:p>
    <w:p>
      <w:pPr>
        <w:pStyle w:val="Normal"/>
        <w:pBdr/>
        <w:spacing w:lineRule="auto" w:line="480"/>
        <w:rPr>
          <w:b/>
          <w:b/>
          <w:color w:val="434343"/>
          <w:sz w:val="28"/>
          <w:szCs w:val="28"/>
        </w:rPr>
      </w:pPr>
      <w:r>
        <w:rPr>
          <w:b/>
          <w:color w:val="434343"/>
          <w:sz w:val="28"/>
          <w:szCs w:val="28"/>
        </w:rPr>
      </w:r>
    </w:p>
    <w:p>
      <w:pPr>
        <w:pStyle w:val="Normal"/>
        <w:pBdr/>
        <w:spacing w:lineRule="auto" w:line="480"/>
        <w:rPr>
          <w:b/>
          <w:b/>
          <w:bCs/>
          <w:color w:val="8064A2" w:themeColor="accent4"/>
          <w:sz w:val="24"/>
          <w:szCs w:val="24"/>
        </w:rPr>
      </w:pPr>
      <w:r>
        <w:rPr>
          <w:b/>
          <w:bCs/>
          <w:color w:val="8064A2" w:themeColor="accent4"/>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pBdr/>
        <w:spacing w:lineRule="auto" w:line="480"/>
        <w:rPr>
          <w:sz w:val="24"/>
          <w:szCs w:val="24"/>
        </w:rPr>
      </w:pPr>
      <w:r>
        <w:rPr>
          <w:sz w:val="24"/>
          <w:szCs w:val="24"/>
        </w:rPr>
      </w:r>
    </w:p>
    <w:p>
      <w:pPr>
        <w:pStyle w:val="Normal"/>
        <w:spacing w:lineRule="auto" w:line="480"/>
        <w:rPr>
          <w:sz w:val="24"/>
          <w:szCs w:val="24"/>
        </w:rPr>
      </w:pPr>
      <w:r>
        <w:rPr>
          <w:sz w:val="24"/>
          <w:szCs w:val="24"/>
        </w:rPr>
        <w:t xml:space="preserve">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70757A"/>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 xml:space="preserve">Modelled predictions were found to be qualitatively accurate within this study. </w:t>
      </w:r>
    </w:p>
    <w:p>
      <w:pPr>
        <w:pStyle w:val="Normal"/>
        <w:spacing w:lineRule="auto" w:line="480"/>
        <w:rPr>
          <w:sz w:val="24"/>
          <w:szCs w:val="24"/>
        </w:rPr>
      </w:pPr>
      <w:r>
        <w:rPr>
          <w:sz w:val="24"/>
          <w:szCs w:val="24"/>
        </w:rPr>
        <w:t>FVS alone was a better indicator of observed data when compared to the use of FVS with WRDM. The WRDM tended to over predict the impact of LRR</w:t>
      </w:r>
      <w:r>
        <w:rPr/>
        <w:t>.</w:t>
      </w:r>
      <w:r>
        <w:rPr>
          <w:sz w:val="24"/>
          <w:szCs w:val="24"/>
        </w:rPr>
        <w:t xml:space="preserve"> This finding was consistent with the findings from Maffei et al., 2008.</w:t>
      </w:r>
      <w:r>
        <w:rPr>
          <w:rFonts w:eastAsia="Times New Roman"/>
          <w:sz w:val="24"/>
          <w:szCs w:val="24"/>
        </w:rPr>
        <w:t xml:space="preserve"> It</w:t>
      </w:r>
      <w:r>
        <w:rPr/>
        <w:t xml:space="preserve"> </w:t>
      </w:r>
      <w:r>
        <w:rPr>
          <w:sz w:val="24"/>
          <w:szCs w:val="24"/>
        </w:rPr>
        <w:t xml:space="preserve">is worth noting that accuracy would likely continue to decrease over longer time periods. The time span of 30 years is relatively short in terms of a forest ecosystem.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color w:val="24292E"/>
          <w:sz w:val="24"/>
          <w:szCs w:val="24"/>
          <w:highlight w:val="white"/>
        </w:rPr>
        <w:t>Cook et al., 2013)</w:t>
      </w:r>
      <w:r>
        <w:rPr>
          <w:sz w:val="24"/>
          <w:szCs w:val="24"/>
        </w:rPr>
        <w:t>.  More information on current distribution of accurately identified pathogens is critically needed (Klopfenstein et al., 2009). This is imperative within a rapidly changing climate as the host/pathogen interactions will need to be observed, monitored, and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color w:val="252525"/>
          <w:sz w:val="24"/>
          <w:szCs w:val="24"/>
          <w:highlight w:val="white"/>
        </w:rPr>
        <w:t>Guidelines drawn up from publications can serve as a basis for facilitating better management of infected stands.</w:t>
      </w:r>
      <w:r>
        <w:rPr>
          <w:color w:val="252525"/>
          <w:sz w:val="24"/>
          <w:szCs w:val="24"/>
        </w:rPr>
        <w:t xml:space="preserve"> Better understanding of management systems surrounding LRR can help to increase efficiency, while also helping to preserve biodiversity and forest ecosystems. </w:t>
      </w:r>
      <w:r>
        <w:rPr>
          <w:sz w:val="24"/>
          <w:szCs w:val="24"/>
        </w:rPr>
        <w:t xml:space="preserve">Through this study, new insight was gained on LRR incidence with respect to thinning for drought and fire suppression. </w:t>
      </w:r>
    </w:p>
    <w:p>
      <w:pPr>
        <w:pStyle w:val="Normal"/>
        <w:spacing w:lineRule="auto" w:line="480"/>
        <w:rPr>
          <w:sz w:val="24"/>
          <w:szCs w:val="24"/>
        </w:rPr>
      </w:pPr>
      <w:r>
        <w:rPr>
          <w:sz w:val="24"/>
          <w:szCs w:val="24"/>
        </w:rPr>
      </w:r>
    </w:p>
    <w:p>
      <w:pPr>
        <w:pStyle w:val="Normal"/>
        <w:spacing w:lineRule="auto" w:line="480"/>
        <w:rPr/>
      </w:pPr>
      <w:r>
        <w:rPr/>
      </w:r>
    </w:p>
    <w:p>
      <w:pPr>
        <w:pStyle w:val="Normal"/>
        <w:spacing w:lineRule="auto" w:line="480"/>
        <w:rPr/>
      </w:pPr>
      <w:r>
        <w:rPr>
          <w:b/>
          <w:color w:val="434343"/>
          <w:sz w:val="28"/>
          <w:szCs w:val="28"/>
        </w:rPr>
        <w:t>Acknowledgements</w:t>
        <w:br/>
      </w:r>
      <w:r>
        <w:rP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Tallan and James Molyneux for statistical recommendations and consultation. The authors also extend their gratitude to Irene Lockman, Patrick Bennett, Lance David, </w:t>
      </w:r>
      <w:commentRangeStart w:id="12"/>
      <w:r>
        <w:rPr/>
        <w:t>Erin Smith-Mateja, Chad Keyser</w:t>
      </w:r>
      <w:r>
        <w:rPr/>
      </w:r>
      <w:commentRangeEnd w:id="12"/>
      <w:r>
        <w:commentReference w:id="12"/>
      </w:r>
      <w:r>
        <w:rPr/>
        <w:t xml:space="preserve">, and the FVS staff for guidance on FVS and WRDM modeling.   </w:t>
      </w:r>
    </w:p>
    <w:p>
      <w:pPr>
        <w:pStyle w:val="Normal"/>
        <w:spacing w:lineRule="auto" w:line="480"/>
        <w:rPr>
          <w:b/>
          <w:b/>
          <w:color w:val="21908C"/>
          <w:sz w:val="28"/>
          <w:szCs w:val="28"/>
        </w:rPr>
      </w:pPr>
      <w:r>
        <w:rPr>
          <w:b/>
          <w:color w:val="21908C"/>
          <w:sz w:val="28"/>
          <w:szCs w:val="28"/>
        </w:rPr>
      </w:r>
    </w:p>
    <w:p>
      <w:pPr>
        <w:pStyle w:val="Normal"/>
        <w:spacing w:lineRule="auto" w:line="480"/>
        <w:rPr>
          <w:b/>
          <w:b/>
          <w:color w:val="434343"/>
          <w:sz w:val="28"/>
          <w:szCs w:val="28"/>
        </w:rPr>
      </w:pPr>
      <w:r>
        <w:rPr>
          <w:b/>
          <w:color w:val="434343"/>
          <w:sz w:val="28"/>
          <w:szCs w:val="28"/>
        </w:rPr>
        <w:t>References</w:t>
      </w:r>
    </w:p>
    <w:p>
      <w:pPr>
        <w:pStyle w:val="Normal"/>
        <w:spacing w:lineRule="auto" w:line="480"/>
        <w:ind w:left="720" w:hanging="720"/>
        <w:rPr>
          <w:rFonts w:eastAsia="Times New Roman"/>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2" w:tgtFrame="Persistent link using digital object identifier">
        <w:r>
          <w:rPr>
            <w:rStyle w:val="InternetLink"/>
            <w:rFonts w:cs="Open Sans" w:ascii="Open Sans" w:hAnsi="Open Sans"/>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23">
        <w:r>
          <w:rPr>
            <w:rStyle w:val="InternetLink"/>
            <w:rFonts w:cs="Open Sans" w:ascii="Open Sans" w:hAnsi="Open Sans"/>
            <w:sz w:val="21"/>
            <w:szCs w:val="21"/>
            <w:shd w:fill="FFFFFF" w:val="clear"/>
          </w:rPr>
          <w:t>https://ir.library.oregonstate.edu/concern/graduate_thesis_or_dissertations/k930c098s</w:t>
        </w:r>
      </w:hyperlink>
    </w:p>
    <w:p>
      <w:pPr>
        <w:pStyle w:val="Normal"/>
        <w:spacing w:lineRule="auto" w:line="480"/>
        <w:ind w:left="720" w:hanging="720"/>
        <w:rPr>
          <w:b/>
          <w:b/>
          <w:color w:val="434343"/>
          <w:sz w:val="28"/>
          <w:szCs w:val="28"/>
        </w:rPr>
      </w:pPr>
      <w:r>
        <w:rPr>
          <w:b/>
          <w:color w:val="434343"/>
          <w:sz w:val="28"/>
          <w:szCs w:val="28"/>
        </w:rPr>
      </w:r>
    </w:p>
    <w:p>
      <w:pPr>
        <w:pStyle w:val="Normal"/>
        <w:spacing w:lineRule="auto" w:line="480"/>
        <w:ind w:left="720" w:hanging="720"/>
        <w:rPr>
          <w:rFonts w:eastAsia="Times New Roman"/>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4">
        <w:r>
          <w:rPr>
            <w:rStyle w:val="InternetLink"/>
            <w:rFonts w:cs="Open Sans" w:ascii="Open Sans" w:hAnsi="Open Sans"/>
            <w:sz w:val="21"/>
            <w:szCs w:val="21"/>
            <w:shd w:fill="FFFFFF" w:val="clear"/>
          </w:rPr>
          <w:t>https://doi.org/10.3389/ffgc.2021.695981</w:t>
        </w:r>
      </w:hyperlink>
    </w:p>
    <w:p>
      <w:pPr>
        <w:pStyle w:val="Normal"/>
        <w:spacing w:lineRule="auto" w:line="480"/>
        <w:rPr>
          <w:b/>
          <w:b/>
          <w:color w:val="434343"/>
          <w:sz w:val="28"/>
          <w:szCs w:val="28"/>
        </w:rPr>
      </w:pPr>
      <w:r>
        <w:rPr>
          <w:b/>
          <w:color w:val="434343"/>
          <w:sz w:val="28"/>
          <w:szCs w:val="28"/>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5" w:tgtFrame="Persistent link using digital object identifier">
        <w:r>
          <w:rPr>
            <w:rStyle w:val="InternetLink"/>
            <w:rFonts w:cs="Open Sans" w:ascii="Open Sans" w:hAnsi="Open Sans"/>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6">
        <w:r>
          <w:rPr>
            <w:rStyle w:val="InternetLink"/>
            <w:rFonts w:cs="Open Sans" w:ascii="Open Sans" w:hAnsi="Open Sans"/>
            <w:sz w:val="21"/>
            <w:szCs w:val="21"/>
            <w:shd w:fill="FFFFFF" w:val="clear"/>
          </w:rPr>
          <w:t>https://www.fs.usda.gov/treesearch/pubs/46886</w:t>
        </w:r>
      </w:hyperlink>
      <w:r>
        <w:rPr>
          <w:rStyle w:val="InternetLink"/>
          <w:rFonts w:cs="Open Sans" w:ascii="Open Sans" w:hAnsi="Open Sans"/>
          <w:sz w:val="21"/>
          <w:szCs w:val="21"/>
          <w:shd w:fill="FFFFFF" w:val="clear"/>
        </w:rPr>
        <w:br/>
      </w:r>
    </w:p>
    <w:p>
      <w:pPr>
        <w:pStyle w:val="Normal"/>
        <w:spacing w:lineRule="auto" w:line="480"/>
        <w:ind w:left="720" w:hanging="720"/>
        <w:rPr>
          <w:rFonts w:eastAsia="Times New Roman"/>
          <w:sz w:val="24"/>
          <w:szCs w:val="24"/>
        </w:rPr>
      </w:pPr>
      <w:r>
        <w:rPr>
          <w:rFonts w:eastAsia="Times New Roman"/>
          <w:sz w:val="24"/>
          <w:szCs w:val="24"/>
        </w:rPr>
        <w:t xml:space="preserve">ESRI (2011) ArcGIS desktop: version 2.6.2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7">
        <w:r>
          <w:rPr>
            <w:rStyle w:val="InternetLink"/>
            <w:rFonts w:cs="Open Sans" w:ascii="Open Sans" w:hAnsi="Open Sans"/>
            <w:sz w:val="21"/>
            <w:szCs w:val="21"/>
            <w:shd w:fill="FFFFFF" w:val="clear"/>
          </w:rPr>
          <w:t>https://doi.org/10.2737/PSW-GTR-165</w:t>
        </w:r>
      </w:hyperlink>
    </w:p>
    <w:p>
      <w:pPr>
        <w:pStyle w:val="Normal"/>
        <w:spacing w:lineRule="auto" w:line="480"/>
        <w:ind w:left="720" w:hanging="720"/>
        <w:rPr>
          <w:rStyle w:val="InternetLink"/>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Style w:val="InternetLink"/>
          <w:rFonts w:eastAsia="Times New Roman"/>
          <w:color w:val="auto"/>
          <w:sz w:val="24"/>
          <w:szCs w:val="24"/>
          <w:u w:val="none"/>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8">
        <w:r>
          <w:rPr>
            <w:rStyle w:val="InternetLink"/>
            <w:rFonts w:cs="Open Sans" w:ascii="Open Sans" w:hAnsi="Open Sans"/>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Style w:val="InternetLink"/>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9">
        <w:r>
          <w:rPr>
            <w:rStyle w:val="InternetLink"/>
            <w:rFonts w:cs="Open Sans" w:ascii="Open Sans" w:hAnsi="Open Sans"/>
            <w:sz w:val="21"/>
            <w:szCs w:val="21"/>
            <w:shd w:fill="FFFFFF" w:val="clear"/>
          </w:rPr>
          <w:t>https://www.biodiversitylibrary.org/bibliography/178892</w:t>
        </w:r>
      </w:hyperlink>
      <w:r>
        <w:rPr>
          <w:rStyle w:val="InternetLink"/>
          <w:rFonts w:cs="Open Sans" w:ascii="Open Sans" w:hAnsi="Open Sans"/>
          <w:sz w:val="21"/>
          <w:szCs w:val="21"/>
          <w:shd w:fill="FFFFFF" w:val="clear"/>
        </w:rPr>
        <w:br/>
      </w:r>
    </w:p>
    <w:p>
      <w:pPr>
        <w:pStyle w:val="Normal"/>
        <w:spacing w:lineRule="auto" w:line="480"/>
        <w:ind w:left="720" w:hanging="720"/>
        <w:rPr>
          <w:rFonts w:eastAsia="Times New Roman"/>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sz w:val="21"/>
          <w:szCs w:val="21"/>
          <w:shd w:fill="FFFFFF" w:val="clear"/>
        </w:rPr>
        <w:t>https://www.fs.usda.gov/detail/r6/forest-grasslandhealth/?cid=fsbdev2_027376</w:t>
        <w:br/>
      </w:r>
    </w:p>
    <w:p>
      <w:pPr>
        <w:pStyle w:val="Normal"/>
        <w:spacing w:lineRule="auto" w:line="480"/>
        <w:ind w:left="720" w:hanging="720"/>
        <w:rPr>
          <w:rFonts w:eastAsia="Times New Roman"/>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Hansen, E. M. (1979). Survival of Phellinusweirii in Douglas-fir stumps after logging. Canadian Journal of Forest Research. 9(4): 484-488. </w:t>
      </w:r>
      <w:hyperlink r:id="rId30">
        <w:r>
          <w:rPr>
            <w:rStyle w:val="InternetLink"/>
            <w:rFonts w:cs="Open Sans" w:ascii="Open Sans" w:hAnsi="Open Sans"/>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rFonts w:cs="Open Sans" w:ascii="Open Sans" w:hAnsi="Open Sans"/>
            <w:sz w:val="21"/>
            <w:szCs w:val="21"/>
            <w:shd w:fill="FFFFFF" w:val="clear"/>
          </w:rPr>
          <w:t>https://doi.org/10.1002/ecs2.1569</w:t>
        </w:r>
      </w:hyperlink>
    </w:p>
    <w:p>
      <w:pPr>
        <w:pStyle w:val="Normal"/>
        <w:spacing w:lineRule="auto" w:line="480"/>
        <w:ind w:left="720" w:hanging="720"/>
        <w:rPr>
          <w:rStyle w:val="InternetLink"/>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rFonts w:cs="Open Sans" w:ascii="Open Sans" w:hAnsi="Open Sans"/>
            <w:sz w:val="21"/>
            <w:szCs w:val="21"/>
            <w:shd w:fill="FFFFFF" w:val="clear"/>
          </w:rPr>
          <w:t>https://doi.org/10.1016/j.foreco.2019.03.063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rFonts w:cs="Open Sans" w:ascii="Open Sans" w:hAnsi="Open Sans"/>
            <w:sz w:val="21"/>
            <w:szCs w:val="21"/>
            <w:shd w:fill="FFFFFF" w:val="clear"/>
          </w:rPr>
          <w:t>https://doi.org/10.1080/17550874.2012.679013</w:t>
        </w:r>
      </w:hyperlink>
    </w:p>
    <w:p>
      <w:pPr>
        <w:pStyle w:val="Normal"/>
        <w:spacing w:lineRule="auto" w:line="480"/>
        <w:ind w:left="720" w:hanging="720"/>
        <w:rPr>
          <w:rStyle w:val="InternetLink"/>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rFonts w:cs="Open Sans" w:ascii="Open Sans" w:hAnsi="Open Sans"/>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rStyle w:val="InternetLink"/>
          <w:rFonts w:ascii="Open Sans" w:hAnsi="Open Sans" w:cs="Open Sans"/>
          <w:sz w:val="21"/>
          <w:szCs w:val="21"/>
          <w:shd w:fill="FFFFFF" w:val="clear"/>
        </w:rPr>
      </w:pPr>
      <w:hyperlink r:id="rId35">
        <w:r>
          <w:rPr>
            <w:rStyle w:val="InternetLink"/>
            <w:rFonts w:cs="Open Sans" w:ascii="Open Sans" w:hAnsi="Open Sans"/>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color w:val="0000FF"/>
          <w:sz w:val="21"/>
          <w:szCs w:val="21"/>
          <w:u w:val="single"/>
          <w:shd w:fill="FFFFFF" w:val="clear"/>
        </w:rPr>
      </w:pPr>
      <w:r>
        <w:rPr>
          <w:rFonts w:cs="Open Sans" w:ascii="Open Sans" w:hAnsi="Open Sans"/>
          <w:color w:val="0000FF"/>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rFonts w:cs="Open Sans" w:ascii="Open Sans" w:hAnsi="Open Sans"/>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rFonts w:cs="Open Sans" w:ascii="Open Sans" w:hAnsi="Open Sans"/>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rFonts w:cs="Open Sans" w:ascii="Open Sans" w:hAnsi="Open Sans"/>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sz w:val="21"/>
          <w:szCs w:val="21"/>
          <w:shd w:fill="FFFFFF" w:val="clear"/>
        </w:rPr>
        <w:t xml:space="preserve"> </w:t>
      </w:r>
      <w:hyperlink r:id="rId39">
        <w:r>
          <w:rPr>
            <w:rStyle w:val="InternetLink"/>
            <w:rFonts w:cs="Open Sans" w:ascii="Open Sans" w:hAnsi="Open Sans"/>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PRISM Climate Group, Oregon State University, (2018). </w:t>
      </w:r>
      <w:r>
        <w:rPr>
          <w:rStyle w:val="InternetLink"/>
          <w:rFonts w:cs="Open Sans" w:ascii="Open Sans" w:hAnsi="Open Sans"/>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sz w:val="21"/>
          <w:szCs w:val="21"/>
          <w:shd w:fill="FFFFFF" w:val="clear"/>
        </w:rPr>
      </w:pPr>
      <w:r>
        <w:rPr>
          <w:rFonts w:eastAsia="Times New Roman"/>
          <w:sz w:val="24"/>
          <w:szCs w:val="24"/>
        </w:rPr>
        <w:t xml:space="preserve">RStudio Team (2021). RStudio: Integrated Development Environment for R. RStudio, PBC, Boston, MA. </w:t>
      </w:r>
      <w:hyperlink r:id="rId40">
        <w:r>
          <w:rPr>
            <w:rStyle w:val="InternetLink"/>
            <w:rFonts w:cs="Open Sans" w:ascii="Open Sans" w:hAnsi="Open Sans"/>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rFonts w:cs="Open Sans" w:ascii="Open Sans" w:hAnsi="Open Sans"/>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rFonts w:cs="Open Sans" w:ascii="Open Sans" w:hAnsi="Open Sans"/>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rFonts w:eastAsia="Times New Roman"/>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t xml:space="preserve">Wickham, H. (2009). ggplot2: Elegant Graphics for Data Analysis. Springer-Verlag. </w:t>
      </w:r>
      <w:r>
        <w:rPr>
          <w:rStyle w:val="InternetLink"/>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000000"/>
          <w:sz w:val="27"/>
          <w:szCs w:val="27"/>
          <w:shd w:fill="FFFFFF" w:val="clear"/>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44">
        <w:r>
          <w:rPr>
            <w:rStyle w:val="InternetLink"/>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rFonts w:cs="Open Sans" w:ascii="Open Sans" w:hAnsi="Open Sans"/>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r>
    </w:p>
    <w:sectPr>
      <w:type w:val="nextPage"/>
      <w:pgSz w:w="12240" w:h="15840"/>
      <w:pgMar w:left="1440" w:right="1440" w:header="0" w:top="1440" w:footer="0" w:bottom="1440" w:gutter="0"/>
      <w:lnNumType w:countBy="1" w:restart="continuous" w:distance="283"/>
      <w:pgNumType w:start="1" w:fmt="decimal"/>
      <w:formProt w:val="false"/>
      <w:textDirection w:val="lrTb"/>
      <w:docGrid w:type="default" w:linePitch="299"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1-09-16T07:37:00Z" w:initials="LJ">
    <w:p>
      <w:r>
        <w:rPr>
          <w:rFonts w:ascii="Liberation Serif" w:hAnsi="Liberation Serif" w:eastAsia="Segoe UI" w:cs="Tahoma"/>
          <w:sz w:val="24"/>
          <w:szCs w:val="24"/>
          <w:lang w:val="en-US" w:eastAsia="en-US" w:bidi="en-US"/>
        </w:rPr>
        <w:t>You should probably say something about the objectives in the abstract and the link the major findigs back to the objectivers.</w:t>
      </w:r>
    </w:p>
  </w:comment>
  <w:comment w:id="1" w:author="Shawn McMurtrey" w:date="2021-09-17T10:40:00Z" w:initials="SM">
    <w:p>
      <w:r>
        <w:rPr>
          <w:rFonts w:ascii="Liberation Serif" w:hAnsi="Liberation Serif" w:eastAsia="Segoe UI" w:cs="Tahoma"/>
          <w:sz w:val="24"/>
          <w:szCs w:val="24"/>
          <w:lang w:val="en-US" w:eastAsia="en-US" w:bidi="en-US"/>
        </w:rPr>
        <w:t>Edited to mention overarching main objective.</w:t>
      </w:r>
    </w:p>
  </w:comment>
  <w:comment w:id="2" w:author="Shawn McMurtrey" w:date="2021-09-17T11:08:00Z" w:initials="SM">
    <w:p>
      <w:r>
        <w:rPr>
          <w:rFonts w:ascii="Liberation Serif" w:hAnsi="Liberation Serif" w:eastAsia="Segoe UI" w:cs="Tahoma"/>
          <w:sz w:val="24"/>
          <w:szCs w:val="24"/>
          <w:lang w:val="en-US" w:eastAsia="en-US" w:bidi="en-US"/>
        </w:rPr>
        <w:t>Objective 1.</w:t>
      </w:r>
    </w:p>
  </w:comment>
  <w:comment w:id="3" w:author="Shawn McMurtrey" w:date="2021-09-17T10:48:00Z" w:initials="SM">
    <w:p>
      <w:r>
        <w:rPr>
          <w:rFonts w:ascii="Liberation Serif" w:hAnsi="Liberation Serif" w:eastAsia="Segoe UI" w:cs="Tahoma"/>
          <w:sz w:val="24"/>
          <w:szCs w:val="24"/>
          <w:lang w:val="en-US" w:eastAsia="en-US" w:bidi="en-US"/>
        </w:rPr>
        <w:t>Objective 2.</w:t>
      </w:r>
    </w:p>
  </w:comment>
  <w:comment w:id="4" w:author="Shawn McMurtrey" w:date="2021-09-17T11:08:00Z" w:initials="SM">
    <w:p>
      <w:r>
        <w:rPr>
          <w:rFonts w:ascii="Liberation Serif" w:hAnsi="Liberation Serif" w:eastAsia="Segoe UI" w:cs="Tahoma"/>
          <w:sz w:val="24"/>
          <w:szCs w:val="24"/>
          <w:lang w:val="en-US" w:eastAsia="en-US" w:bidi="en-US"/>
        </w:rPr>
        <w:t xml:space="preserve">Objective 3. </w:t>
      </w:r>
    </w:p>
  </w:comment>
  <w:comment w:id="5"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7" w:author="LeBoldus, Jared" w:date="2021-09-16T08:00:00Z" w:initials="LJ">
    <w:p>
      <w:r>
        <w:rPr>
          <w:rFonts w:ascii="Liberation Serif" w:hAnsi="Liberation Serif" w:eastAsia="Segoe UI" w:cs="Tahoma"/>
          <w:sz w:val="24"/>
          <w:szCs w:val="24"/>
          <w:lang w:val="en-US" w:eastAsia="en-US" w:bidi="en-US"/>
        </w:rPr>
        <w:t>I would describe the Siuslaw national forest first and then the number of plots etc…I think it is better to go from big too little. A lot of the general information about the Siuslaw national forest could go in the introduction. You should also consider describing the vegeation type in the introduction. See Franklin and Dyrness – natural vegetation of Oregon and Washington.</w:t>
      </w:r>
    </w:p>
  </w:comment>
  <w:comment w:id="6" w:author="Shawn McMurtrey" w:date="2021-10-12T22:44:00Z" w:initials="SM">
    <w:p>
      <w:r>
        <w:rPr>
          <w:rFonts w:ascii="Liberation Serif" w:hAnsi="Liberation Serif" w:eastAsia="Segoe UI" w:cs="Tahoma"/>
          <w:sz w:val="24"/>
          <w:szCs w:val="24"/>
          <w:lang w:val="en-US" w:eastAsia="en-US" w:bidi="en-US"/>
        </w:rPr>
        <w:t xml:space="preserve">I moved most of the information about the Siuslaw into the intro. From looking at </w:t>
      </w:r>
      <w:r>
        <w:rPr>
          <w:rFonts w:ascii="Liberation Serif" w:hAnsi="Liberation Serif" w:cs="Tahoma" w:eastAsia="Times New Roman"/>
          <w:sz w:val="24"/>
          <w:szCs w:val="24"/>
          <w:lang w:val="en-US" w:eastAsia="en-US" w:bidi="en-US"/>
        </w:rPr>
        <w:t>Woods, A. J., and Watts, M. (2019) and a couple of other papers from FEM journal the vegetation type is included within the methods. I can move it to the intro if you would like but just wanted to bring this point to your attention.</w:t>
      </w:r>
    </w:p>
  </w:comment>
  <w:comment w:id="8"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9" w:author="Unknown Author" w:date="2022-07-14T09:07:13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Necessary?</w:t>
      </w:r>
    </w:p>
  </w:comment>
  <w:comment w:id="10" w:author="Shawn McMurtrey" w:date="2021-09-28T12:31:00Z" w:initials="SM">
    <w:p>
      <w:r>
        <w:rPr>
          <w:rFonts w:ascii="Liberation Serif" w:hAnsi="Liberation Serif" w:eastAsia="Segoe UI" w:cs="Tahoma"/>
          <w:sz w:val="24"/>
          <w:szCs w:val="24"/>
          <w:lang w:val="en-US" w:eastAsia="en-US" w:bidi="en-US"/>
        </w:rPr>
        <w:t xml:space="preserve">As a reminder, the objectives are: </w:t>
      </w:r>
      <w:r>
        <w:rPr>
          <w:rFonts w:ascii="Liberation Serif" w:hAnsi="Liberation Serif" w:eastAsia="Segoe UI" w:cs="Tahoma"/>
          <w:sz w:val="24"/>
          <w:szCs w:val="24"/>
          <w:lang w:val="en-US" w:eastAsia="en-US" w:bidi="en-US"/>
        </w:rPr>
        <w:t xml:space="preserve">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11" w:author="Shawn McMurtrey" w:date="2021-10-04T21:03:00Z" w:initials="SM">
    <w:p>
      <w:r>
        <w:rPr>
          <w:rFonts w:ascii="Liberation Serif" w:hAnsi="Liberation Serif" w:eastAsia="Segoe UI" w:cs="Tahoma"/>
          <w:sz w:val="24"/>
          <w:szCs w:val="24"/>
          <w:lang w:val="en-US" w:eastAsia="en-US" w:bidi="en-US"/>
        </w:rPr>
        <w:t xml:space="preserve">I think this result needs a figure. See file “gtaph_idea.paint” on desktop. </w:t>
      </w:r>
    </w:p>
  </w:comment>
  <w:comment w:id="12" w:author="Shawn McMurtrey" w:date="2021-09-16T14:31:00Z" w:initials="SM">
    <w:p>
      <w:r>
        <w:rPr>
          <w:rFonts w:ascii="Liberation Serif" w:hAnsi="Liberation Serif" w:eastAsia="Segoe UI" w:cs="Tahoma"/>
          <w:sz w:val="24"/>
          <w:szCs w:val="24"/>
          <w:lang w:val="en-US" w:eastAsia="en-US" w:bidi="en-US"/>
        </w:rPr>
        <w:t xml:space="preserve">Not sure about leaving these two individuals in here or not. They never answered any direct questions about FVS but I learned a lot about FVS from attending their online classes or through videos and webinars they recorded.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swiss"/>
    <w:pitch w:val="variable"/>
  </w:font>
  <w:font w:name="Roboto">
    <w:charset w:val="00"/>
    <w:family w:val="roman"/>
    <w:pitch w:val="variable"/>
  </w:font>
  <w:font w:name="Georgia">
    <w:charset w:val="00"/>
    <w:family w:val="roman"/>
    <w:pitch w:val="variable"/>
  </w:font>
  <w:font w:name="Arial">
    <w:charset w:val="01"/>
    <w:family w:val="swiss"/>
    <w:pitch w:val="variable"/>
  </w:font>
  <w:font w:name="Calibri">
    <w:charset w:val="00"/>
    <w:family w:val="roman"/>
    <w:pitch w:val="variable"/>
  </w:font>
  <w:font w:name="Open Sans">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semiHidden/>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semiHidden/>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yperlink" Target="https://forest.moscowfsl.wsu.edu/FVSDataConvert/"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doi.org/10.1016/j.foreco.2005.01.034" TargetMode="External"/><Relationship Id="rId23" Type="http://schemas.openxmlformats.org/officeDocument/2006/relationships/hyperlink" Target="https://ir.library.oregonstate.edu/concern/graduate_thesis_or_dissertations/k930c098s" TargetMode="External"/><Relationship Id="rId24" Type="http://schemas.openxmlformats.org/officeDocument/2006/relationships/hyperlink" Target="https://doi.org/10.3389/ffgc.2021.695981" TargetMode="External"/><Relationship Id="rId25" Type="http://schemas.openxmlformats.org/officeDocument/2006/relationships/hyperlink" Target="https://doi.org/10.1016/j.foreco.2012.05.040" TargetMode="External"/><Relationship Id="rId26" Type="http://schemas.openxmlformats.org/officeDocument/2006/relationships/hyperlink" Target="https://www.fs.usda.gov/treesearch/pubs/46886" TargetMode="External"/><Relationship Id="rId27" Type="http://schemas.openxmlformats.org/officeDocument/2006/relationships/hyperlink" Target="https://doi.org/10.2737/PSW-GTR-165" TargetMode="External"/><Relationship Id="rId28" Type="http://schemas.openxmlformats.org/officeDocument/2006/relationships/hyperlink" Target="https://doi.org/10.5849/jof.10-006" TargetMode="External"/><Relationship Id="rId29" Type="http://schemas.openxmlformats.org/officeDocument/2006/relationships/hyperlink" Target="https://www.biodiversitylibrary.org/bibliography/178892" TargetMode="External"/><Relationship Id="rId30" Type="http://schemas.openxmlformats.org/officeDocument/2006/relationships/hyperlink" Target="https://doi.org/10.1139/x79-078"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comments" Target="comments.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Application>LibreOffice/7.1.5.2$Windows_X86_64 LibreOffice_project/85f04e9f809797b8199d13c421bd8a2b025d52b5</Application>
  <AppVersion>15.0000</AppVersion>
  <Pages>36</Pages>
  <Words>7097</Words>
  <Characters>39272</Characters>
  <CharactersWithSpaces>46098</CharactersWithSpaces>
  <Paragraphs>351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2021-10-13T07:43:00Z</dcterms:created>
  <dc:creator>Shawn McMurtrey</dc:creator>
  <dc:description/>
  <dc:language>en-US</dc:language>
  <cp:lastModifiedBy/>
  <dcterms:modified xsi:type="dcterms:W3CDTF">2022-07-14T09:44:33Z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