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B.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laminated root rot, forest management, forest pathology, thinning</w:t>
      </w:r>
    </w:p>
    <w:p>
      <w:pPr>
        <w:pStyle w:val="Normal"/>
        <w:spacing w:lineRule="auto" w:line="480"/>
        <w:rPr>
          <w:b/>
          <w:b/>
          <w:sz w:val="28"/>
          <w:szCs w:val="28"/>
        </w:rPr>
      </w:pPr>
      <w:r>
        <w:rPr>
          <w:b/>
          <w:sz w:val="28"/>
          <w:szCs w:val="28"/>
        </w:rPr>
      </w:r>
      <w:r>
        <w:br w:type="page"/>
      </w:r>
    </w:p>
    <w:p>
      <w:pPr>
        <w:pStyle w:val="Normal"/>
        <w:spacing w:lineRule="auto" w:line="480"/>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minated root rot. Three different thinning prescriptions were applied across ~160 hectares within the Siuslaw National Forest in 1985, and five different rotation treatments were applied across 14 hectares of privately-</w:t>
      </w:r>
      <w:bookmarkStart w:id="0" w:name="_GoBack"/>
      <w:bookmarkEnd w:id="0"/>
      <w:r>
        <w:rPr>
          <w:sz w:val="24"/>
          <w:szCs w:val="24"/>
        </w:rPr>
        <w:t>owned forest in Columbia County beginning in 1975. Inventories were conducted approximately every 5-10 years with a final evaluation being conducted in 2020. Both sites were chosen for high incidence of laminated root rot. Observed data was compared with anticipated data produced by the Forest Vegetation Simulator and Western Root Disease Models. An analysis of variance examination determined that there was not a significant difference among treatments (p = 0.628). Results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Modelled data was found to reliably predict observed data for both the Forest Vegetation Simulator and Western Root Disease Models. From the results of this study, commercial thinning treatments do not seem to have a significant effect on reducing tree mortality caused by </w:t>
      </w:r>
      <w:r>
        <w:rPr>
          <w:i/>
          <w:iCs/>
          <w:sz w:val="24"/>
          <w:szCs w:val="24"/>
        </w:rPr>
        <w:t>Coniferiporia sulphurascens</w:t>
      </w:r>
      <w:r>
        <w:rPr>
          <w:sz w:val="24"/>
          <w:szCs w:val="24"/>
        </w:rPr>
        <w:t xml:space="preserve">. </w:t>
      </w:r>
      <w:r>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 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1"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 term study to assess quality control for the WRDM and LRR caused by </w:t>
      </w:r>
      <w:r>
        <w:rPr>
          <w:i/>
          <w:iCs/>
          <w:sz w:val="24"/>
          <w:szCs w:val="24"/>
        </w:rPr>
        <w:t>C. sulphurascens</w:t>
      </w:r>
      <w:r>
        <w:rPr>
          <w:sz w:val="24"/>
          <w:szCs w:val="24"/>
        </w:rPr>
        <w:t xml:space="preserve">. </w:t>
        <w:b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both threatened species (</w:t>
      </w:r>
      <w:commentRangeStart w:id="1"/>
      <w:r>
        <w:rPr>
          <w:sz w:val="24"/>
          <w:szCs w:val="24"/>
        </w:rPr>
        <w:t>USDA, 1990</w:t>
      </w:r>
      <w:r>
        <w:rPr>
          <w:sz w:val="24"/>
          <w:szCs w:val="24"/>
        </w:rPr>
      </w:r>
      <w:commentRangeEnd w:id="1"/>
      <w:r>
        <w:commentReference w:id="1"/>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r>
        <w:rPr/>
        <w:commentReference w:id="2"/>
      </w:r>
    </w:p>
    <w:p>
      <w:pPr>
        <w:pStyle w:val="Normal"/>
        <w:spacing w:lineRule="auto" w:line="480"/>
        <w:rPr>
          <w:sz w:val="24"/>
          <w:szCs w:val="24"/>
        </w:rPr>
      </w:pPr>
      <w:r>
        <w:rPr>
          <w:sz w:val="24"/>
          <w:szCs w:val="24"/>
        </w:rPr>
      </w:r>
    </w:p>
    <w:p>
      <w:pPr>
        <w:pStyle w:val="Normal"/>
        <w:spacing w:lineRule="auto" w:line="480"/>
        <w:rPr/>
      </w:pPr>
      <w:r>
        <w:rPr/>
        <w:commentReference w:id="3"/>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Spcifically </w:t>
      </w:r>
      <w:r>
        <w:rPr>
          <w:rFonts w:eastAsia="NSimSun" w:cs="Lucida Sans"/>
          <w:kern w:val="2"/>
          <w:sz w:val="24"/>
          <w:szCs w:val="24"/>
          <w:lang w:val="en-US" w:eastAsia="zh-CN" w:bidi="hi-IN"/>
        </w:rPr>
        <w:t>the studies aimed to d</w:t>
      </w:r>
      <w:r>
        <w:rPr>
          <w:sz w:val="24"/>
          <w:szCs w:val="24"/>
        </w:rPr>
        <w:t xml:space="preserve">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p>
    <w:p>
      <w:pPr>
        <w:pStyle w:val="Normal"/>
        <w:spacing w:lineRule="auto" w:line="480"/>
        <w:rPr/>
      </w:pPr>
      <w:r>
        <w:rPr>
          <w:sz w:val="24"/>
          <w:szCs w:val="24"/>
        </w:rPr>
        <w:t>The specific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treatments.</w:t>
      </w:r>
    </w:p>
    <w:p>
      <w:pPr>
        <w:pStyle w:val="Normal"/>
        <w:spacing w:lineRule="auto" w:line="480"/>
        <w:rPr/>
      </w:pPr>
      <w:r>
        <w:rPr/>
        <w:br/>
      </w:r>
      <w:r>
        <w:rPr>
          <w:b/>
          <w:sz w:val="28"/>
          <w:szCs w:val="28"/>
        </w:rPr>
        <w:t>2. Methods</w:t>
      </w:r>
    </w:p>
    <w:p>
      <w:pPr>
        <w:pStyle w:val="Normal"/>
        <w:spacing w:lineRule="auto" w:line="480"/>
        <w:rPr/>
      </w:pPr>
      <w:r>
        <w:rPr>
          <w:b/>
          <w:sz w:val="24"/>
          <w:szCs w:val="24"/>
        </w:rPr>
        <w:t>2.1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sz w:val="24"/>
          <w:szCs w:val="24"/>
        </w:rPr>
        <w:t>Fig. 1</w:t>
      </w:r>
      <w:r>
        <w:rPr>
          <w:sz w:val="24"/>
          <w:szCs w:val="24"/>
        </w:rPr>
        <w:t xml:space="preserve">). </w:t>
      </w:r>
    </w:p>
    <w:p>
      <w:pPr>
        <w:pStyle w:val="Normal"/>
        <w:spacing w:lineRule="auto" w:line="480"/>
        <w:rPr/>
      </w:pPr>
      <w:r>
        <w:rPr>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sz w:val="24"/>
          <w:szCs w:val="24"/>
          <w:vertAlign w:val="superscript"/>
        </w:rPr>
        <w:t>2</w:t>
      </w:r>
      <w:r>
        <w:rPr>
          <w:sz w:val="24"/>
          <w:szCs w:val="24"/>
        </w:rPr>
        <w:t>/ha of basal area. Treatment 3 (TMT 3) was made up of five stands that were thinned to 42.1 m</w:t>
      </w:r>
      <w:r>
        <w:rPr>
          <w:sz w:val="24"/>
          <w:szCs w:val="24"/>
          <w:vertAlign w:val="superscript"/>
        </w:rPr>
        <w:t>2</w:t>
      </w:r>
      <w:r>
        <w:rPr>
          <w:sz w:val="24"/>
          <w:szCs w:val="24"/>
        </w:rPr>
        <w:t xml:space="preserve">/ha of basal area. </w:t>
      </w:r>
      <w:commentRangeStart w:id="4"/>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4"/>
      <w:r>
        <w:commentReference w:id="4"/>
      </w:r>
      <w:r>
        <w:rPr>
          <w:sz w:val="24"/>
          <w:szCs w:val="24"/>
        </w:rPr>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drawing>
          <wp:inline distT="0" distB="0" distL="0" distR="0">
            <wp:extent cx="5943600" cy="4160520"/>
            <wp:effectExtent l="0" t="0" r="0" b="0"/>
            <wp:docPr id="1"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pic:cNvPicPr>
                      <a:picLocks noChangeAspect="1" noChangeArrowheads="1"/>
                    </pic:cNvPicPr>
                  </pic:nvPicPr>
                  <pic:blipFill>
                    <a:blip r:embed="rId17"/>
                    <a:stretch>
                      <a:fillRect/>
                    </a:stretch>
                  </pic:blipFill>
                  <pic:spPr bwMode="auto">
                    <a:xfrm>
                      <a:off x="0" y="0"/>
                      <a:ext cx="5943600" cy="4160520"/>
                    </a:xfrm>
                    <a:prstGeom prst="rect">
                      <a:avLst/>
                    </a:prstGeom>
                  </pic:spPr>
                </pic:pic>
              </a:graphicData>
            </a:graphic>
          </wp:inline>
        </w:drawing>
      </w:r>
    </w:p>
    <w:p>
      <w:pPr>
        <w:pStyle w:val="Normal"/>
        <w:spacing w:lineRule="auto" w:line="480"/>
        <w:rPr/>
      </w:pPr>
      <w:r>
        <w:rPr>
          <w:b/>
          <w:sz w:val="24"/>
          <w:szCs w:val="24"/>
        </w:rPr>
        <w:t xml:space="preserve">Figure 1: </w:t>
      </w:r>
      <w:r>
        <w:rPr>
          <w:sz w:val="24"/>
          <w:szCs w:val="24"/>
        </w:rPr>
        <w:t xml:space="preserve">Study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color w:val="auto"/>
            <w:sz w:val="24"/>
            <w:szCs w:val="24"/>
          </w:rPr>
          <w:t>https://mcmurtrs.github.io/WoodsCreek/</w:t>
        </w:r>
      </w:hyperlink>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t>
      </w:r>
      <w:r>
        <w:rPr/>
        <w:t>(Wickham, 2017) and ggplot2 (</w:t>
      </w:r>
      <w:r>
        <w:rPr>
          <w:color w:val="000000"/>
          <w:sz w:val="20"/>
          <w:szCs w:val="20"/>
          <w:shd w:fill="FFFFFF" w:val="clear"/>
        </w:rPr>
        <w:t>Wickham, 2009)</w:t>
      </w:r>
      <w:r>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version 3261, RV: 2020.10.10, through the graphical user interface. The variant used for all modelled runs was the Pacific Northwest Coast (PN) variant. Cleaned excel files were formatted to work with FVS and converted to a database file using the USFS Sqlite3 database builder website (</w:t>
      </w:r>
      <w:hyperlink r:id="rId19">
        <w:r>
          <w:rPr>
            <w:sz w:val="24"/>
            <w:szCs w:val="24"/>
            <w:u w:val="single"/>
          </w:rPr>
          <w:t>https://forest.moscowfsl.wsu.edu/FVSDataConvert/</w:t>
        </w:r>
      </w:hyperlink>
      <w:r>
        <w:rPr>
          <w:sz w:val="24"/>
          <w:szCs w:val="24"/>
        </w:rPr>
        <w:t>). Underlying data errors were initially checked in FVS using the “stand summary data '' option. For the FVS analysis, two comparisons were made; the first comparison involved the observed data compared to a default run in FVS. The second comparison included a comparison of the observed data with the WRDM extension.</w:t>
        <w:b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sz w:val="24"/>
          <w:szCs w:val="24"/>
        </w:rPr>
        <w:t xml:space="preserve"> The proportion of plots within a stand in which LRR was detected was used as total root disease parameter. This was</w:t>
      </w:r>
      <w:r>
        <w:rPr>
          <w:sz w:val="24"/>
          <w:szCs w:val="24"/>
          <w:highlight w:val="white"/>
        </w:rPr>
        <w:t xml:space="preserve"> calculated by multiplying the percentage of plots within the stand where </w:t>
      </w:r>
      <w:r>
        <w:rPr>
          <w:i/>
          <w:sz w:val="24"/>
          <w:szCs w:val="24"/>
          <w:highlight w:val="white"/>
        </w:rPr>
        <w:t>Coniferiporia</w:t>
      </w:r>
      <w:r>
        <w:rPr>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pPr>
        <w:pStyle w:val="Normal"/>
        <w:spacing w:lineRule="auto" w:line="480"/>
        <w:rPr>
          <w:sz w:val="24"/>
          <w:szCs w:val="24"/>
          <w:highlight w:val="white"/>
        </w:rPr>
      </w:pPr>
      <w:r>
        <w:rPr>
          <w:sz w:val="24"/>
          <w:szCs w:val="24"/>
          <w:highlight w:val="white"/>
        </w:rPr>
      </w:r>
    </w:p>
    <w:p>
      <w:pPr>
        <w:pStyle w:val="Normal"/>
        <w:spacing w:lineRule="auto" w:line="480"/>
        <w:rPr/>
      </w:pPr>
      <w:r>
        <w:rPr>
          <w:sz w:val="24"/>
          <w:szCs w:val="24"/>
          <w:highlight w:val="white"/>
        </w:rPr>
        <w:t>Parameters for the RRInit keyword, proportion of roots infected was estimated at a 0.4 overall and used as the standard. This was taking into consideration that 0.1 (10%) is 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2.2 Hardwood rotation study</w:t>
      </w:r>
    </w:p>
    <w:p>
      <w:pPr>
        <w:pStyle w:val="Normal"/>
        <w:spacing w:lineRule="auto" w:line="480"/>
        <w:rPr/>
      </w:pPr>
      <w:r>
        <w:rPr>
          <w:b/>
          <w:sz w:val="24"/>
          <w:szCs w:val="24"/>
        </w:rPr>
        <w:t>2.2.1 Study area</w:t>
      </w:r>
    </w:p>
    <w:p>
      <w:pPr>
        <w:pStyle w:val="Normal"/>
        <w:spacing w:lineRule="auto" w:line="480"/>
        <w:rPr/>
      </w:pPr>
      <w:r>
        <w:rPr>
          <w:sz w:val="24"/>
          <w:szCs w:val="24"/>
        </w:rPr>
        <w:t xml:space="preserve">A 35 acre stand of 40 year old Douglas-fir, at he time owned by International Paper Co., was selected based on high incidence of laminated root rot (LRR). The stand </w:t>
      </w:r>
      <w:r>
        <w:rPr>
          <w:rFonts w:eastAsia="NSimSun" w:cs="Lucida Sans"/>
          <w:kern w:val="2"/>
          <w:sz w:val="24"/>
          <w:szCs w:val="24"/>
          <w:lang w:val="en-US" w:eastAsia="zh-CN" w:bidi="hi-IN"/>
        </w:rPr>
        <w:t>lay</w:t>
      </w:r>
      <w:r>
        <w:rPr>
          <w:sz w:val="24"/>
          <w:szCs w:val="24"/>
        </w:rPr>
        <w:t xml:space="preserve"> on a NE slope at about 1800’ elevation near the town of Apiary in NW Oregon. 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(132’) intervals running NE-SW and S</w:t>
      </w:r>
      <w:r>
        <w:rPr>
          <w:rFonts w:eastAsia="NSimSun" w:cs="Lucida Sans"/>
          <w:kern w:val="2"/>
          <w:sz w:val="24"/>
          <w:szCs w:val="24"/>
          <w:lang w:val="en-US" w:eastAsia="zh-CN" w:bidi="hi-IN"/>
        </w:rPr>
        <w:t>E-NW</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 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1/20 acre (26.3’ radius)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visa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8’ x 8’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pStyle w:val="Normal"/>
        <w:spacing w:lineRule="auto" w:line="480"/>
        <w:rPr/>
      </w:pPr>
      <w:commentRangeStart w:id="5"/>
      <w:r>
        <w:rPr>
          <w:rFonts w:eastAsia="NSimSun" w:cs="Lucida Sans"/>
          <w:kern w:val="2"/>
          <w:sz w:val="24"/>
          <w:szCs w:val="24"/>
          <w:lang w:val="en-US" w:eastAsia="zh-CN" w:bidi="hi-IN"/>
        </w:rPr>
        <w:t>IPC sold site to Stimpson Lumber Company in 1993. Sold to Weyerhauser in 20??</w:t>
      </w:r>
      <w:commentRangeEnd w:id="5"/>
      <w:r>
        <w:commentReference w:id="5"/>
      </w:r>
      <w:r>
        <w:rPr>
          <w:rFonts w:eastAsia="NSimSun" w:cs="Lucida San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rPr/>
      </w:pPr>
      <w:r>
        <w:rPr>
          <w:rFonts w:eastAsia="NSimSun" w:cs="Lucida Sans"/>
          <w:kern w:val="2"/>
          <w:sz w:val="24"/>
          <w:szCs w:val="24"/>
          <w:lang w:val="en-US" w:eastAsia="zh-CN" w:bidi="hi-IN"/>
        </w:rPr>
        <w:t>Tree positions were mapped,  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b/>
          <w:bCs/>
          <w:iCs/>
          <w:sz w:val="24"/>
          <w:szCs w:val="24"/>
        </w:rPr>
        <w:t>2.2.4 Data cleaning and analysis</w:t>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r>
    </w:p>
    <w:p>
      <w:pPr>
        <w:pStyle w:val="Normal"/>
        <w:tabs>
          <w:tab w:val="clear" w:pos="720"/>
          <w:tab w:val="left" w:pos="6390" w:leader="none"/>
        </w:tabs>
        <w:spacing w:lineRule="auto" w:line="480"/>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b/>
          <w:b/>
          <w:sz w:val="24"/>
          <w:szCs w:val="24"/>
        </w:rPr>
      </w:pPr>
      <w:r>
        <w:rPr>
          <w:b/>
          <w:sz w:val="24"/>
          <w:szCs w:val="24"/>
        </w:rPr>
      </w:r>
    </w:p>
    <w:p>
      <w:pPr>
        <w:pStyle w:val="Normal"/>
        <w:spacing w:lineRule="auto" w:line="480"/>
        <w:rPr/>
      </w:pPr>
      <w:r>
        <w:rPr>
          <w:b/>
          <w:sz w:val="28"/>
          <w:szCs w:val="28"/>
        </w:rPr>
        <w:t xml:space="preserve">3. </w:t>
      </w:r>
      <w:commentRangeStart w:id="6"/>
      <w:r>
        <w:rPr>
          <w:b/>
          <w:sz w:val="28"/>
          <w:szCs w:val="28"/>
        </w:rPr>
        <w:t>Results</w:t>
      </w:r>
      <w:commentRangeEnd w:id="6"/>
      <w:r>
        <w:commentReference w:id="6"/>
      </w:r>
      <w:r>
        <w:rPr>
          <w:b/>
          <w:sz w:val="28"/>
          <w:szCs w:val="28"/>
        </w:rPr>
      </w:r>
    </w:p>
    <w:p>
      <w:pPr>
        <w:pStyle w:val="Normal"/>
        <w:spacing w:lineRule="auto" w:line="480"/>
        <w:rPr/>
      </w:pPr>
      <w:r>
        <w:rPr>
          <w:b/>
          <w:sz w:val="24"/>
          <w:szCs w:val="24"/>
        </w:rPr>
        <w:t xml:space="preserve">3.1 Species composition </w:t>
      </w:r>
    </w:p>
    <w:p>
      <w:pPr>
        <w:pStyle w:val="Normal"/>
        <w:spacing w:lineRule="auto" w:line="480"/>
        <w:rPr/>
      </w:pPr>
      <w:r>
        <w:rPr>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 TMT 1, 15.3 m</w:t>
      </w:r>
      <w:r>
        <w:rPr>
          <w:b/>
          <w:bCs/>
          <w:sz w:val="24"/>
          <w:szCs w:val="24"/>
          <w:vertAlign w:val="superscript"/>
        </w:rPr>
        <w:t>2</w:t>
      </w:r>
      <w:r>
        <w:rPr>
          <w:sz w:val="24"/>
          <w:szCs w:val="24"/>
        </w:rPr>
        <w:t>/ha for TMT 2, and 17.9 m</w:t>
      </w:r>
      <w:r>
        <w:rPr>
          <w:b/>
          <w:bCs/>
          <w:sz w:val="24"/>
          <w:szCs w:val="24"/>
          <w:vertAlign w:val="superscript"/>
        </w:rPr>
        <w:t>2</w:t>
      </w:r>
      <w:r>
        <w:rPr>
          <w:sz w:val="24"/>
          <w:szCs w:val="24"/>
        </w:rPr>
        <w:t>/ha for TMT 3 (</w:t>
      </w:r>
      <w:r>
        <w:rPr>
          <w:b/>
          <w:bCs/>
          <w:sz w:val="24"/>
          <w:szCs w:val="24"/>
        </w:rPr>
        <w:t>Table 1</w:t>
      </w:r>
      <w:r>
        <w:rPr>
          <w:sz w:val="24"/>
          <w:szCs w:val="24"/>
        </w:rPr>
        <w:t xml:space="preserve">). The mean mortality DBH for all trees was 29.7 cm.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hemlock measured had a DBH of 135 cm. </w:t>
      </w:r>
    </w:p>
    <w:p>
      <w:pPr>
        <w:pStyle w:val="Normal"/>
        <w:spacing w:lineRule="auto" w:line="480"/>
        <w:rPr>
          <w:sz w:val="24"/>
          <w:szCs w:val="24"/>
        </w:rPr>
      </w:pPr>
      <w:r>
        <w:rPr>
          <w:sz w:val="24"/>
          <w:szCs w:val="24"/>
        </w:rPr>
      </w:r>
    </w:p>
    <w:p>
      <w:pPr>
        <w:pStyle w:val="Normal"/>
        <w:spacing w:lineRule="auto" w:line="480"/>
        <w:rPr/>
      </w:pPr>
      <w:r>
        <w:rPr>
          <w:b/>
          <w:sz w:val="24"/>
          <w:szCs w:val="24"/>
        </w:rPr>
        <w:t>Table 1</w:t>
      </w:r>
      <w:r>
        <w:rPr>
          <w:sz w:val="24"/>
          <w:szCs w:val="24"/>
        </w:rPr>
        <w:t>: Summary statistics at the stand level for 1990 and 2020</w:t>
      </w:r>
      <w:r>
        <w:rPr>
          <w:b/>
          <w:bCs/>
          <w:sz w:val="24"/>
          <w:szCs w:val="24"/>
        </w:rPr>
        <w:t xml:space="preserve">. </w:t>
      </w:r>
      <w:r>
        <w:rPr>
          <w:sz w:val="24"/>
          <w:szCs w:val="24"/>
        </w:rPr>
        <w:t xml:space="preserve">BA = basal area, SD = standard deviation.  </w:t>
      </w:r>
      <w:r>
        <w:rPr>
          <w:b/>
          <w:sz w:val="20"/>
          <w:szCs w:val="20"/>
        </w:rPr>
        <w:br/>
      </w:r>
    </w:p>
    <w:tbl>
      <w:tblPr>
        <w:tblW w:w="10713" w:type="dxa"/>
        <w:jc w:val="left"/>
        <w:tblInd w:w="-576" w:type="dxa"/>
        <w:tblLayout w:type="fixed"/>
        <w:tblCellMar>
          <w:top w:w="0" w:type="dxa"/>
          <w:left w:w="108" w:type="dxa"/>
          <w:bottom w:w="0" w:type="dxa"/>
          <w:right w:w="108" w:type="dxa"/>
        </w:tblCellMar>
        <w:tblLook w:firstRow="1" w:noVBand="1" w:lastRow="0" w:firstColumn="1" w:lastColumn="0" w:noHBand="0" w:val="04a0"/>
      </w:tblPr>
      <w:tblGrid>
        <w:gridCol w:w="1505"/>
        <w:gridCol w:w="1177"/>
        <w:gridCol w:w="1008"/>
        <w:gridCol w:w="269"/>
        <w:gridCol w:w="676"/>
        <w:gridCol w:w="405"/>
        <w:gridCol w:w="677"/>
        <w:gridCol w:w="268"/>
        <w:gridCol w:w="678"/>
        <w:gridCol w:w="403"/>
        <w:gridCol w:w="678"/>
        <w:gridCol w:w="266"/>
        <w:gridCol w:w="678"/>
        <w:gridCol w:w="403"/>
        <w:gridCol w:w="678"/>
        <w:gridCol w:w="262"/>
        <w:gridCol w:w="682"/>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TMT 1</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TMT 2</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TMT 3</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00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9"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2"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2"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00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9"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2"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2"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77</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54.8</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47.47</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Douglas-fir</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37.48</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22.43</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30.55</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385</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274</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712</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center"/>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10.2</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6.27</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Western hemlock</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13.63</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10.57</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9.64</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94</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other species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10.88</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22</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60</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95.2</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69.4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57.93</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br/>
              <w:t>live trees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25.87</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14.06</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31.21</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476</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347</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869</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 BA of</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14.1</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rPr>
            </w:pPr>
            <w:r>
              <w:rPr>
                <w:rFonts w:eastAsia="Times New Roman" w:cs="Times New Roman" w:ascii="Calibri" w:hAnsi="Calibri"/>
                <w:b/>
                <w:bCs/>
                <w:sz w:val="20"/>
                <w:szCs w:val="20"/>
                <w:lang w:val="en-US"/>
              </w:rPr>
              <w:t>Douglas-fir</w:t>
              <w:br/>
              <w:t>(m</w:t>
            </w:r>
            <w:r>
              <w:rPr>
                <w:b/>
                <w:bCs/>
                <w:sz w:val="24"/>
                <w:szCs w:val="24"/>
                <w:vertAlign w:val="superscript"/>
              </w:rPr>
              <w:t>2</w:t>
            </w:r>
            <w:r>
              <w:rPr>
                <w:rFonts w:eastAsia="Times New Roman" w:cs="Times New Roman" w:ascii="Calibri" w:hAnsi="Calibri"/>
                <w:b/>
                <w:bCs/>
                <w:sz w:val="20"/>
                <w:szCs w:val="20"/>
                <w:lang w:val="en-US"/>
              </w:rPr>
              <w:t>/ha)</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70.3</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116.8</w:t>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167.4</w:t>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b/>
                <w:bCs/>
                <w:sz w:val="20"/>
                <w:szCs w:val="20"/>
                <w:lang w:val="en-US"/>
              </w:rPr>
              <w:t>Douglas-fir as</w:t>
            </w:r>
            <w:r>
              <w:rPr>
                <w:rFonts w:eastAsia="Times New Roman" w:cs="Times New Roman" w:ascii="Calibri" w:hAnsi="Calibri"/>
                <w:sz w:val="20"/>
                <w:szCs w:val="20"/>
                <w:lang w:val="en-US"/>
              </w:rPr>
              <w:t xml:space="preserve"> </w:t>
            </w:r>
            <w:r>
              <w:rPr>
                <w:rFonts w:eastAsia="Times New Roman" w:cs="Times New Roman" w:ascii="Calibri" w:hAnsi="Calibri"/>
                <w:b/>
                <w:bCs/>
                <w:sz w:val="20"/>
                <w:szCs w:val="20"/>
                <w:lang w:val="en-US"/>
              </w:rPr>
              <w:t>proportion</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81%</w:t>
            </w:r>
          </w:p>
        </w:tc>
        <w:tc>
          <w:tcPr>
            <w:tcW w:w="26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82%</w:t>
            </w:r>
          </w:p>
        </w:tc>
        <w:tc>
          <w:tcPr>
            <w:tcW w:w="26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2"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of total trees</w:t>
              <w:b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16"/>
                <w:szCs w:val="16"/>
                <w:lang w:val="en-US"/>
              </w:rPr>
            </w:pPr>
            <w:r>
              <w:rPr>
                <w:rFonts w:eastAsia="Times New Roman" w:cs="Times New Roman" w:ascii="Calibri" w:hAnsi="Calibri"/>
                <w:sz w:val="16"/>
                <w:szCs w:val="16"/>
                <w:lang w:val="en-US"/>
              </w:rPr>
            </w:r>
          </w:p>
        </w:tc>
        <w:tc>
          <w:tcPr>
            <w:tcW w:w="26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2"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r>
    </w:tbl>
    <w:p>
      <w:pPr>
        <w:pStyle w:val="Normal"/>
        <w:spacing w:lineRule="auto" w:line="480"/>
        <w:rPr/>
      </w:pPr>
      <w:r>
        <w:rPr/>
      </w:r>
    </w:p>
    <w:p>
      <w:pPr>
        <w:pStyle w:val="Normal"/>
        <w:spacing w:lineRule="auto" w:line="480"/>
        <w:rPr>
          <w:b/>
          <w:b/>
          <w:sz w:val="28"/>
          <w:szCs w:val="28"/>
        </w:rPr>
      </w:pPr>
      <w:r>
        <w:rPr>
          <w:b/>
          <w:sz w:val="28"/>
          <w:szCs w:val="28"/>
        </w:rPr>
      </w:r>
    </w:p>
    <w:p>
      <w:pPr>
        <w:pStyle w:val="Normal"/>
        <w:spacing w:lineRule="auto" w:line="480"/>
        <w:rPr/>
      </w:pPr>
      <w:r>
        <w:rPr>
          <w:b/>
          <w:sz w:val="24"/>
          <w:szCs w:val="24"/>
        </w:rPr>
        <w:t>3.2 Statistical analysis</w:t>
      </w:r>
    </w:p>
    <w:p>
      <w:pPr>
        <w:pStyle w:val="Normal"/>
        <w:spacing w:lineRule="auto" w:line="480"/>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20"/>
        <w:gridCol w:w="1487"/>
        <w:gridCol w:w="1555"/>
        <w:gridCol w:w="1585"/>
        <w:gridCol w:w="1578"/>
        <w:gridCol w:w="1424"/>
      </w:tblGrid>
      <w:tr>
        <w:trPr/>
        <w:tc>
          <w:tcPr>
            <w:tcW w:w="17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pPr>
      <w:r>
        <w:rPr>
          <w:b/>
          <w:sz w:val="24"/>
          <w:szCs w:val="24"/>
        </w:rPr>
        <w:t xml:space="preserve">3.3 </w:t>
      </w:r>
      <w:commentRangeStart w:id="7"/>
      <w:r>
        <w:rPr>
          <w:b/>
          <w:sz w:val="24"/>
          <w:szCs w:val="24"/>
        </w:rPr>
        <w:t xml:space="preserve">Prevalence rate of root disease </w:t>
      </w:r>
      <w:commentRangeEnd w:id="7"/>
      <w:r>
        <w:commentReference w:id="7"/>
      </w:r>
      <w:r>
        <w:rPr>
          <w:b/>
          <w:sz w:val="24"/>
          <w:szCs w:val="24"/>
        </w:rPr>
      </w:r>
    </w:p>
    <w:p>
      <w:pPr>
        <w:pStyle w:val="Normal"/>
        <w:spacing w:lineRule="auto" w:line="480"/>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pPr>
        <w:pStyle w:val="Normal"/>
        <w:spacing w:lineRule="auto" w:line="480"/>
        <w:rPr>
          <w:sz w:val="24"/>
          <w:szCs w:val="24"/>
        </w:rPr>
      </w:pPr>
      <w:r>
        <w:rPr>
          <w:sz w:val="24"/>
          <w:szCs w:val="24"/>
        </w:rPr>
      </w:r>
    </w:p>
    <w:p>
      <w:pPr>
        <w:pStyle w:val="Normal"/>
        <w:spacing w:lineRule="auto" w:line="480"/>
        <w:rPr/>
      </w:pPr>
      <w:r>
        <w:rPr/>
        <w:drawing>
          <wp:inline distT="0" distB="0" distL="0" distR="0">
            <wp:extent cx="5487035" cy="5487035"/>
            <wp:effectExtent l="0" t="0" r="0" b="0"/>
            <wp:docPr id="2" name="Picture 1"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hart, bar chart, histogram&#10;&#10;Description automatically generated"/>
                    <pic:cNvPicPr>
                      <a:picLocks noChangeAspect="1" noChangeArrowheads="1"/>
                    </pic:cNvPicPr>
                  </pic:nvPicPr>
                  <pic:blipFill>
                    <a:blip r:embed="rId20"/>
                    <a:stretch>
                      <a:fillRect/>
                    </a:stretch>
                  </pic:blipFill>
                  <pic:spPr bwMode="auto">
                    <a:xfrm>
                      <a:off x="0" y="0"/>
                      <a:ext cx="5487035" cy="5487035"/>
                    </a:xfrm>
                    <a:prstGeom prst="rect">
                      <a:avLst/>
                    </a:prstGeom>
                  </pic:spPr>
                </pic:pic>
              </a:graphicData>
            </a:graphic>
          </wp:inline>
        </w:drawing>
      </w:r>
    </w:p>
    <w:p>
      <w:pPr>
        <w:pStyle w:val="Normal"/>
        <w:spacing w:lineRule="auto" w:line="480"/>
        <w:rPr/>
      </w:pPr>
      <w:r>
        <w:rPr>
          <w:b/>
          <w:sz w:val="24"/>
          <w:szCs w:val="24"/>
        </w:rPr>
        <w:t xml:space="preserve">Figure 2: </w:t>
      </w:r>
      <w:r>
        <w:rPr>
          <w:sz w:val="24"/>
          <w:szCs w:val="24"/>
        </w:rPr>
        <w:t xml:space="preserve">Proportion of tree mortality by stand occurring from LRR at initial and final time points. The beginning number of stand values represents which treatment each stand was in. </w:t>
      </w:r>
    </w:p>
    <w:p>
      <w:pPr>
        <w:pStyle w:val="Normal"/>
        <w:spacing w:lineRule="auto" w:line="480"/>
        <w:rPr>
          <w:sz w:val="24"/>
          <w:szCs w:val="24"/>
        </w:rPr>
      </w:pPr>
      <w:r>
        <w:rPr>
          <w:sz w:val="24"/>
          <w:szCs w:val="24"/>
        </w:rPr>
      </w:r>
    </w:p>
    <w:p>
      <w:pPr>
        <w:pStyle w:val="Normal"/>
        <w:spacing w:lineRule="auto" w:line="480"/>
        <w:rPr/>
      </w:pPr>
      <w:r>
        <w:rPr>
          <w:sz w:val="24"/>
          <w:szCs w:val="24"/>
        </w:rPr>
        <w:t>LRR was found within at least 40% of the plots in all 15 of the total stands. In two of the TMT 1 stands, two of the TMT 2 stands, and one of the TMT 3 stands, it had been found within 100% of the plots by the conclusion of the study.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700"/>
        <w:gridCol w:w="1707"/>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 </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TMT 1</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78.62609</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78.92028</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TMT 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52.24491</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53.50427</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TMT 3</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61.32342</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58.64272</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192.19442</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191.06727</w:t>
            </w:r>
          </w:p>
        </w:tc>
        <w:tc>
          <w:tcPr>
            <w:tcW w:w="170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83% (n = 62/75) </w:t>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pPr>
      <w:r>
        <w:rPr>
          <w:b/>
          <w:sz w:val="24"/>
          <w:szCs w:val="24"/>
        </w:rPr>
        <w:t>3.3 Forest Vegetation Simulator and Western Root Disease Models</w:t>
      </w:r>
    </w:p>
    <w:p>
      <w:pPr>
        <w:pStyle w:val="Normal"/>
        <w:spacing w:lineRule="auto" w:line="480"/>
        <w:rPr/>
      </w:pPr>
      <w:r>
        <w:rPr>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sz w:val="24"/>
          <w:szCs w:val="24"/>
          <w:highlight w:val="white"/>
        </w:rPr>
        <w:t>Figure 3 and Table 3</w:t>
      </w:r>
      <w:r>
        <w:rPr>
          <w:sz w:val="24"/>
          <w:szCs w:val="24"/>
          <w:highlight w:val="white"/>
        </w:rPr>
        <w:t xml:space="preserve">). </w:t>
      </w:r>
    </w:p>
    <w:p>
      <w:pPr>
        <w:pStyle w:val="Normal"/>
        <w:spacing w:lineRule="auto" w:line="480"/>
        <w:jc w:val="center"/>
        <w:rPr/>
      </w:pPr>
      <w:r>
        <w:rPr/>
        <w:drawing>
          <wp:inline distT="0" distB="0" distL="0" distR="0">
            <wp:extent cx="4114800" cy="8229600"/>
            <wp:effectExtent l="0" t="0" r="0" b="0"/>
            <wp:docPr id="3"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Chart, line chart&#10;&#10;Description automatically generated"/>
                    <pic:cNvPicPr>
                      <a:picLocks noChangeAspect="1" noChangeArrowheads="1"/>
                    </pic:cNvPicPr>
                  </pic:nvPicPr>
                  <pic:blipFill>
                    <a:blip r:embed="rId21"/>
                    <a:stretch>
                      <a:fillRect/>
                    </a:stretch>
                  </pic:blipFill>
                  <pic:spPr bwMode="auto">
                    <a:xfrm>
                      <a:off x="0" y="0"/>
                      <a:ext cx="4114800" cy="8229600"/>
                    </a:xfrm>
                    <a:prstGeom prst="rect">
                      <a:avLst/>
                    </a:prstGeom>
                  </pic:spPr>
                </pic:pic>
              </a:graphicData>
            </a:graphic>
          </wp:inline>
        </w:drawing>
      </w:r>
    </w:p>
    <w:p>
      <w:pPr>
        <w:pStyle w:val="Normal"/>
        <w:spacing w:lineRule="auto" w:line="480"/>
        <w:rPr/>
      </w:pPr>
      <w:r>
        <w:rPr>
          <w:b/>
          <w:sz w:val="24"/>
          <w:szCs w:val="24"/>
        </w:rPr>
        <w:t>Figure 3:</w:t>
      </w:r>
      <w:r>
        <w:rPr>
          <w:sz w:val="24"/>
          <w:szCs w:val="24"/>
        </w:rPr>
        <w:t xml:space="preserve"> Definitive data compared with modelled data depicting mean basal area of the 15 stands. A = TMT 1 stands, B = TMT 2 stands, C = TMT 3 stands. The indigo line represents observed data that was collected through surveys. The cyan line depicts the FVS model with default parameters. The gold line is the FVS model run with the WRDM extension. Error bars are representative of the standard error.</w:t>
      </w:r>
    </w:p>
    <w:p>
      <w:pPr>
        <w:pStyle w:val="Normal"/>
        <w:spacing w:lineRule="auto" w:line="480"/>
        <w:rPr>
          <w:sz w:val="24"/>
          <w:szCs w:val="24"/>
        </w:rPr>
      </w:pPr>
      <w:r>
        <w:rPr>
          <w:sz w:val="24"/>
          <w:szCs w:val="24"/>
        </w:rPr>
      </w:r>
    </w:p>
    <w:p>
      <w:pPr>
        <w:pStyle w:val="Normal"/>
        <w:spacing w:lineRule="auto" w:line="480"/>
        <w:rPr/>
      </w:pPr>
      <w:r>
        <w:rPr>
          <w:b/>
          <w:sz w:val="28"/>
          <w:szCs w:val="28"/>
        </w:rPr>
        <w:t xml:space="preserve">4. Conclusions and discussion </w:t>
      </w:r>
    </w:p>
    <w:p>
      <w:pPr>
        <w:pStyle w:val="Normal"/>
        <w:spacing w:lineRule="auto" w:line="480"/>
        <w:rPr/>
      </w:pPr>
      <w:r>
        <w:rPr>
          <w:sz w:val="24"/>
          <w:szCs w:val="24"/>
        </w:rPr>
        <w:t xml:space="preserve">From the results of this study, three important conclusions were made. Firstly, the effects of the thinning did not seem to have a significant difference within tree mortality caused by </w:t>
      </w:r>
      <w:r>
        <w:rPr>
          <w:i/>
          <w:sz w:val="24"/>
          <w:szCs w:val="24"/>
        </w:rPr>
        <w:t xml:space="preserve">C. sulphurascens. </w:t>
      </w:r>
      <w:r>
        <w:rPr>
          <w:sz w:val="24"/>
          <w:szCs w:val="24"/>
        </w:rPr>
        <w:t xml:space="preserve">Secondly, the proportion of tree mortality caused by </w:t>
      </w:r>
      <w:r>
        <w:rPr>
          <w:i/>
          <w:sz w:val="24"/>
          <w:szCs w:val="24"/>
        </w:rPr>
        <w:t>C. sulphurascens</w:t>
      </w:r>
      <w:r>
        <w:rPr>
          <w:sz w:val="24"/>
          <w:szCs w:val="24"/>
        </w:rPr>
        <w:t xml:space="preserve"> in thinned stands was higher when compared to unthinned stands</w:t>
      </w:r>
      <w:r>
        <w:rPr>
          <w:b/>
          <w:sz w:val="24"/>
          <w:szCs w:val="24"/>
        </w:rPr>
        <w:t xml:space="preserve">. </w:t>
      </w:r>
      <w:r>
        <w:rPr>
          <w:sz w:val="24"/>
          <w:szCs w:val="24"/>
        </w:rPr>
        <w:t xml:space="preserve">Lastly, on average, FVS and the WRDM predicted lower growth and yield volumes when compared with observed data. </w:t>
      </w:r>
    </w:p>
    <w:p>
      <w:pPr>
        <w:pStyle w:val="Normal"/>
        <w:spacing w:lineRule="auto" w:line="480"/>
        <w:rPr>
          <w:b/>
          <w:b/>
          <w:sz w:val="28"/>
          <w:szCs w:val="28"/>
        </w:rPr>
      </w:pPr>
      <w:r>
        <w:rPr>
          <w:b/>
          <w:sz w:val="28"/>
          <w:szCs w:val="28"/>
        </w:rPr>
      </w:r>
    </w:p>
    <w:p>
      <w:pPr>
        <w:pStyle w:val="Normal"/>
        <w:spacing w:lineRule="auto" w:line="480"/>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pPr>
      <w:r>
        <w:rPr>
          <w:sz w:val="24"/>
          <w:szCs w:val="24"/>
        </w:rPr>
        <w:t xml:space="preserve">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pPr>
      <w:r>
        <w:rPr>
          <w:sz w:val="24"/>
          <w:szCs w:val="24"/>
        </w:rPr>
        <w:t xml:space="preserve">Modelled predictions were found to be qualitatively accurate within this study. </w:t>
      </w:r>
    </w:p>
    <w:p>
      <w:pPr>
        <w:pStyle w:val="Normal"/>
        <w:spacing w:lineRule="auto" w:line="480"/>
        <w:rPr/>
      </w:pPr>
      <w:r>
        <w:rPr>
          <w:sz w:val="24"/>
          <w:szCs w:val="24"/>
        </w:rPr>
        <w:t>FVS alone was a better indicator of observed data when compared to the use of FVS with WRDM. The WRDM tended to over predict the impact of LRR</w:t>
      </w:r>
      <w:r>
        <w:rPr/>
        <w:t>.</w:t>
      </w:r>
      <w:r>
        <w:rPr>
          <w:sz w:val="24"/>
          <w:szCs w:val="24"/>
        </w:rPr>
        <w:t xml:space="preserve"> This finding was consistent with the findings from Maffei et al., 2008.</w:t>
      </w:r>
      <w:r>
        <w:rPr>
          <w:rFonts w:eastAsia="Times New Roman"/>
          <w:sz w:val="24"/>
          <w:szCs w:val="24"/>
        </w:rPr>
        <w:t xml:space="preserve"> It</w:t>
      </w:r>
      <w:r>
        <w:rPr/>
        <w:t xml:space="preserve"> </w:t>
      </w:r>
      <w:r>
        <w:rPr>
          <w:sz w:val="24"/>
          <w:szCs w:val="24"/>
        </w:rPr>
        <w:t xml:space="preserve">is worth noting that accuracy would likely continue to decrease over longer time periods. The time span of 30 years is relatively short in terms of a forest ecosystem.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spacing w:lineRule="auto" w:line="480"/>
        <w:ind w:left="720" w:hanging="720"/>
        <w:rPr>
          <w:sz w:val="24"/>
          <w:szCs w:val="24"/>
        </w:rPr>
      </w:pPr>
      <w:r>
        <w:rPr>
          <w:sz w:val="24"/>
          <w:szCs w:val="24"/>
        </w:rPr>
      </w:r>
    </w:p>
    <w:p>
      <w:pPr>
        <w:pStyle w:val="Normal"/>
        <w:spacing w:lineRule="auto" w:line="480"/>
        <w:ind w:left="720" w:hanging="720"/>
        <w:rPr/>
      </w:pPr>
      <w:r>
        <w:rPr>
          <w:sz w:val="24"/>
          <w:szCs w:val="24"/>
        </w:rPr>
        <w:t>Whereas other studies conducted analyzing different forest models have predicted</w:t>
      </w:r>
    </w:p>
    <w:p>
      <w:pPr>
        <w:pStyle w:val="Normal"/>
        <w:spacing w:lineRule="auto" w:line="480"/>
        <w:ind w:left="720" w:hanging="720"/>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pPr>
      <w:r>
        <w:rPr>
          <w:sz w:val="24"/>
          <w:szCs w:val="24"/>
        </w:rPr>
        <w:t>results of this study were converse. Models depicting optimistic</w:t>
      </w:r>
    </w:p>
    <w:p>
      <w:pPr>
        <w:pStyle w:val="Normal"/>
        <w:spacing w:lineRule="auto" w:line="480"/>
        <w:ind w:left="720" w:hanging="720"/>
        <w:rPr/>
      </w:pPr>
      <w:r>
        <w:rPr>
          <w:sz w:val="24"/>
          <w:szCs w:val="24"/>
        </w:rPr>
        <w:t>trends don’t always account for amounts of inoculum within the soil, rate of disease</w:t>
      </w:r>
    </w:p>
    <w:p>
      <w:pPr>
        <w:pStyle w:val="Normal"/>
        <w:spacing w:lineRule="auto" w:line="480"/>
        <w:ind w:left="720" w:hanging="720"/>
        <w:rPr/>
      </w:pPr>
      <w:r>
        <w:rPr>
          <w:sz w:val="24"/>
          <w:szCs w:val="24"/>
        </w:rPr>
        <w:t>spread, or expected tree loss. There are also many alternate compounding variables</w:t>
      </w:r>
    </w:p>
    <w:p>
      <w:pPr>
        <w:pStyle w:val="Normal"/>
        <w:spacing w:lineRule="auto" w:line="480"/>
        <w:ind w:left="720" w:hanging="720"/>
        <w:rPr/>
      </w:pPr>
      <w:r>
        <w:rPr>
          <w:sz w:val="24"/>
          <w:szCs w:val="24"/>
        </w:rPr>
        <w:t>that influence forest health, disease spread, and tree mortality, such as</w:t>
      </w:r>
    </w:p>
    <w:p>
      <w:pPr>
        <w:pStyle w:val="Normal"/>
        <w:spacing w:lineRule="auto" w:line="480"/>
        <w:ind w:left="720" w:hanging="720"/>
        <w:rPr/>
      </w:pPr>
      <w:r>
        <w:rPr>
          <w:sz w:val="24"/>
          <w:szCs w:val="24"/>
        </w:rPr>
        <w:t>temperature, soil moisture, and pH levels (Lattin 1998; Angwin, 1985; Hansen et al.,</w:t>
      </w:r>
    </w:p>
    <w:p>
      <w:pPr>
        <w:pStyle w:val="Normal"/>
        <w:spacing w:lineRule="auto" w:line="480"/>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More information on current distribution of accurately identified pathogens is critically needed (Klopfenstein et al., 2009). This is imperative within a rapidly changing climate as the host/pathogen interactions will need to be observed, monitored, and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efficiency, while also helping to preserve biodiversity and forest ecosystems. Through this study, new insight was gained on LRR incidence with respect to thinning for drought and fire suppression. </w:t>
      </w:r>
    </w:p>
    <w:p>
      <w:pPr>
        <w:pStyle w:val="Normal"/>
        <w:spacing w:lineRule="auto" w:line="480"/>
        <w:rPr>
          <w:sz w:val="24"/>
          <w:szCs w:val="24"/>
        </w:rPr>
      </w:pPr>
      <w:r>
        <w:rPr>
          <w:sz w:val="24"/>
          <w:szCs w:val="24"/>
        </w:rPr>
      </w:r>
    </w:p>
    <w:p>
      <w:pPr>
        <w:pStyle w:val="Normal"/>
        <w:spacing w:lineRule="auto" w:line="480"/>
        <w:rPr/>
      </w:pPr>
      <w:r>
        <w:rPr/>
      </w:r>
    </w:p>
    <w:p>
      <w:pPr>
        <w:pStyle w:val="Normal"/>
        <w:spacing w:lineRule="auto" w:line="480"/>
        <w:rPr/>
      </w:pPr>
      <w:r>
        <w:rPr>
          <w:b/>
          <w:sz w:val="28"/>
          <w:szCs w:val="28"/>
        </w:rPr>
        <w:t>Acknowledgements</w:t>
        <w:br/>
      </w:r>
      <w:r>
        <w:rP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Tallan and James Molyneux for statistical recommendations and consultation. The authors also extend their gratitude to Irene Lockman,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pPr>
      <w:r>
        <w:rPr>
          <w:b/>
          <w:sz w:val="28"/>
          <w:szCs w:val="28"/>
        </w:rPr>
        <w:t>References</w:t>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2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6">
        <w:r>
          <w:rPr>
            <w:rStyle w:val="InternetLink"/>
            <w:rFonts w:cs="Open Sans" w:ascii="Open Sans" w:hAnsi="Open Sans"/>
            <w:color w:val="000000"/>
            <w:sz w:val="21"/>
            <w:szCs w:val="21"/>
            <w:shd w:fill="FFFFFF" w:val="clear"/>
          </w:rPr>
          <w:t>https://www.fs.usda.gov/treesearch/pubs/46886</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ESRI (2011) ArcGIS desktop: version 2.6.2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(1979). Survival of Phellinusweirii in Douglas-fir stumps after logging. Canadian Journal of Forest Research. 9(4): 484-488. </w:t>
      </w:r>
      <w:hyperlink r:id="rId3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pPr>
      <w:hyperlink r:id="rId3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3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RStudio Team (2021). RStudio: Integrated Development Environment for R. RStudio, PBC, Boston, MA. </w:t>
      </w:r>
      <w:hyperlink r:id="rId4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Soil Survey Staff, (2021). Natural Resources Conservation Service, United States Department of Agriculture, Web Soil Survey. </w:t>
      </w:r>
      <w:hyperlink r:id="rId4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44">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pPr>
      <w:r>
        <w:rPr/>
      </w:r>
    </w:p>
    <w:sectPr>
      <w:type w:val="nextPage"/>
      <w:pgSz w:w="12240" w:h="15840"/>
      <w:pgMar w:left="1440" w:right="1440" w:header="0" w:top="1440" w:footer="0" w:bottom="1440" w:gutter="0"/>
      <w:lnNumType w:countBy="1" w:restart="continuous" w:distance="283"/>
      <w:pgNumType w:start="1" w:fmt="decimal"/>
      <w:formProt w:val="false"/>
      <w:textDirection w:val="lrTb"/>
      <w:docGrid w:type="default" w:linePitch="299"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val="en-US" w:eastAsia="en-US" w:bidi="en-US"/>
        </w:rPr>
        <w:t>Add summary of Apiary results.</w:t>
      </w:r>
    </w:p>
  </w:comment>
  <w:comment w:id="1"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2" w:author="Unknown Author" w:date="2022-07-14T10:32:00Z" w:initials="">
    <w:p>
      <w:r>
        <w:rPr>
          <w:rFonts w:ascii="Liberation Serif" w:hAnsi="Liberation Serif" w:eastAsia="Segoe UI" w:cs="Tahoma"/>
          <w:sz w:val="20"/>
          <w:szCs w:val="24"/>
          <w:lang w:val="en-US" w:eastAsia="en-US" w:bidi="en-US"/>
        </w:rPr>
        <w:t>Add background on private/industrial short rotation forestry?</w:t>
      </w:r>
    </w:p>
  </w:comment>
  <w:comment w:id="3" w:author="Unknown Author" w:date="2022-07-14T10:33:00Z" w:initials="">
    <w:p>
      <w:r>
        <w:rPr>
          <w:rFonts w:ascii="Liberation Serif" w:hAnsi="Liberation Serif" w:eastAsia="Segoe UI" w:cs="Tahoma"/>
          <w:sz w:val="20"/>
          <w:szCs w:val="24"/>
          <w:lang w:val="en-US" w:eastAsia="en-US" w:bidi="en-US"/>
        </w:rPr>
        <w:t>Add background on non-host rotation as well as specific hypotheses regarding alder inhibition of C. sulphurascens</w:t>
      </w:r>
    </w:p>
  </w:comment>
  <w:comment w:id="4"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5" w:author="Unknown Author" w:date="2022-07-14T09:07:00Z" w:initials="">
    <w:p>
      <w:r>
        <w:rPr>
          <w:rFonts w:ascii="Liberation Serif" w:hAnsi="Liberation Serif" w:eastAsia="Segoe UI" w:cs="Tahoma"/>
          <w:sz w:val="20"/>
          <w:szCs w:val="24"/>
          <w:lang w:eastAsia="en-US" w:bidi="en-US" w:val="en-US"/>
        </w:rPr>
        <w:t>Necessary?</w:t>
      </w:r>
    </w:p>
  </w:comment>
  <w:comment w:id="6"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7" w:author="Shawn McMurtrey" w:date="2021-10-04T21:03:00Z" w:initials="SM">
    <w:p>
      <w:r>
        <w:rPr>
          <w:rFonts w:ascii="Liberation Serif" w:hAnsi="Liberation Serif" w:eastAsia="Segoe UI" w:cs="Tahoma"/>
          <w:sz w:val="24"/>
          <w:szCs w:val="24"/>
          <w:lang w:eastAsia="en-US" w:val="en-US" w:bidi="en-US"/>
        </w:rPr>
        <w:t xml:space="preserve">I think this result needs a figure. See file “gtaph_idea.paint” on desktop.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semiHidden/>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semiHidden/>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yperlink" Target="https://forest.moscowfsl.wsu.edu/FVSDataConvert/"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doi.org/10.1016/j.foreco.2005.01.034" TargetMode="External"/><Relationship Id="rId23" Type="http://schemas.openxmlformats.org/officeDocument/2006/relationships/hyperlink" Target="https://ir.library.oregonstate.edu/concern/graduate_thesis_or_dissertations/k930c098s" TargetMode="External"/><Relationship Id="rId24" Type="http://schemas.openxmlformats.org/officeDocument/2006/relationships/hyperlink" Target="https://doi.org/10.3389/ffgc.2021.695981" TargetMode="External"/><Relationship Id="rId25" Type="http://schemas.openxmlformats.org/officeDocument/2006/relationships/hyperlink" Target="https://doi.org/10.1016/j.foreco.2012.05.040" TargetMode="External"/><Relationship Id="rId26" Type="http://schemas.openxmlformats.org/officeDocument/2006/relationships/hyperlink" Target="https://www.fs.usda.gov/treesearch/pubs/46886" TargetMode="External"/><Relationship Id="rId27" Type="http://schemas.openxmlformats.org/officeDocument/2006/relationships/hyperlink" Target="https://doi.org/10.2737/PSW-GTR-165" TargetMode="External"/><Relationship Id="rId28" Type="http://schemas.openxmlformats.org/officeDocument/2006/relationships/hyperlink" Target="https://doi.org/10.5849/jof.10-006" TargetMode="External"/><Relationship Id="rId29" Type="http://schemas.openxmlformats.org/officeDocument/2006/relationships/hyperlink" Target="https://www.biodiversitylibrary.org/bibliography/178892" TargetMode="External"/><Relationship Id="rId30" Type="http://schemas.openxmlformats.org/officeDocument/2006/relationships/hyperlink" Target="https://doi.org/10.1139/x79-078"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comments" Target="comments.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14544</TotalTime>
  <Application>LibreOffice/7.1.5.2$Windows_X86_64 LibreOffice_project/85f04e9f809797b8199d13c421bd8a2b025d52b5</Application>
  <AppVersion>15.0000</AppVersion>
  <Pages>36</Pages>
  <Words>7138</Words>
  <Characters>39584</Characters>
  <CharactersWithSpaces>46449</CharactersWithSpaces>
  <Paragraphs>353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2021-10-13T07:43:00Z</dcterms:created>
  <dc:creator>Shawn McMurtrey</dc:creator>
  <dc:description/>
  <dc:language>en-US</dc:language>
  <cp:lastModifiedBy/>
  <dcterms:modified xsi:type="dcterms:W3CDTF">2022-08-12T14:56:05Z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