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7.jpeg" ContentType="image/jpeg"/>
  <Override PartName="/word/media/image2.jpeg" ContentType="image/jpeg"/>
  <Override PartName="/word/media/image3.png" ContentType="image/png"/>
  <Override PartName="/word/media/image4.jpeg" ContentType="image/jpeg"/>
  <Override PartName="/word/media/image5.png" ContentType="image/png"/>
  <Override PartName="/word/media/image6.jpeg" ContentType="image/jpeg"/>
  <Override PartName="/word/media/image8.jpeg" ContentType="image/jpeg"/>
  <Override PartName="/word/media/image9.jpeg" ContentType="image/jpeg"/>
  <Override PartName="/word/media/image10.jpeg" ContentType="image/jpe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comments.xml" ContentType="application/vnd.openxmlformats-officedocument.wordprocessingml.comment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480"/>
        <w:jc w:val="center"/>
        <w:rPr/>
      </w:pPr>
      <w:r>
        <w:rPr>
          <w:b/>
          <w:sz w:val="36"/>
          <w:szCs w:val="36"/>
        </w:rPr>
        <w:t>Limited effects of thinning and hardwood rotations on laminated root rot induced tree mortality in Douglas-fir forests of the Pacific Northwest, USA</w:t>
      </w:r>
    </w:p>
    <w:p>
      <w:pPr>
        <w:pStyle w:val="Normal"/>
        <w:spacing w:lineRule="auto" w:line="480"/>
        <w:jc w:val="center"/>
        <w:rPr/>
      </w:pPr>
      <w:r>
        <w:rPr>
          <w:b/>
          <w:sz w:val="36"/>
          <w:szCs w:val="36"/>
        </w:rPr>
        <w:t xml:space="preserve"> </w:t>
      </w:r>
    </w:p>
    <w:p>
      <w:pPr>
        <w:pStyle w:val="Normal"/>
        <w:spacing w:lineRule="auto" w:line="480"/>
        <w:jc w:val="center"/>
        <w:rPr>
          <w:b/>
          <w:b/>
          <w:sz w:val="20"/>
          <w:szCs w:val="20"/>
        </w:rPr>
      </w:pPr>
      <w:r>
        <w:rPr>
          <w:b/>
          <w:sz w:val="20"/>
          <w:szCs w:val="20"/>
        </w:rPr>
      </w:r>
    </w:p>
    <w:p>
      <w:pPr>
        <w:pStyle w:val="Normal"/>
        <w:spacing w:lineRule="auto" w:line="480"/>
        <w:jc w:val="center"/>
        <w:rPr/>
      </w:pPr>
      <w:r>
        <w:rPr>
          <w:b/>
          <w:sz w:val="24"/>
          <w:szCs w:val="24"/>
        </w:rPr>
        <w:t>Shawn McMurtrey</w:t>
      </w:r>
      <w:r>
        <w:rPr>
          <w:rFonts w:eastAsia="Roboto" w:cs="Roboto" w:ascii="Roboto" w:hAnsi="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pPr>
        <w:pStyle w:val="Normal"/>
        <w:spacing w:lineRule="auto" w:line="480"/>
        <w:rPr>
          <w:b/>
          <w:b/>
          <w:sz w:val="24"/>
          <w:szCs w:val="24"/>
        </w:rPr>
      </w:pPr>
      <w:r>
        <w:rPr>
          <w:b/>
          <w:sz w:val="24"/>
          <w:szCs w:val="24"/>
        </w:rPr>
      </w:r>
    </w:p>
    <w:p>
      <w:pPr>
        <w:pStyle w:val="Normal"/>
        <w:spacing w:lineRule="auto" w:line="480"/>
        <w:rPr/>
      </w:pPr>
      <w:r>
        <w:rPr>
          <w:rFonts w:eastAsia="Roboto" w:cs="Roboto" w:ascii="Roboto" w:hAnsi="Roboto"/>
          <w:b/>
          <w:sz w:val="20"/>
          <w:szCs w:val="20"/>
          <w:highlight w:val="white"/>
          <w:vertAlign w:val="superscript"/>
        </w:rPr>
        <w:t>1</w:t>
      </w:r>
      <w:r>
        <w:rPr>
          <w:sz w:val="20"/>
          <w:szCs w:val="20"/>
        </w:rPr>
        <w:t>Department of Botany and Plant Pathology, Oregon State University, Corvallis, Oregon, USA.</w:t>
      </w:r>
    </w:p>
    <w:p>
      <w:pPr>
        <w:pStyle w:val="Normal"/>
        <w:spacing w:lineRule="auto" w:line="480"/>
        <w:rPr/>
      </w:pPr>
      <w:r>
        <w:rPr>
          <w:rFonts w:eastAsia="Roboto" w:cs="Roboto" w:ascii="Roboto" w:hAnsi="Roboto"/>
          <w:b/>
          <w:sz w:val="20"/>
          <w:szCs w:val="20"/>
          <w:highlight w:val="white"/>
          <w:vertAlign w:val="superscript"/>
        </w:rPr>
        <w:t>2</w:t>
      </w:r>
      <w:r>
        <w:rPr>
          <w:sz w:val="20"/>
          <w:szCs w:val="20"/>
        </w:rPr>
        <w:t>Weyerhauser Company, Centralia, WA, USA</w:t>
      </w:r>
    </w:p>
    <w:p>
      <w:pPr>
        <w:pStyle w:val="Normal"/>
        <w:spacing w:lineRule="auto" w:line="480"/>
        <w:rPr/>
      </w:pPr>
      <w:r>
        <w:rPr>
          <w:b/>
          <w:sz w:val="20"/>
          <w:szCs w:val="20"/>
          <w:vertAlign w:val="superscript"/>
        </w:rPr>
        <w:t>3</w:t>
      </w:r>
      <w:r>
        <w:rPr>
          <w:sz w:val="20"/>
          <w:szCs w:val="20"/>
        </w:rPr>
        <w:t>Currently: USDA Forest Service, State and Private Forestry, Pacific Northwest Region, Blue Mountains Service Center, La Grande, OR, USA</w:t>
      </w:r>
    </w:p>
    <w:p>
      <w:pPr>
        <w:pStyle w:val="Normal"/>
        <w:spacing w:lineRule="auto" w:line="480"/>
        <w:rPr/>
      </w:pPr>
      <w:r>
        <w:rPr>
          <w:b/>
          <w:sz w:val="20"/>
          <w:szCs w:val="20"/>
          <w:vertAlign w:val="superscript"/>
        </w:rPr>
        <w:t>4</w:t>
      </w:r>
      <w:r>
        <w:rPr>
          <w:sz w:val="20"/>
          <w:szCs w:val="20"/>
        </w:rPr>
        <w:t xml:space="preserve">USDA Forest Service, State and Private Forestry, Pacific Northwest Region, Portland, OR, USA </w:t>
      </w:r>
    </w:p>
    <w:p>
      <w:pPr>
        <w:pStyle w:val="Normal"/>
        <w:spacing w:lineRule="auto" w:line="480"/>
        <w:rPr/>
      </w:pPr>
      <w:r>
        <w:rPr>
          <w:b/>
          <w:sz w:val="20"/>
          <w:szCs w:val="20"/>
          <w:vertAlign w:val="superscript"/>
        </w:rPr>
        <w:t>5</w:t>
      </w:r>
      <w:r>
        <w:rPr>
          <w:sz w:val="20"/>
          <w:szCs w:val="20"/>
        </w:rPr>
        <w:t>Department of Forest Engineering, Resources, and Management, Oregon State University, Corvallis, Oregon, USA.</w:t>
      </w:r>
    </w:p>
    <w:p>
      <w:pPr>
        <w:pStyle w:val="Normal"/>
        <w:spacing w:lineRule="auto" w:line="480"/>
        <w:rPr>
          <w:b/>
          <w:b/>
          <w:sz w:val="28"/>
          <w:szCs w:val="28"/>
        </w:rPr>
      </w:pPr>
      <w:r>
        <w:rPr>
          <w:b/>
          <w:sz w:val="28"/>
          <w:szCs w:val="28"/>
        </w:rPr>
      </w:r>
    </w:p>
    <w:p>
      <w:pPr>
        <w:pStyle w:val="Normal"/>
        <w:spacing w:lineRule="auto" w:line="480"/>
        <w:rPr/>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pPr>
        <w:pStyle w:val="Normal"/>
        <w:spacing w:lineRule="auto" w:line="480"/>
        <w:rPr>
          <w:b/>
          <w:b/>
          <w:sz w:val="28"/>
          <w:szCs w:val="28"/>
        </w:rPr>
      </w:pPr>
      <w:r>
        <w:rPr>
          <w:b/>
          <w:sz w:val="28"/>
          <w:szCs w:val="28"/>
        </w:rPr>
      </w:r>
      <w:r>
        <w:br w:type="page"/>
      </w:r>
    </w:p>
    <w:p>
      <w:pPr>
        <w:pStyle w:val="Normal"/>
        <w:spacing w:lineRule="auto" w:line="480"/>
        <w:rPr>
          <w:sz w:val="24"/>
          <w:szCs w:val="24"/>
        </w:rPr>
      </w:pPr>
      <w:r>
        <w:rPr>
          <w:b/>
          <w:sz w:val="28"/>
          <w:szCs w:val="28"/>
        </w:rPr>
        <w:t>Abstract</w:t>
      </w:r>
    </w:p>
    <w:p>
      <w:pPr>
        <w:pStyle w:val="Normal"/>
        <w:spacing w:lineRule="auto" w:line="480"/>
        <w:ind w:firstLine="720"/>
        <w:rPr>
          <w:sz w:val="24"/>
          <w:szCs w:val="24"/>
        </w:rPr>
      </w:pPr>
      <w:r>
        <w:rPr>
          <w:sz w:val="24"/>
          <w:szCs w:val="24"/>
        </w:rPr>
        <w:t>Laminated Root Rot (LRR) caused by the pathogen Coniferiporia sulphurascens is a damaging disease within many Douglas-fir forests of the Pacific Northwest (PNW) of North America. This disease increases the probability of fire due to the high mortality rates and fuel accumulations. There has been much debate over possible control techniques for LRR. Two independent studies within Oregon, USA provided a rare opportunity to investigate different LRR management options. These studies looked at the effects of thinning practices and hardwood rotation on Douglas-fir mortality caused by l</w:t>
      </w:r>
      <w:r>
        <w:rPr>
          <w:i/>
          <w:iCs/>
          <w:sz w:val="24"/>
          <w:szCs w:val="24"/>
        </w:rPr>
        <w:t>a</w:t>
      </w:r>
      <w:r>
        <w:rPr>
          <w:sz w:val="24"/>
          <w:szCs w:val="24"/>
        </w:rPr>
        <w:t xml:space="preserve">minated root rot. Both study sites were chosen for high incidence of laminated root rot. For the first study, three different thinning prescriptions were applied across ~160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five stands that were thinned to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and five control stands where no thinning occurred. A network of 75 fixed radius plots, 0.04 ha in size, were established in 1985 within the 15 stands. Inventories were conducted approximately every 5 years with a final evaluation being conducted in 2020. The second study consisted of five different rotation treatments that were applied across 14 hectares of privately-owned forest in Columbia County beginning in 1975. The five rotation treatments were A) 12 year rotation of red alder followed by Douglas-fir; B) 12 year rotation of cottonwood followed by Douglas-fir; C) 25 year red alder to Douglas-fir; D) 25 year cottonwood to Douglas-fir; and E) immediate planting of Douglas-fir. There were 125 plots established within 25 different stands. Surveying was conducted sporadically every 8-24 years. For both studies observed data was compared with anticipated data 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1% and 5% higher in lightly thinned and thinned stands when compared to the control stands where no thinning had occurred</w:t>
      </w:r>
      <w:r>
        <w:rPr>
          <w:sz w:val="24"/>
          <w:szCs w:val="24"/>
          <w:highlight w:val="white"/>
        </w:rPr>
        <w:t>.</w:t>
      </w:r>
      <w:r>
        <w:rPr>
          <w:sz w:val="24"/>
          <w:szCs w:val="24"/>
        </w:rPr>
        <w:t xml:space="preserve"> An analysis of variance examination determined that there was no significant of effect of treatment on proportion of mortality</w:t>
      </w:r>
      <w:r>
        <w:rPr>
          <w:sz w:val="24"/>
          <w:szCs w:val="24"/>
          <w:highlight w:val="white"/>
        </w:rPr>
        <w:t xml:space="preserve"> (F</w:t>
      </w:r>
      <w:r>
        <w:rPr>
          <w:sz w:val="24"/>
          <w:szCs w:val="24"/>
          <w:highlight w:val="white"/>
          <w:vertAlign w:val="subscript"/>
        </w:rPr>
        <w:t>2,12</w:t>
      </w:r>
      <w:r>
        <w:rPr>
          <w:sz w:val="24"/>
          <w:szCs w:val="24"/>
          <w:highlight w:val="white"/>
        </w:rPr>
        <w:t xml:space="preserve"> = 0.484, p = 0.628). </w:t>
      </w:r>
      <w:r>
        <w:rPr>
          <w:sz w:val="24"/>
          <w:szCs w:val="24"/>
        </w:rPr>
        <w:t xml:space="preserve">When compared with observed data, the modelled data was found to over predict growth and yield when using the Forest Vegetation Simulator. The Western Root Disease Model was a more statistically reliable indicator of growth and yield. From the results of the first study, commercial thinning treatments do not seem to have a significant effect on reducing tree mortality caused by </w:t>
      </w:r>
      <w:r>
        <w:rPr>
          <w:i/>
          <w:iCs/>
          <w:sz w:val="24"/>
          <w:szCs w:val="24"/>
        </w:rPr>
        <w:t>Coniferiporia sulphurascens</w:t>
      </w:r>
      <w:r>
        <w:rPr>
          <w:sz w:val="24"/>
          <w:szCs w:val="24"/>
        </w:rPr>
        <w:t>. The results of the second study showed basal area increases throughout the study, but at a declining rate later in the study. This was particularly prevalent in blocks with high initial incidence of LRR. Annual basal area increment was reduced in the 25-year cottonwood treatment in the early period. Cumulative total mortality increased consistently through the study, and annual mortality was significantly higher in 12-year red alder and 25-year cottonwood rotation treatments. Modelled data was found to over predict growth and yield for both the Forest Vegetation Simulator and the Western Root Disease Model. From the results of these two independent studies, mechanical thinning and alternate host rotations do not seem to be a viable management option for LRR.</w:t>
      </w:r>
    </w:p>
    <w:p>
      <w:pPr>
        <w:pStyle w:val="Normal"/>
        <w:spacing w:lineRule="auto" w:line="480"/>
        <w:rPr>
          <w:b/>
          <w:b/>
          <w:sz w:val="24"/>
          <w:szCs w:val="24"/>
        </w:rPr>
      </w:pPr>
      <w:r>
        <w:rPr>
          <w:b/>
          <w:sz w:val="24"/>
          <w:szCs w:val="24"/>
        </w:rPr>
      </w:r>
    </w:p>
    <w:p>
      <w:pPr>
        <w:pStyle w:val="Normal"/>
        <w:spacing w:lineRule="auto" w:line="480"/>
        <w:rPr/>
      </w:pPr>
      <w:r>
        <w:rPr>
          <w:b/>
          <w:sz w:val="28"/>
          <w:szCs w:val="28"/>
        </w:rPr>
        <w:t>1. Introduction</w:t>
      </w:r>
    </w:p>
    <w:p>
      <w:pPr>
        <w:pStyle w:val="Normal"/>
        <w:spacing w:lineRule="auto" w:line="480"/>
        <w:ind w:firstLine="720"/>
        <w:rPr>
          <w:sz w:val="24"/>
          <w:szCs w:val="24"/>
        </w:rPr>
      </w:pPr>
      <w:r>
        <w:rPr>
          <w:i/>
          <w:sz w:val="24"/>
          <w:szCs w:val="24"/>
        </w:rPr>
        <w:t xml:space="preserve">Coniferiporia sulphurascens </w:t>
      </w:r>
      <w:r>
        <w:rPr>
          <w:sz w:val="24"/>
          <w:szCs w:val="24"/>
          <w:highlight w:val="white"/>
        </w:rPr>
        <w:t>(Pilát) L. W. Zhou and Y. C. Dai</w:t>
      </w:r>
      <w:r>
        <w:rPr>
          <w:sz w:val="24"/>
          <w:szCs w:val="24"/>
        </w:rPr>
        <w:t xml:space="preserve"> is a basidiomycete fungus endemic to North America, that causes laminated root rot</w:t>
      </w:r>
      <w:del w:id="0" w:author="Shawn McMurtrey" w:date="2022-09-22T21:43:00Z">
        <w:r>
          <w:rPr>
            <w:sz w:val="24"/>
            <w:szCs w:val="24"/>
          </w:rPr>
          <w:delText xml:space="preserve"> </w:delText>
        </w:r>
      </w:del>
      <w:r>
        <w:rPr>
          <w:sz w:val="24"/>
          <w:szCs w:val="24"/>
        </w:rPr>
        <w:t>(LRR) in the highly susceptible Douglas-fir (</w:t>
      </w:r>
      <w:r>
        <w:rPr>
          <w:i/>
          <w:sz w:val="24"/>
          <w:szCs w:val="24"/>
        </w:rPr>
        <w:t>Pseudotsuga menziesii</w:t>
      </w:r>
      <w:r>
        <w:rPr>
          <w:sz w:val="24"/>
          <w:szCs w:val="24"/>
        </w:rPr>
        <w:t xml:space="preserve"> (Mirb.)) </w:t>
      </w:r>
      <w:r>
        <w:rPr>
          <w:sz w:val="24"/>
          <w:szCs w:val="24"/>
          <w:highlight w:val="white"/>
        </w:rPr>
        <w:t>(Thies and Sturrock, 1995)</w:t>
      </w:r>
      <w:r>
        <w:rPr>
          <w:i/>
          <w:sz w:val="24"/>
          <w:szCs w:val="24"/>
        </w:rPr>
        <w:t>.</w:t>
      </w:r>
      <w:r>
        <w:rPr>
          <w:sz w:val="24"/>
          <w:szCs w:val="24"/>
        </w:rPr>
        <w:t xml:space="preserve"> Douglas-fir is a keystone species which is both ecologically and economically important </w:t>
      </w:r>
      <w:r>
        <w:rPr/>
        <w:t>(</w:t>
      </w:r>
      <w:r>
        <w:rPr>
          <w:sz w:val="24"/>
          <w:szCs w:val="24"/>
          <w:highlight w:val="white"/>
        </w:rPr>
        <w:t xml:space="preserve">Cook et al., 2013). </w:t>
      </w:r>
      <w:r>
        <w:rPr>
          <w:sz w:val="24"/>
          <w:szCs w:val="24"/>
        </w:rPr>
        <w:t>It is a valuable tree within the timber industry, producing more timber than any other species in North America (Hanna et al., 2016).</w:t>
      </w:r>
      <w:r>
        <w:rPr>
          <w:color w:val="000000"/>
          <w:sz w:val="20"/>
          <w:szCs w:val="20"/>
          <w:shd w:fill="FFFFFF" w:val="clear"/>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Thies and Sturrock, 1995). </w:t>
      </w:r>
      <w:r>
        <w:rPr>
          <w:i/>
          <w:sz w:val="24"/>
          <w:szCs w:val="24"/>
        </w:rPr>
        <w:t>Coniferiporia sulphurascens</w:t>
      </w:r>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and has significant effects on inland forests as well </w:t>
      </w:r>
      <w:r>
        <w:rPr>
          <w:sz w:val="24"/>
          <w:szCs w:val="24"/>
          <w:highlight w:val="white"/>
        </w:rPr>
        <w:t>(Goheen and Otrosina, 1998; Hadfield, 1985; Hadfield et al., 1986; Hagle et al., 1987; Nelson et al., 1981; Scharpf, 1993; Thies, 1984; Thies and Sturrock, 1995; Wallis, 1976).</w:t>
      </w:r>
      <w:r>
        <w:rPr>
          <w:sz w:val="24"/>
          <w:szCs w:val="24"/>
        </w:rPr>
        <w:t xml:space="preserve"> Furthermore, laminated root disease increases the risk of fire through high tree mortality and increased fuel buildup (Parker et al., 2006). Root disease pockets are usually characterized by large snags and windblown trees. This results in substantial fuel loads and a path for surface fire to reach the crown layer (Dickman &amp; Cook, 1989; Dickman, 1992).</w:t>
      </w:r>
    </w:p>
    <w:p>
      <w:pPr>
        <w:pStyle w:val="Normal"/>
        <w:spacing w:lineRule="auto" w:line="480"/>
        <w:ind w:firstLine="720"/>
        <w:rPr>
          <w:sz w:val="24"/>
          <w:szCs w:val="24"/>
        </w:rPr>
      </w:pPr>
      <w:r>
        <w:rPr>
          <w:sz w:val="24"/>
          <w:szCs w:val="24"/>
        </w:rPr>
        <w:t xml:space="preserve">Global environmental change is anticipated to increase global temperatures, create changes in precipitation regimes, and exacerbate disturbances from wildfires, pests, and pathogens (Law et al., 2013). As a result, within the Pacific Northwest of North America, summers are projected to get both hotter and drier (Bennett et al., 2021; </w:t>
      </w:r>
      <w:r>
        <w:fldChar w:fldCharType="begin"/>
      </w:r>
      <w:r>
        <w:rPr>
          <w:sz w:val="24"/>
          <w:szCs w:val="24"/>
        </w:rPr>
        <w:instrText> HYPERLINK "https://www.frontiersin.org/articles/10.3389/ffgc.2021.695981/full" \l "B61"</w:instrText>
      </w:r>
      <w:r>
        <w:rPr>
          <w:sz w:val="24"/>
          <w:szCs w:val="24"/>
        </w:rPr>
        <w:fldChar w:fldCharType="separate"/>
      </w:r>
      <w:r>
        <w:rPr>
          <w:sz w:val="24"/>
          <w:szCs w:val="24"/>
        </w:rPr>
        <w:t>Mote and Salathé, 2010</w:t>
      </w:r>
      <w:r>
        <w:rPr>
          <w:sz w:val="24"/>
          <w:szCs w:val="24"/>
        </w:rPr>
        <w:fldChar w:fldCharType="end"/>
      </w:r>
      <w:r>
        <w:rPr>
          <w:sz w:val="24"/>
          <w:szCs w:val="24"/>
        </w:rPr>
        <w:t>).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and Johnson, 2012). These shifts are being conducted through large-scale fuel reduction techniques which is focused on low to mid-canopy reductions of basal area and piled burning (Vernon et al., 2018; Agee and Skinner, 2005). Planting alternate host species that are more resistant to changes in climate is also an adaptive management strategy being used in some areas (Subramanian et al., 2015).</w:t>
      </w:r>
      <w:r>
        <w:rPr>
          <w:color w:val="222222"/>
          <w:sz w:val="20"/>
          <w:szCs w:val="20"/>
          <w:shd w:fill="FFFFFF" w:val="clear"/>
        </w:rPr>
        <w:t xml:space="preserve"> </w:t>
      </w:r>
      <w:r>
        <w:rPr>
          <w:sz w:val="24"/>
          <w:szCs w:val="24"/>
        </w:rPr>
        <w:t>A major question stemming from these shifts in management techniques is understanding how thinning and alternate host rotations will affect major forest pathogens.</w:t>
      </w:r>
    </w:p>
    <w:p>
      <w:pPr>
        <w:pStyle w:val="Normal"/>
        <w:spacing w:lineRule="auto" w:line="480"/>
        <w:ind w:firstLine="720"/>
        <w:rPr>
          <w:sz w:val="24"/>
          <w:szCs w:val="24"/>
        </w:rPr>
      </w:pPr>
      <w:r>
        <w:rPr>
          <w:sz w:val="24"/>
          <w:szCs w:val="24"/>
        </w:rPr>
        <w:t xml:space="preserve">Historically, conventional management practices for forests within the Pacific Northwest, USA has been clearcutting and planting Douglas-fir (Lawson et al., 1983). This management strategy is not typically effective when a disease of the site, such as LRR, has been established. Mechanical thinning was one hypothesis that was proposed and briefly tested. Thinning operations at a LRR research area in western Oregon, USA showed an increase of net production by 10% in thinned plots when compared to unthinned plots (Berg 1978). Mechanical thinning provides forest products and removes infested trees that are contributing to an increase of fuel loads (Vandygriff et al., 2015). Thinning however could increase the risk of wind damage, which is often the mortality event for root diseased trees with weakened root systems (Lawson, 1979). The Woods Creek study was established to investigate the thinning the impacts of thinning operations on LRR. </w:t>
      </w:r>
    </w:p>
    <w:p>
      <w:pPr>
        <w:pStyle w:val="Normal"/>
        <w:spacing w:lineRule="auto" w:line="480"/>
        <w:ind w:firstLine="720"/>
        <w:rPr>
          <w:sz w:val="24"/>
          <w:szCs w:val="24"/>
          <w:ins w:id="1" w:author="Shawn McMurtrey" w:date="2022-10-14T12:43:00Z"/>
        </w:rPr>
      </w:pPr>
      <w:r>
        <w:rPr>
          <w:sz w:val="24"/>
          <w:szCs w:val="24"/>
        </w:rPr>
        <w:t xml:space="preserve">Another management strategy when dealing with a disease of the site is planting of alternate resistant hosts. Red alder (Alnus rubra Bong.) has been shown to resist attack from C. sulphurascens. This is likely due to the phenolics, and fatty acids produced by red alder. (Trappe, 1972; Li et al., 1969; Li et al., 1970). Aside from resistance, the wood value of red alder has increased within recent years and sawlogs are able to be produced within short rotations (Harrington, 2006). These findings led to a hypothesis that clear cutting LRR sites and then growing purely red alder might starve out the C. sulphurascens after several decades (Harrington, 2006). The study design for the Apiary site was centered around this hypothesis.  </w:t>
      </w:r>
    </w:p>
    <w:p>
      <w:pPr>
        <w:pStyle w:val="Normal"/>
        <w:tabs>
          <w:tab w:val="clear" w:pos="720"/>
          <w:tab w:val="left" w:pos="1440" w:leader="none"/>
        </w:tabs>
        <w:spacing w:lineRule="auto" w:line="480"/>
        <w:ind w:firstLine="720"/>
        <w:rPr/>
      </w:pPr>
      <w:r>
        <w:rPr>
          <w:sz w:val="24"/>
          <w:szCs w:val="24"/>
        </w:rPr>
        <w: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t>
      </w:r>
      <w:r>
        <w:rPr>
          <w:i/>
          <w:sz w:val="24"/>
          <w:szCs w:val="24"/>
        </w:rPr>
        <w:t>Phytophthora ramorum</w:t>
      </w:r>
      <w:r>
        <w:rPr>
          <w:sz w:val="24"/>
          <w:szCs w:val="24"/>
        </w:rPr>
        <w:t xml:space="preserve"> Werres et al., the causal agent of Sudden Oak Death or </w:t>
      </w:r>
      <w:r>
        <w:rPr>
          <w:i/>
          <w:sz w:val="24"/>
          <w:szCs w:val="24"/>
        </w:rPr>
        <w:t xml:space="preserve">Phaeocryptopus gaeumannii </w:t>
      </w:r>
      <w:r>
        <w:rPr>
          <w:sz w:val="24"/>
          <w:szCs w:val="24"/>
        </w:rPr>
        <w:t xml:space="preserve">(T.Rohde) </w:t>
      </w:r>
      <w:hyperlink r:id="rId2">
        <w:r>
          <w:rPr>
            <w:sz w:val="24"/>
            <w:szCs w:val="24"/>
          </w:rPr>
          <w:t>Petrak</w:t>
        </w:r>
      </w:hyperlink>
      <w:r>
        <w:rPr>
          <w:sz w:val="24"/>
          <w:szCs w:val="24"/>
        </w:rPr>
        <w:t xml:space="preserve">, which is responsible for Swiss needle cast, can be monitored and detected through aerial surveys. The only way to confirm the presence of </w:t>
      </w:r>
      <w:r>
        <w:rPr>
          <w:i/>
          <w:sz w:val="24"/>
          <w:szCs w:val="24"/>
        </w:rPr>
        <w:t xml:space="preserve">C. sulphurascens </w:t>
      </w:r>
      <w:r>
        <w:rPr>
          <w:sz w:val="24"/>
          <w:szCs w:val="24"/>
        </w:rPr>
        <w:t>and to reliably determine the distribution and disease severity within a stand, is through ground-based surveys (</w:t>
      </w:r>
      <w:r>
        <w:rPr>
          <w:sz w:val="24"/>
          <w:szCs w:val="24"/>
          <w:highlight w:val="white"/>
        </w:rPr>
        <w:t>Sturrock and Garbutt, 1994</w:t>
      </w:r>
      <w:r>
        <w:rPr>
          <w:sz w:val="24"/>
          <w:szCs w:val="24"/>
        </w:rPr>
        <w:t xml:space="preserve">). While much is known about the biology of this fungus, its impact on timber volume in managed stands is unknown (Lawson et al., 1983). Prior to these two studies, basal area yield or volume data of host species in areas infected with root disease was not readily available </w:t>
      </w:r>
      <w:r>
        <w:rPr>
          <w:rFonts w:eastAsia="Georgia" w:cs="Georgia" w:ascii="Georgia" w:hAnsi="Georgia"/>
          <w:sz w:val="27"/>
          <w:szCs w:val="27"/>
        </w:rPr>
        <w:t>(</w:t>
      </w:r>
      <w:r>
        <w:rPr>
          <w:sz w:val="24"/>
          <w:szCs w:val="24"/>
          <w:highlight w:val="white"/>
        </w:rPr>
        <w:t>Morrison et al., 2014).</w:t>
      </w:r>
      <w:r>
        <w:rPr>
          <w:sz w:val="24"/>
          <w:szCs w:val="24"/>
        </w:rPr>
        <w:t xml:space="preserve"> </w:t>
      </w:r>
    </w:p>
    <w:p>
      <w:pPr>
        <w:pStyle w:val="Normal"/>
        <w:spacing w:lineRule="auto" w:line="480"/>
        <w:ind w:firstLine="720"/>
        <w:rPr/>
      </w:pPr>
      <w:r>
        <w:rPr>
          <w:sz w:val="24"/>
          <w:szCs w:val="24"/>
        </w:rPr>
        <w:t xml:space="preserve">Long-term forest plot studies can be powerful sources of information, yet they have been scarce and often lack incremental or detailed data over long periods of time (Norris 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sz w:val="24"/>
          <w:szCs w:val="24"/>
          <w:highlight w:val="white"/>
        </w:rPr>
        <w:t>Hansen and Goheen, 2000; Thies and Sturrock, 1995)</w:t>
      </w:r>
      <w:r>
        <w:rPr>
          <w:sz w:val="24"/>
          <w:szCs w:val="24"/>
        </w:rPr>
        <w:t>. The long-term forest plot studies provide valuable data that can be used statistically alongside with models, to make predictions and to further understand forest dynamics.</w:t>
      </w:r>
    </w:p>
    <w:p>
      <w:pPr>
        <w:pStyle w:val="Normal"/>
        <w:spacing w:lineRule="auto" w:line="480"/>
        <w:ind w:firstLine="720"/>
        <w:rPr/>
      </w:pPr>
      <w:r>
        <w:rPr>
          <w:sz w:val="24"/>
          <w:szCs w:val="24"/>
        </w:rPr>
        <w:t xml:space="preserve">Models are typically used within forest management to circumvent limited data availability (Pretzsch et al., 2014; Pretzsch et al., 2008). These growth models have been created to aid in the decision-making process for forest management by synthesizing the interplay between complicated biological processes and silvicultural techniques </w:t>
      </w:r>
      <w:bookmarkStart w:id="0" w:name="bb0230"/>
      <w:r>
        <w:rPr>
          <w:sz w:val="24"/>
          <w:szCs w:val="24"/>
        </w:rPr>
        <w:t xml:space="preserve">(Woods and Watts, 2019; </w:t>
      </w:r>
      <w:r>
        <w:fldChar w:fldCharType="begin"/>
      </w:r>
      <w:r>
        <w:rPr>
          <w:sz w:val="24"/>
          <w:szCs w:val="24"/>
        </w:rPr>
        <w:instrText> HYPERLINK "https://www.sciencedirect.com/science/article/pii/S0378112719312332?via%3Dihub" \l "b0230"</w:instrText>
      </w:r>
      <w:r>
        <w:rPr>
          <w:sz w:val="24"/>
          <w:szCs w:val="24"/>
        </w:rPr>
        <w:fldChar w:fldCharType="separate"/>
      </w:r>
      <w:r>
        <w:rPr>
          <w:sz w:val="24"/>
          <w:szCs w:val="24"/>
        </w:rPr>
        <w:t>Skovsgaard and Vanclay, 2008</w:t>
      </w:r>
      <w:r>
        <w:rPr>
          <w:sz w:val="24"/>
          <w:szCs w:val="24"/>
        </w:rPr>
        <w:fldChar w:fldCharType="end"/>
      </w:r>
      <w:bookmarkEnd w:id="0"/>
      <w:r>
        <w:rPr>
          <w:sz w:val="24"/>
          <w:szCs w:val="24"/>
        </w:rPr>
        <w: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p>
    <w:p>
      <w:pPr>
        <w:pStyle w:val="Normal"/>
        <w:spacing w:lineRule="auto" w:line="480"/>
        <w:ind w:firstLine="720"/>
        <w:rPr>
          <w:sz w:val="24"/>
          <w:szCs w:val="24"/>
        </w:rPr>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r>
        <w:rPr>
          <w:i/>
          <w:iCs/>
          <w:sz w:val="24"/>
          <w:szCs w:val="24"/>
        </w:rPr>
        <w:t xml:space="preserve">Amillaria </w:t>
      </w:r>
      <w:r>
        <w:rPr>
          <w:sz w:val="24"/>
          <w:szCs w:val="24"/>
        </w:rPr>
        <w:t>(</w:t>
      </w:r>
      <w:hyperlink r:id="rId3" w:tgtFrame="Elias Magnus Fries">
        <w:r>
          <w:rPr>
            <w:sz w:val="24"/>
            <w:szCs w:val="24"/>
          </w:rPr>
          <w:t>Fr.</w:t>
        </w:r>
      </w:hyperlink>
      <w:r>
        <w:rPr>
          <w:sz w:val="24"/>
          <w:szCs w:val="24"/>
        </w:rPr>
        <w:t xml:space="preserve">) Staude and </w:t>
      </w:r>
      <w:r>
        <w:rPr>
          <w:i/>
          <w:iCs/>
          <w:sz w:val="24"/>
          <w:szCs w:val="24"/>
        </w:rPr>
        <w:t>annosus</w:t>
      </w:r>
      <w:r>
        <w:rPr>
          <w:sz w:val="24"/>
          <w:szCs w:val="24"/>
        </w:rPr>
        <w:t xml:space="preserve"> (</w:t>
      </w:r>
      <w:hyperlink r:id="rId4" w:tgtFrame="Elias Magnus Fries">
        <w:r>
          <w:rPr>
            <w:sz w:val="24"/>
            <w:szCs w:val="24"/>
          </w:rPr>
          <w:t>Fr.</w:t>
        </w:r>
      </w:hyperlink>
      <w:r>
        <w:rPr>
          <w:sz w:val="24"/>
          <w:szCs w:val="24"/>
        </w:rPr>
        <w:t xml:space="preserve">) </w:t>
      </w:r>
      <w:hyperlink r:id="rId5">
        <w:r>
          <w:rPr>
            <w:sz w:val="24"/>
            <w:szCs w:val="24"/>
          </w:rPr>
          <w:t>Bref.</w:t>
        </w:r>
      </w:hyperlink>
      <w:r>
        <w:rPr>
          <w:sz w:val="24"/>
          <w:szCs w:val="24"/>
        </w:rPr>
        <w:t xml:space="preserve"> (1888) root disease respectively, to the best of the authors’ knowledge, there has not been a long-term study to assess quality control for the WRDM and LRR caused by </w:t>
      </w:r>
      <w:r>
        <w:rPr>
          <w:i/>
          <w:iCs/>
          <w:sz w:val="24"/>
          <w:szCs w:val="24"/>
        </w:rPr>
        <w:t>C. sulphurascens</w:t>
      </w:r>
      <w:r>
        <w:rPr>
          <w:sz w:val="24"/>
          <w:szCs w:val="24"/>
        </w:rPr>
        <w:t>.</w:t>
      </w:r>
      <w:del w:id="2" w:author="Shawn McMurtrey" w:date="2022-10-11T19:13:00Z">
        <w:r>
          <w:rPr>
            <w:sz w:val="24"/>
            <w:szCs w:val="24"/>
          </w:rPr>
          <w:delText xml:space="preserve"> </w:delText>
        </w:r>
      </w:del>
    </w:p>
    <w:p>
      <w:pPr>
        <w:pStyle w:val="Normal"/>
        <w:spacing w:lineRule="auto" w:line="480"/>
        <w:ind w:firstLine="720"/>
        <w:rPr>
          <w:sz w:val="24"/>
          <w:szCs w:val="24"/>
          <w:ins w:id="4" w:author="Shawn McMurtrey" w:date="2022-10-14T09:31:00Z"/>
        </w:rPr>
      </w:pPr>
      <w:r>
        <w:rPr>
          <w:sz w:val="24"/>
          <w:szCs w:val="24"/>
        </w:rPr>
        <w:tab/>
        <w:t>The overall aim of these two</w:t>
      </w:r>
      <w:ins w:id="3" w:author="Shawn McMurtrey" w:date="2022-08-31T21:25:00Z">
        <w:r>
          <w:rPr>
            <w:sz w:val="24"/>
            <w:szCs w:val="24"/>
          </w:rPr>
          <w:t xml:space="preserve"> </w:t>
        </w:r>
      </w:ins>
      <w:r>
        <w:rPr>
          <w:sz w:val="24"/>
          <w:szCs w:val="24"/>
        </w:rPr>
        <w:t xml:space="preserve">studies was to develop a better understanding of the interaction between forest management practices and </w:t>
      </w:r>
      <w:r>
        <w:rPr>
          <w:i/>
          <w:iCs/>
          <w:sz w:val="24"/>
          <w:szCs w:val="24"/>
        </w:rPr>
        <w:t>C. sulphurascens</w:t>
      </w:r>
      <w:r>
        <w:rPr>
          <w:sz w:val="24"/>
          <w:szCs w:val="24"/>
        </w:rPr>
        <w:t xml:space="preserve">, the cause of LRR. Specifically, </w:t>
      </w:r>
      <w:r>
        <w:rPr>
          <w:rFonts w:eastAsia="NSimSun" w:cs="Lucida Sans"/>
          <w:kern w:val="2"/>
          <w:sz w:val="24"/>
          <w:szCs w:val="24"/>
          <w:lang w:val="en-US" w:eastAsia="zh-CN" w:bidi="hi-IN"/>
        </w:rPr>
        <w:t xml:space="preserve">the studies aimed to </w:t>
      </w:r>
      <w:r>
        <w:rPr>
          <w:sz w:val="24"/>
          <w:szCs w:val="24"/>
        </w:rPr>
        <w:t xml:space="preserve">determine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LRR</w:t>
      </w:r>
      <w:r>
        <w:rPr>
          <w:i/>
          <w:iCs/>
          <w:sz w:val="24"/>
          <w:szCs w:val="24"/>
        </w:rPr>
        <w:t xml:space="preserve">. </w:t>
      </w:r>
      <w:r>
        <w:rPr>
          <w:sz w:val="24"/>
          <w:szCs w:val="24"/>
        </w:rPr>
        <w:t>The objectives were to: (i)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validate the ability of the Forest Vegetation Simulator and Western Root Disease Model to predict growth and yield of stands severely impacted by </w:t>
      </w:r>
      <w:r>
        <w:rPr>
          <w:i/>
          <w:iCs/>
          <w:sz w:val="24"/>
          <w:szCs w:val="24"/>
        </w:rPr>
        <w:t xml:space="preserve">C. sulphurascens </w:t>
      </w:r>
      <w:r>
        <w:rPr>
          <w:sz w:val="24"/>
          <w:szCs w:val="24"/>
        </w:rPr>
        <w:t>following thinning and alternate host rotation treatments.</w:t>
      </w:r>
    </w:p>
    <w:p>
      <w:pPr>
        <w:pStyle w:val="Normal"/>
        <w:spacing w:lineRule="auto" w:line="480"/>
        <w:rPr>
          <w:sz w:val="24"/>
          <w:szCs w:val="24"/>
          <w:ins w:id="6" w:author="Shawn McMurtrey" w:date="2022-10-14T09:31:00Z"/>
        </w:rPr>
      </w:pPr>
      <w:ins w:id="5" w:author="Shawn McMurtrey" w:date="2022-10-14T09:31:00Z">
        <w:r>
          <w:rPr>
            <w:sz w:val="24"/>
            <w:szCs w:val="24"/>
          </w:rPr>
        </w:r>
      </w:ins>
    </w:p>
    <w:p>
      <w:pPr>
        <w:pStyle w:val="Normal"/>
        <w:spacing w:lineRule="auto" w:line="480"/>
        <w:rPr/>
      </w:pPr>
      <w:r>
        <w:rPr/>
        <w:drawing>
          <wp:inline distT="0" distB="0" distL="0" distR="0">
            <wp:extent cx="5219700" cy="2933700"/>
            <wp:effectExtent l="0" t="0" r="0" b="0"/>
            <wp:docPr id="1" name="Picture 3" descr="Map&#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Map&#10;&#10;Description automatically generated with low confidence"/>
                    <pic:cNvPicPr>
                      <a:picLocks noChangeAspect="1" noChangeArrowheads="1"/>
                    </pic:cNvPicPr>
                  </pic:nvPicPr>
                  <pic:blipFill>
                    <a:blip r:embed="rId6"/>
                    <a:stretch>
                      <a:fillRect/>
                    </a:stretch>
                  </pic:blipFill>
                  <pic:spPr bwMode="auto">
                    <a:xfrm>
                      <a:off x="0" y="0"/>
                      <a:ext cx="5219700" cy="2933700"/>
                    </a:xfrm>
                    <a:prstGeom prst="rect">
                      <a:avLst/>
                    </a:prstGeom>
                  </pic:spPr>
                </pic:pic>
              </a:graphicData>
            </a:graphic>
          </wp:inline>
        </w:drawing>
      </w:r>
      <w:r>
        <w:rPr/>
        <w:br/>
      </w:r>
    </w:p>
    <w:p>
      <w:pPr>
        <w:pStyle w:val="Normal"/>
        <w:spacing w:lineRule="auto" w:line="480"/>
        <w:rPr/>
      </w:pPr>
      <w:r>
        <w:rPr>
          <w:highlight w:val="yellow"/>
        </w:rPr>
        <w:t>We could potentially add one more map like this one to show the location of the two study areas. I think it would help paint the picture for the two studies and then I could remove my inset map from the woods creek study area. We do already have a lot of figures though. Thoughts?</w:t>
      </w:r>
    </w:p>
    <w:p>
      <w:pPr>
        <w:pStyle w:val="Normal"/>
        <w:spacing w:lineRule="auto" w:line="480"/>
        <w:rPr/>
      </w:pPr>
      <w:r>
        <w:rPr/>
        <w:br/>
      </w:r>
      <w:r>
        <w:rPr>
          <w:b/>
          <w:sz w:val="28"/>
          <w:szCs w:val="28"/>
        </w:rPr>
        <w:t>2. Methods</w:t>
      </w:r>
    </w:p>
    <w:p>
      <w:pPr>
        <w:pStyle w:val="Normal"/>
        <w:spacing w:lineRule="auto" w:line="480"/>
        <w:rPr/>
      </w:pPr>
      <w:r>
        <w:rPr>
          <w:b/>
          <w:sz w:val="24"/>
          <w:szCs w:val="24"/>
        </w:rPr>
        <w:t>2.1 Woods Creek thinning study</w:t>
      </w:r>
    </w:p>
    <w:p>
      <w:pPr>
        <w:pStyle w:val="Normal"/>
        <w:spacing w:lineRule="auto" w:line="480"/>
        <w:rPr>
          <w:sz w:val="24"/>
          <w:szCs w:val="24"/>
        </w:rPr>
      </w:pPr>
      <w:r>
        <w:rPr>
          <w:b/>
          <w:sz w:val="24"/>
          <w:szCs w:val="24"/>
        </w:rPr>
        <w:t>2.1.1 Study area</w:t>
      </w:r>
    </w:p>
    <w:p>
      <w:pPr>
        <w:pStyle w:val="Normal"/>
        <w:spacing w:lineRule="auto" w:line="480"/>
        <w:ind w:firstLine="720"/>
        <w:rPr>
          <w:del w:id="8" w:author="Shawn McMurtrey" w:date="2022-10-14T14:42:00Z"/>
        </w:rPr>
      </w:pPr>
      <w:r>
        <w:rPr>
          <w:sz w:val="24"/>
          <w:szCs w:val="24"/>
        </w:rPr>
        <w:t>This study was conducted in the Coast Range of the Siuslaw National Forest located in western Oregon, USA. Forests here contain mostly mature and old-growth Douglas-fir, along with various other trees species to include western hemlock (</w:t>
      </w:r>
      <w:hyperlink r:id="rId7"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(Rafn.) Sarg.), western red cedar (</w:t>
      </w:r>
      <w:hyperlink r:id="rId8"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9" w:tgtFrame="David Douglas (botanist)">
        <w:r>
          <w:rPr>
            <w:sz w:val="24"/>
            <w:szCs w:val="24"/>
          </w:rPr>
          <w:t>Douglas</w:t>
        </w:r>
      </w:hyperlink>
      <w:r>
        <w:rPr>
          <w:sz w:val="24"/>
          <w:szCs w:val="24"/>
        </w:rPr>
        <w:t xml:space="preserve"> ex </w:t>
      </w:r>
      <w:hyperlink r:id="rId10" w:tgtFrame="David Don">
        <w:r>
          <w:rPr>
            <w:sz w:val="24"/>
            <w:szCs w:val="24"/>
          </w:rPr>
          <w:t>D. Don</w:t>
        </w:r>
      </w:hyperlink>
      <w:r>
        <w:rPr>
          <w:sz w:val="24"/>
          <w:szCs w:val="24"/>
        </w:rPr>
        <w:t xml:space="preserve">) </w:t>
      </w:r>
      <w:hyperlink r:id="rId11" w:tgtFrame="John Lindley">
        <w:r>
          <w:rPr>
            <w:sz w:val="24"/>
            <w:szCs w:val="24"/>
          </w:rPr>
          <w:t>Lindley</w:t>
        </w:r>
      </w:hyperlink>
      <w:r>
        <w:rPr>
          <w:sz w:val="24"/>
          <w:szCs w:val="24"/>
        </w:rPr>
        <w:t>), noble fir (</w:t>
      </w:r>
      <w:r>
        <w:rPr>
          <w:i/>
          <w:iCs/>
          <w:sz w:val="24"/>
          <w:szCs w:val="24"/>
        </w:rPr>
        <w:t>Abies procera</w:t>
      </w:r>
      <w:r>
        <w:rPr>
          <w:sz w:val="24"/>
          <w:szCs w:val="24"/>
        </w:rPr>
        <w:t>, Rehder), bigleaf maple (</w:t>
      </w:r>
      <w:r>
        <w:rPr>
          <w:i/>
          <w:iCs/>
          <w:sz w:val="24"/>
          <w:szCs w:val="24"/>
        </w:rPr>
        <w:t xml:space="preserve">Acer macrophyllum </w:t>
      </w:r>
      <w:r>
        <w:rPr>
          <w:sz w:val="24"/>
          <w:szCs w:val="24"/>
        </w:rPr>
        <w:t>Pursh), red alder (Alnus rubra Bong.), golden chinquapin (</w:t>
      </w:r>
      <w:r>
        <w:rPr>
          <w:i/>
          <w:iCs/>
          <w:sz w:val="24"/>
          <w:szCs w:val="24"/>
        </w:rPr>
        <w:t>Chrysolepis chrysophylla</w:t>
      </w:r>
      <w:r>
        <w:rPr>
          <w:sz w:val="24"/>
          <w:szCs w:val="24"/>
        </w:rPr>
        <w:t xml:space="preserve"> (</w:t>
      </w:r>
      <w:hyperlink r:id="rId12" w:tgtFrame="David Douglas (botanist)">
        <w:r>
          <w:rPr>
            <w:sz w:val="24"/>
            <w:szCs w:val="24"/>
          </w:rPr>
          <w:t>Douglas</w:t>
        </w:r>
      </w:hyperlink>
      <w:r>
        <w:rPr>
          <w:sz w:val="24"/>
          <w:szCs w:val="24"/>
        </w:rPr>
        <w:t xml:space="preserve"> ex </w:t>
      </w:r>
      <w:hyperlink r:id="rId13" w:tgtFrame="William Jackson Hooker">
        <w:r>
          <w:rPr>
            <w:sz w:val="24"/>
            <w:szCs w:val="24"/>
          </w:rPr>
          <w:t>Hook.</w:t>
        </w:r>
      </w:hyperlink>
      <w:r>
        <w:rPr>
          <w:sz w:val="24"/>
          <w:szCs w:val="24"/>
        </w:rPr>
        <w:t xml:space="preserve">) </w:t>
      </w:r>
      <w:hyperlink r:id="rId14" w:tgtFrame="Hjelmq. (page does not exist)">
        <w:r>
          <w:rPr>
            <w:sz w:val="24"/>
            <w:szCs w:val="24"/>
          </w:rPr>
          <w:t>Hjelmq.</w:t>
        </w:r>
      </w:hyperlink>
      <w:r>
        <w:rPr>
          <w:sz w:val="24"/>
          <w:szCs w:val="24"/>
        </w:rPr>
        <w:t>), willow (</w:t>
      </w:r>
      <w:r>
        <w:rPr>
          <w:i/>
          <w:iCs/>
          <w:sz w:val="24"/>
          <w:szCs w:val="24"/>
        </w:rPr>
        <w:t>Salix</w:t>
      </w:r>
      <w:r>
        <w:rPr>
          <w:sz w:val="24"/>
          <w:szCs w:val="24"/>
        </w:rPr>
        <w:t xml:space="preserve"> alab L.), and silver 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del w:id="7" w:author="Shawn McMurtrey" w:date="2022-10-14T14:42:00Z">
        <w:r>
          <w:rPr>
            <w:sz w:val="24"/>
            <w:szCs w:val="24"/>
          </w:rPr>
          <w:delText>.</w:delText>
        </w:r>
      </w:del>
    </w:p>
    <w:p>
      <w:pPr>
        <w:pStyle w:val="Normal"/>
        <w:spacing w:lineRule="auto" w:line="480"/>
        <w:ind w:firstLine="720"/>
        <w:rPr>
          <w:sz w:val="24"/>
          <w:szCs w:val="24"/>
        </w:rPr>
      </w:pPr>
      <w:r>
        <w:rPr>
          <w:sz w:val="24"/>
          <w:szCs w:val="24"/>
        </w:rPr>
        <w:t>The Woods Creek thinning study took place within the Siuslaw National Forest was chosen with prior knowledge that there was a high incidence rate of LRR. This was based upon a line intercept survey (Bloomberg et al., 1980) that was conducted in 1978. The area was clear cut between 1910 and 1920, burned after reharvest, and reestablished naturally from seed (Tkacz and Hansen, 1982). The study area encompassed 15 stands (mean = 9.7 hectares, range = 6.7 - 14.7 hectares) across ~162 hectares (</w:t>
      </w:r>
      <w:r>
        <w:rPr>
          <w:b/>
          <w:sz w:val="24"/>
          <w:szCs w:val="24"/>
        </w:rPr>
        <w:t>Figure 1</w:t>
      </w:r>
      <w:r>
        <w:rPr>
          <w:sz w:val="24"/>
          <w:szCs w:val="24"/>
        </w:rPr>
        <w:t xml:space="preserve">). The stands were thinned in 1986 - 1990, which reduced the overall basal area by about ⅓; trees per 0.4 hectares were also reduced by about 40% (Hansen, unpublished data). </w:t>
      </w:r>
    </w:p>
    <w:p>
      <w:pPr>
        <w:pStyle w:val="Normal"/>
        <w:spacing w:lineRule="auto" w:line="480"/>
        <w:ind w:firstLine="720"/>
        <w:rPr/>
      </w:pPr>
      <w:r>
        <w:rPr>
          <w:sz w:val="24"/>
          <w:szCs w:val="24"/>
        </w:rPr>
        <w:t>Three categories of treatment areas were originally designed for this study, with five replicates for each treatment. The treatment categories included the control, that contained five stands where no thinning occurred. The basal area of the control stands was 61.4 m</w:t>
      </w:r>
      <w:r>
        <w:rPr>
          <w:color w:val="333333"/>
          <w:sz w:val="24"/>
          <w:szCs w:val="24"/>
          <w:vertAlign w:val="superscript"/>
        </w:rPr>
        <w:t>2</w:t>
      </w:r>
      <w:r>
        <w:rPr>
          <w:sz w:val="24"/>
          <w:szCs w:val="24"/>
        </w:rPr>
        <w:t>ha</w:t>
      </w:r>
      <w:r>
        <w:rPr>
          <w:sz w:val="24"/>
          <w:szCs w:val="24"/>
          <w:vertAlign w:val="superscript"/>
        </w:rPr>
        <w:t>-1</w:t>
      </w:r>
      <w:r>
        <w:rPr>
          <w:sz w:val="24"/>
          <w:szCs w:val="24"/>
        </w:rPr>
        <w:t xml:space="preserve"> in 1990 with a stand mean quadratic mean diameter of 41 cm. The lightly thinned treatment area was made up of five stands that were thinned to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with a stand mean quadratic mean diameter of 47 cm. The thinned area was made up of five stands that were thinned to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with a stand mean quadratic mean diameter of 55 cm</w:t>
      </w:r>
      <w:commentRangeStart w:id="0"/>
      <w:r>
        <w:rPr>
          <w:sz w:val="24"/>
          <w:szCs w:val="24"/>
        </w:rPr>
        <w:t>.</w:t>
      </w:r>
      <w:r>
        <w:rPr>
          <w:sz w:val="24"/>
          <w:szCs w:val="24"/>
        </w:rPr>
      </w:r>
      <w:commentRangeEnd w:id="0"/>
      <w:r>
        <w:commentReference w:id="0"/>
      </w:r>
      <w:r>
        <w:rPr>
          <w:sz w:val="24"/>
          <w:szCs w:val="24"/>
        </w:rPr>
        <w:t xml:space="preserve"> </w:t>
        <w:br/>
      </w:r>
    </w:p>
    <w:p>
      <w:pPr>
        <w:pStyle w:val="Normal"/>
        <w:spacing w:lineRule="auto" w:line="480"/>
        <w:rPr/>
      </w:pPr>
      <w:r>
        <w:rPr>
          <w:b/>
          <w:bCs/>
          <w:sz w:val="24"/>
          <w:szCs w:val="24"/>
        </w:rPr>
        <w:t xml:space="preserve">2.1.2 Plot network </w:t>
      </w:r>
    </w:p>
    <w:p>
      <w:pPr>
        <w:pStyle w:val="Normal"/>
        <w:spacing w:lineRule="auto" w:line="480"/>
        <w:ind w:firstLine="720"/>
        <w:rPr/>
      </w:pPr>
      <w:r>
        <w:rPr>
          <w:sz w:val="24"/>
          <w:szCs w:val="24"/>
        </w:rPr>
        <w:t>In 1985, prior to any treatments being conducted, a total of 75 circular, fixed radius plots were established (</w:t>
      </w:r>
      <w:r>
        <w:rPr>
          <w:b/>
          <w:sz w:val="24"/>
          <w:szCs w:val="24"/>
        </w:rPr>
        <w:t>Figure 1</w:t>
      </w:r>
      <w:r>
        <w:rPr>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2.8.0 </w:t>
      </w:r>
      <w:r>
        <w:rPr>
          <w:sz w:val="24"/>
          <w:szCs w:val="24"/>
          <w:highlight w:val="white"/>
        </w:rPr>
        <w:t>(ESRI, 2011)</w:t>
      </w:r>
      <w:r>
        <w:rPr>
          <w:sz w:val="24"/>
          <w:szCs w:val="24"/>
        </w:rPr>
        <w:t>. The DEM was downloaded from the USGS Earth Explorer online website (</w:t>
      </w:r>
      <w:hyperlink r:id="rId15">
        <w:r>
          <w:rPr>
            <w:rStyle w:val="InternetLink"/>
            <w:color w:val="auto"/>
            <w:sz w:val="24"/>
            <w:szCs w:val="24"/>
          </w:rPr>
          <w:t>http://earthexplorer.usgs.gov</w:t>
        </w:r>
      </w:hyperlink>
      <w:r>
        <w:rPr>
          <w:sz w:val="24"/>
          <w:szCs w:val="24"/>
        </w:rPr>
        <w:t xml:space="preserve">). </w:t>
      </w:r>
    </w:p>
    <w:p>
      <w:pPr>
        <w:pStyle w:val="Normal"/>
        <w:spacing w:lineRule="auto" w:line="480"/>
        <w:rPr>
          <w:sz w:val="24"/>
          <w:szCs w:val="24"/>
        </w:rPr>
      </w:pPr>
      <w:r>
        <w:rPr>
          <w:sz w:val="24"/>
          <w:szCs w:val="24"/>
        </w:rPr>
      </w:r>
    </w:p>
    <w:p>
      <w:pPr>
        <w:pStyle w:val="Normal"/>
        <w:spacing w:lineRule="auto" w:line="480"/>
        <w:rPr>
          <w:sz w:val="24"/>
          <w:szCs w:val="24"/>
          <w:ins w:id="9" w:author="Shawn McMurtrey" w:date="2022-09-07T22:31:00Z"/>
        </w:rPr>
      </w:pPr>
      <w:r>
        <w:rPr/>
        <w:drawing>
          <wp:inline distT="0" distB="0" distL="0" distR="0">
            <wp:extent cx="5895975" cy="4126230"/>
            <wp:effectExtent l="0" t="0" r="0" b="0"/>
            <wp:docPr id="2"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7" descr=""/>
                    <pic:cNvPicPr>
                      <a:picLocks noChangeAspect="1" noChangeArrowheads="1"/>
                    </pic:cNvPicPr>
                  </pic:nvPicPr>
                  <pic:blipFill>
                    <a:blip r:embed="rId16"/>
                    <a:stretch>
                      <a:fillRect/>
                    </a:stretch>
                  </pic:blipFill>
                  <pic:spPr bwMode="auto">
                    <a:xfrm>
                      <a:off x="0" y="0"/>
                      <a:ext cx="5895975" cy="4126230"/>
                    </a:xfrm>
                    <a:prstGeom prst="rect">
                      <a:avLst/>
                    </a:prstGeom>
                  </pic:spPr>
                </pic:pic>
              </a:graphicData>
            </a:graphic>
          </wp:inline>
        </w:drawing>
      </w:r>
      <w:r>
        <w:rPr/>
        <w:commentReference w:id="1"/>
      </w:r>
    </w:p>
    <w:p>
      <w:pPr>
        <w:pStyle w:val="Normal"/>
        <w:spacing w:lineRule="auto" w:line="480"/>
        <w:rPr/>
      </w:pP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USA (Latitude 44.53263, Longitude        -123.53433). Triangles represent plots where LRR was detected (n = 62), circles represent plots where LRR was not detected (n = 13) over the 30-year duration of the study.   </w:t>
      </w:r>
    </w:p>
    <w:p>
      <w:pPr>
        <w:pStyle w:val="Normal"/>
        <w:spacing w:lineRule="auto" w:line="480"/>
        <w:rPr>
          <w:iCs/>
          <w:sz w:val="24"/>
          <w:szCs w:val="24"/>
        </w:rPr>
      </w:pPr>
      <w:r>
        <w:rPr>
          <w:iCs/>
          <w:sz w:val="24"/>
          <w:szCs w:val="24"/>
        </w:rPr>
      </w:r>
    </w:p>
    <w:p>
      <w:pPr>
        <w:pStyle w:val="Normal"/>
        <w:spacing w:lineRule="auto" w:line="480"/>
        <w:rPr/>
      </w:pPr>
      <w:r>
        <w:rPr>
          <w:b/>
          <w:iCs/>
          <w:sz w:val="24"/>
          <w:szCs w:val="24"/>
        </w:rPr>
        <w:t>2.1.3 Data collection</w:t>
      </w:r>
    </w:p>
    <w:p>
      <w:pPr>
        <w:pStyle w:val="Normal"/>
        <w:spacing w:lineRule="auto" w:line="480"/>
        <w:ind w:firstLine="720"/>
        <w:rPr/>
      </w:pPr>
      <w:r>
        <w:rPr>
          <w:sz w:val="24"/>
          <w:szCs w:val="24"/>
        </w:rPr>
        <w:t>Beginning in 1985, the plots were surveyed and each tree within the plot was tagged with a tree identification number. The tree species, diameter at breast height (DBH) measurements, and tree health condition codes were recorded.  DBH was taken ~1.37 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 xml:space="preserve">). Windblown trees or stumps were given a code of 4 if signs of LRR were not present. Plots were surveyed in 1990, 1995, 2000, 2009, and 2020. </w:t>
        <w:br/>
      </w:r>
    </w:p>
    <w:p>
      <w:pPr>
        <w:pStyle w:val="Normal"/>
        <w:tabs>
          <w:tab w:val="clear" w:pos="720"/>
          <w:tab w:val="left" w:pos="6390" w:leader="none"/>
        </w:tabs>
        <w:spacing w:lineRule="auto" w:line="480"/>
        <w:ind w:firstLine="720"/>
        <w:rPr/>
      </w:pPr>
      <w:r>
        <w:rPr>
          <w:sz w:val="24"/>
          <w:szCs w:val="24"/>
        </w:rPr>
        <w:t xml:space="preserve">Confirmation of </w:t>
      </w:r>
      <w:r>
        <w:rPr>
          <w:i/>
          <w:sz w:val="24"/>
          <w:szCs w:val="24"/>
        </w:rPr>
        <w:t xml:space="preserve">C. sulphurascens </w:t>
      </w:r>
      <w:r>
        <w:rPr>
          <w:sz w:val="24"/>
          <w:szCs w:val="24"/>
        </w:rPr>
        <w:t xml:space="preserve">was determined in the field by observation of pitted wood in advanced decay and setal hyphae under a hand lens (Hansen, 1979). If determination could not be identified in the field, samples were brought back to the lab and grown on malt extract agar (1.5% malt extract, 1.5% Bacto agar) in a low temperature incubator 815 (Precision Scientific Inc., Chicago, IL) at 20°C for 4 - 6 weeks. Confirmation of setal hyphae was later confirmed by viewing under a dissecting microscope. </w:t>
      </w:r>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sz w:val="24"/>
          <w:szCs w:val="24"/>
        </w:rPr>
      </w:pPr>
      <w:r>
        <w:rPr>
          <w:b/>
          <w:iCs/>
          <w:sz w:val="24"/>
          <w:szCs w:val="24"/>
        </w:rPr>
        <w:t>2.1.4 Data cleaning and analysis</w:t>
      </w:r>
    </w:p>
    <w:p>
      <w:pPr>
        <w:pStyle w:val="Normal"/>
        <w:spacing w:lineRule="auto" w:line="480"/>
        <w:ind w:firstLine="720"/>
        <w:rPr/>
      </w:pPr>
      <w:r>
        <w:rPr>
          <w:sz w:val="24"/>
          <w:szCs w:val="24"/>
        </w:rPr>
        <w: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 Microsoft Excel</w:t>
      </w:r>
      <w:r>
        <w:rPr/>
        <w:t xml:space="preserve"> </w:t>
      </w:r>
      <w:r>
        <w:rPr>
          <w:sz w:val="24"/>
          <w:szCs w:val="24"/>
        </w:rPr>
        <w:t xml:space="preserve">and RStudio (v. 1.4.1103, </w:t>
      </w:r>
      <w:r>
        <w:rPr>
          <w:rFonts w:eastAsia="Times New Roman"/>
          <w:sz w:val="24"/>
          <w:szCs w:val="24"/>
        </w:rPr>
        <w:t>RStudio Team, 2021</w:t>
      </w:r>
      <w:r>
        <w:rPr>
          <w:sz w:val="24"/>
          <w:szCs w:val="24"/>
        </w:rPr>
        <w:t xml:space="preserve">).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 at the Github repository: </w:t>
      </w:r>
      <w:hyperlink r:id="rId17">
        <w:r>
          <w:rPr>
            <w:rStyle w:val="InternetLink"/>
            <w:sz w:val="24"/>
            <w:szCs w:val="24"/>
          </w:rPr>
          <w:t>https://mcmurtrs.github.io/WoodsCreek/</w:t>
        </w:r>
      </w:hyperlink>
      <w:ins w:id="10" w:author="Shawn McMurtrey" w:date="2022-08-31T21:41:00Z">
        <w:r>
          <w:rPr>
            <w:rStyle w:val="InternetLink"/>
            <w:color w:val="auto"/>
            <w:sz w:val="24"/>
            <w:szCs w:val="24"/>
          </w:rPr>
          <w:t>.</w:t>
        </w:r>
      </w:ins>
    </w:p>
    <w:p>
      <w:pPr>
        <w:pStyle w:val="Normal"/>
        <w:spacing w:lineRule="auto" w:line="480"/>
        <w:ind w:firstLine="720"/>
        <w:rPr/>
      </w:pPr>
      <w:r>
        <w:rPr>
          <w:sz w:val="24"/>
          <w:szCs w:val="24"/>
        </w:rPr>
        <w: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t>
      </w:r>
    </w:p>
    <w:p>
      <w:pPr>
        <w:pStyle w:val="Normal"/>
        <w:tabs>
          <w:tab w:val="clear" w:pos="720"/>
          <w:tab w:val="left" w:pos="6390" w:leader="none"/>
        </w:tabs>
        <w:spacing w:lineRule="auto" w:line="480"/>
        <w:rPr>
          <w:sz w:val="24"/>
          <w:szCs w:val="24"/>
        </w:rPr>
      </w:pPr>
      <w:r>
        <w:rPr>
          <w:sz w:val="24"/>
          <w:szCs w:val="24"/>
        </w:rPr>
      </w:r>
    </w:p>
    <w:p>
      <w:pPr>
        <w:pStyle w:val="Normal"/>
        <w:tabs>
          <w:tab w:val="clear" w:pos="720"/>
          <w:tab w:val="left" w:pos="6390" w:leader="none"/>
        </w:tabs>
        <w:spacing w:lineRule="auto" w:line="480"/>
        <w:rPr/>
      </w:pPr>
      <w:r>
        <w:rPr>
          <w:b/>
          <w:iCs/>
          <w:sz w:val="24"/>
          <w:szCs w:val="24"/>
        </w:rPr>
        <w:t>2.1.5 Statistical analysis</w:t>
      </w:r>
    </w:p>
    <w:p>
      <w:pPr>
        <w:pStyle w:val="Normal"/>
        <w:tabs>
          <w:tab w:val="clear" w:pos="720"/>
          <w:tab w:val="left" w:pos="6390" w:leader="none"/>
        </w:tabs>
        <w:spacing w:lineRule="auto" w:line="480"/>
        <w:ind w:firstLine="720"/>
        <w:rPr>
          <w:bCs/>
          <w:iCs/>
          <w:sz w:val="24"/>
          <w:szCs w:val="24"/>
        </w:rPr>
      </w:pPr>
      <w:r>
        <w:rPr>
          <w:bCs/>
          <w:iCs/>
          <w:sz w:val="24"/>
          <w:szCs w:val="24"/>
        </w:rPr>
        <w:t xml:space="preserve">A one-way analysis of variance (ANOVA) was conducted to test the main effect of treatment on arcsine square root transformed cumulative proportional stand mortality caused by LRR. Cumulative proportional stand mortality was defined as number of confirmed dead trees showing LRR symptoms over the total number of trees within the stand. A two-way ANOVA was also used to test the effect of treatment on mortality while using the relative stand presence of </w:t>
      </w:r>
      <w:r>
        <w:rPr>
          <w:bCs/>
          <w:i/>
          <w:sz w:val="24"/>
          <w:szCs w:val="24"/>
        </w:rPr>
        <w:t>C. sulphurascens</w:t>
      </w:r>
      <w:r>
        <w:rPr>
          <w:bCs/>
          <w:iCs/>
          <w:sz w:val="24"/>
          <w:szCs w:val="24"/>
        </w:rPr>
        <w:t xml:space="preserve"> (stands with fungus present/ stands without fungus present) as a covariate.</w:t>
      </w:r>
    </w:p>
    <w:p>
      <w:pPr>
        <w:pStyle w:val="Normal"/>
        <w:tabs>
          <w:tab w:val="clear" w:pos="720"/>
          <w:tab w:val="left" w:pos="6390" w:leader="none"/>
        </w:tabs>
        <w:spacing w:lineRule="auto" w:line="480"/>
        <w:ind w:firstLine="720"/>
        <w:rPr/>
      </w:pPr>
      <w:r>
        <w:rPr>
          <w:sz w:val="24"/>
          <w:szCs w:val="24"/>
          <w:highlight w:val="white"/>
        </w:rPr>
        <w:t>Data cleaning and visualization were performed in R using packages</w:t>
      </w:r>
      <w:r>
        <w:rPr>
          <w:sz w:val="24"/>
          <w:szCs w:val="24"/>
        </w:rPr>
        <w:t xml:space="preserve"> tidyverse (Wickham, 2017) and ggplot2 (</w:t>
      </w:r>
      <w:r>
        <w:rPr>
          <w:color w:val="000000"/>
          <w:sz w:val="24"/>
          <w:szCs w:val="24"/>
          <w:shd w:fill="FFFFFF" w:val="clear"/>
        </w:rPr>
        <w:t xml:space="preserve">Wickham, 2009). </w:t>
      </w:r>
      <w:r>
        <w:rPr>
          <w:color w:val="000000"/>
          <w:sz w:val="24"/>
          <w:szCs w:val="24"/>
          <w:highlight w:val="white"/>
          <w:shd w:fill="FFFFFF" w:val="clear"/>
        </w:rPr>
        <w:t xml:space="preserve">ANOVA tests were performed in R using the stats package. The threshold for significance was set at </w:t>
      </w:r>
      <w:r>
        <w:rPr>
          <w:color w:val="000000"/>
          <w:sz w:val="24"/>
          <w:szCs w:val="24"/>
          <w:shd w:fill="FFFFFF" w:val="clear"/>
        </w:rPr>
        <w:t>α = 0.05.</w:t>
      </w:r>
    </w:p>
    <w:p>
      <w:pPr>
        <w:pStyle w:val="Normal"/>
        <w:spacing w:lineRule="auto" w:line="480"/>
        <w:rPr>
          <w:b/>
          <w:b/>
          <w:sz w:val="24"/>
          <w:szCs w:val="24"/>
          <w:ins w:id="12" w:author="Unknown Author" w:date="2022-10-07T14:55:00Z"/>
        </w:rPr>
      </w:pPr>
      <w:ins w:id="11" w:author="Unknown Author" w:date="2022-10-07T14:55:00Z">
        <w:r>
          <w:rPr>
            <w:b/>
            <w:sz w:val="24"/>
            <w:szCs w:val="24"/>
          </w:rPr>
        </w:r>
      </w:ins>
    </w:p>
    <w:p>
      <w:pPr>
        <w:pStyle w:val="Normal"/>
        <w:spacing w:lineRule="auto" w:line="480"/>
        <w:rPr>
          <w:b/>
          <w:b/>
          <w:sz w:val="24"/>
          <w:szCs w:val="24"/>
        </w:rPr>
      </w:pPr>
      <w:r>
        <w:rPr/>
        <w:commentReference w:id="2"/>
      </w:r>
    </w:p>
    <w:p>
      <w:pPr>
        <w:pStyle w:val="Normal"/>
        <w:spacing w:lineRule="auto" w:line="480"/>
        <w:rPr/>
      </w:pPr>
      <w:r>
        <w:rPr>
          <w:b/>
          <w:sz w:val="24"/>
          <w:szCs w:val="24"/>
        </w:rPr>
        <w:t>2.1.6 Forest Vegetation Simulator</w:t>
      </w:r>
    </w:p>
    <w:p>
      <w:pPr>
        <w:pStyle w:val="Normal"/>
        <w:shd w:val="clear" w:color="auto" w:fill="FFFFFF"/>
        <w:spacing w:lineRule="auto" w:line="480" w:before="0" w:after="240"/>
        <w:ind w:firstLine="720"/>
        <w:rPr/>
      </w:pPr>
      <w:r>
        <w:rPr>
          <w:sz w:val="24"/>
          <w:szCs w:val="24"/>
        </w:rPr>
        <w:t>Individual stand files 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For the FVS analysis, two comparisons were made; the first comparison involved the observed data compared to a default run in FVS. The second comparison included a comparison of the observed data with the WRDM extension using default parameters.</w:t>
        <w:br/>
        <w:tab/>
        <w:t xml:space="preserve">The data runs used the data collected from 1990, which included individual tree level, plot level, and stand level data. This data was run with default parameters from 1990-2020 and summarized at the stand level. For the observed data the standard basal area calculation was used to calculate basal area. For the WRDM, default parameters were used based upon sensitivity analysis testing and guidance from previous investigators </w:t>
      </w:r>
      <w:r>
        <w:rPr>
          <w:sz w:val="24"/>
          <w:szCs w:val="24"/>
          <w:highlight w:val="white"/>
        </w:rPr>
        <w:t>(Maffei et al., 2008; Goheen and Thompson, 1998; Marsden, 1992a; Smith and Zhang ,1997).</w:t>
      </w:r>
    </w:p>
    <w:p>
      <w:pPr>
        <w:pStyle w:val="Normal"/>
        <w:spacing w:lineRule="auto" w:line="480"/>
        <w:ind w:firstLine="720"/>
        <w:rPr/>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 2018).</w:t>
      </w:r>
      <w:r>
        <w:rPr>
          <w:sz w:val="24"/>
          <w:szCs w:val="24"/>
          <w:highlight w:val="white"/>
        </w:rPr>
        <w:t xml:space="preserve"> Default parameters were used regarding bark beetles considering that the Douglas-fir beetle (</w:t>
      </w:r>
      <w:r>
        <w:rPr>
          <w:i/>
          <w:sz w:val="24"/>
          <w:szCs w:val="24"/>
          <w:highlight w:val="white"/>
        </w:rPr>
        <w:t>Dendroctonus pseudotsugae</w:t>
      </w:r>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(Furniss and Kegley, 2014).</w:t>
      </w:r>
      <w:r>
        <w:rPr>
          <w:i/>
          <w:sz w:val="24"/>
          <w:szCs w:val="24"/>
        </w:rPr>
        <w:t xml:space="preserve"> </w:t>
      </w:r>
    </w:p>
    <w:p>
      <w:pPr>
        <w:pStyle w:val="Normal"/>
        <w:spacing w:lineRule="auto" w:line="480"/>
        <w:ind w:firstLine="720"/>
        <w:rPr/>
      </w:pPr>
      <w:r>
        <w:rPr>
          <w:sz w:val="24"/>
          <w:szCs w:val="24"/>
          <w:highlight w:val="white"/>
        </w:rPr>
        <w:t xml:space="preserve">Outputs of the modelled data tables were exported from FVS and used within </w:t>
      </w:r>
      <w:r>
        <w:rPr>
          <w:sz w:val="24"/>
          <w:szCs w:val="24"/>
        </w:rPr>
        <w:t xml:space="preserve">R Studio for downstream analysis. Over 30 separate runs were made using FVS and WRDM for the final analysis. For reproducibility purposes, all input data files, output data files, and log files can be found at </w:t>
      </w:r>
      <w:r>
        <w:rPr>
          <w:sz w:val="24"/>
          <w:szCs w:val="24"/>
          <w:u w:val="single"/>
        </w:rPr>
        <w:t>https://github.com/mcmurtrs/WoodsCreekFVS</w:t>
      </w:r>
    </w:p>
    <w:p>
      <w:pPr>
        <w:pStyle w:val="Normal"/>
        <w:spacing w:lineRule="auto" w:line="480"/>
        <w:rPr>
          <w:sz w:val="24"/>
          <w:szCs w:val="24"/>
        </w:rPr>
      </w:pPr>
      <w:r>
        <w:rPr>
          <w:sz w:val="24"/>
          <w:szCs w:val="24"/>
        </w:rPr>
      </w:r>
    </w:p>
    <w:p>
      <w:pPr>
        <w:pStyle w:val="Normal"/>
        <w:spacing w:lineRule="auto" w:line="480"/>
        <w:rPr/>
      </w:pPr>
      <w:r>
        <w:rPr>
          <w:b/>
          <w:sz w:val="24"/>
          <w:szCs w:val="24"/>
        </w:rPr>
        <w:t xml:space="preserve">2.2 Apiary hardwood rotation study </w:t>
      </w:r>
    </w:p>
    <w:p>
      <w:pPr>
        <w:pStyle w:val="Normal"/>
        <w:spacing w:lineRule="auto" w:line="480"/>
        <w:rPr/>
      </w:pPr>
      <w:r>
        <w:rPr>
          <w:b/>
          <w:sz w:val="24"/>
          <w:szCs w:val="24"/>
        </w:rPr>
        <w:t>2.2.1 Study area</w:t>
      </w:r>
    </w:p>
    <w:p>
      <w:pPr>
        <w:pStyle w:val="Normal"/>
        <w:spacing w:lineRule="auto" w:line="480"/>
        <w:ind w:firstLine="720"/>
        <w:rPr>
          <w:sz w:val="24"/>
          <w:szCs w:val="24"/>
        </w:rPr>
      </w:pPr>
      <w:r>
        <w:rPr>
          <w:sz w:val="24"/>
          <w:szCs w:val="24"/>
        </w:rPr>
        <w:t>The Apiary study area was a 14 hectare privately owned stand of predominately  40-year-old Douglas-fir located near the town of Apiary in NW Oregon, USA. When the study area was first established, it was owned by the International Paper Company. Forests in this region had been managed via clear cutting that was then followed by planting of Douglas-fir (Zabowski et al., 2008).</w:t>
      </w:r>
      <w:r>
        <w:rPr>
          <w:rFonts w:ascii="Georgia" w:hAnsi="Georgia"/>
          <w:color w:val="2E2E2E"/>
          <w:sz w:val="27"/>
          <w:szCs w:val="27"/>
        </w:rPr>
        <w:t xml:space="preserve"> </w:t>
      </w:r>
      <w:r>
        <w:rPr>
          <w:sz w:val="24"/>
          <w:szCs w:val="24"/>
        </w:rPr>
        <w:t xml:space="preserve">The stands </w:t>
      </w:r>
      <w:r>
        <w:rPr>
          <w:rFonts w:eastAsia="NSimSun" w:cs="Lucida Sans"/>
          <w:kern w:val="2"/>
          <w:sz w:val="24"/>
          <w:szCs w:val="24"/>
          <w:lang w:val="en-US" w:eastAsia="zh-CN" w:bidi="hi-IN"/>
        </w:rPr>
        <w:t>lay</w:t>
      </w:r>
      <w:r>
        <w:rPr>
          <w:sz w:val="24"/>
          <w:szCs w:val="24"/>
        </w:rPr>
        <w:t xml:space="preserve"> on a 15% NE slope at with a mean elevation of 335 m (Thies &amp; Westlind, 2005). Mean annual precipitation at this site is 150 – 160 cm. Mean annual temperature is 4 - 10°c (PRISM Climate Group, Oregon State University, 2018). The soil of the study is a Bacona silt loam with a surface layer of dark brown silt loam (Thies &amp; Westlind 2005; Langridge 1987).</w:t>
      </w:r>
    </w:p>
    <w:p>
      <w:pPr>
        <w:pStyle w:val="Normal"/>
        <w:spacing w:lineRule="auto" w:line="480"/>
        <w:ind w:firstLine="720"/>
        <w:rPr>
          <w:sz w:val="24"/>
          <w:szCs w:val="24"/>
        </w:rPr>
      </w:pPr>
      <w:r>
        <w:rPr>
          <w:sz w:val="24"/>
          <w:szCs w:val="24"/>
        </w:rPr>
        <w:t xml:space="preserve">Like the Woods Creek study area, this location was also selected based on high incidence of LRR. In March of 1973, the experimental </w:t>
      </w:r>
      <w:r>
        <w:rPr>
          <w:rFonts w:eastAsia="NSimSun" w:cs="Lucida Sans"/>
          <w:kern w:val="2"/>
          <w:sz w:val="24"/>
          <w:szCs w:val="24"/>
          <w:lang w:val="en-US" w:eastAsia="zh-CN" w:bidi="hi-IN"/>
        </w:rPr>
        <w:t>area</w:t>
      </w:r>
      <w:r>
        <w:rPr>
          <w:sz w:val="24"/>
          <w:szCs w:val="24"/>
        </w:rPr>
        <w:t xml:space="preserve"> was delimited by establishing a grid of stakes at 2-chain (40 m) intervals running NE-SW and S</w:t>
      </w:r>
      <w:r>
        <w:rPr>
          <w:rFonts w:eastAsia="NSimSun" w:cs="Lucida Sans"/>
          <w:kern w:val="2"/>
          <w:sz w:val="24"/>
          <w:szCs w:val="24"/>
          <w:lang w:val="en-US" w:eastAsia="zh-CN" w:bidi="hi-IN"/>
        </w:rPr>
        <w:t xml:space="preserve">E-NW. </w:t>
      </w:r>
      <w:r>
        <w:rPr>
          <w:sz w:val="24"/>
          <w:szCs w:val="24"/>
        </w:rPr>
        <w:t xml:space="preserve">Each grid block 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harvested in the autumn of 1973, at which point cut stumps were surveyed for presence of laminated root rot and recorded as before.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pPr>
        <w:pStyle w:val="Normal"/>
        <w:spacing w:lineRule="auto" w:line="480"/>
        <w:ind w:firstLine="720"/>
        <w:rPr>
          <w:sz w:val="24"/>
          <w:szCs w:val="24"/>
        </w:rPr>
      </w:pPr>
      <w:r>
        <w:rPr>
          <w:sz w:val="24"/>
          <w:szCs w:val="24"/>
        </w:rPr>
      </w:r>
    </w:p>
    <w:p>
      <w:pPr>
        <w:pStyle w:val="Normal"/>
        <w:spacing w:lineRule="auto" w:line="480"/>
        <w:rPr/>
      </w:pPr>
      <w:r>
        <w:rPr>
          <w:b/>
          <w:bCs/>
          <w:sz w:val="24"/>
          <w:szCs w:val="24"/>
        </w:rPr>
        <w:t>2.2.2 Plot network</w:t>
      </w:r>
    </w:p>
    <w:p>
      <w:pPr>
        <w:pStyle w:val="Normal"/>
        <w:spacing w:lineRule="auto" w:line="480"/>
        <w:ind w:firstLine="720"/>
        <w:rPr/>
      </w:pPr>
      <w:r>
        <w:rPr>
          <w:sz w:val="24"/>
          <w:szCs w:val="24"/>
        </w:rPr>
        <w:t xml:space="preserve">Twenty-five plots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(plots with “0” as first number in the lower left corner of Figure 2).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w:t>
      </w:r>
      <w:r>
        <w:rPr>
          <w:rFonts w:eastAsia="NSimSun" w:cs="Lucida Sans"/>
          <w:kern w:val="2"/>
          <w:sz w:val="24"/>
          <w:szCs w:val="24"/>
          <w:lang w:val="en-US" w:eastAsia="zh-CN" w:bidi="hi-IN"/>
        </w:rPr>
        <w:t xml:space="preserve">A) 12 year rotation of red alder followed by Douglas-fir; B) 12 year rotation of cottonwood followed by Douglas-fir; C) immediate planting of Douglas-fir; D) 25 year red alder to Douglas-fir; and E) 25 year cottonwood to Douglas-fir. Five .02-hectare (8 m fixed radius) survey subplots were established within in each plot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4.8 m buffer from the plot boundary (Figure 2). Plot centers were marked with metal stakes and mapped in reference to chain grid and later using GPS.</w:t>
      </w:r>
    </w:p>
    <w:p>
      <w:pPr>
        <w:pStyle w:val="Normal"/>
        <w:spacing w:lineRule="auto" w:line="480"/>
        <w:ind w:firstLine="720"/>
        <w:rPr/>
      </w:pPr>
      <w:r>
        <w:rPr>
          <w:rFonts w:eastAsia="NSimSun" w:cs="Lucida Sans"/>
          <w:kern w:val="2"/>
          <w:sz w:val="24"/>
          <w:szCs w:val="24"/>
          <w:lang w:val="en-US" w:eastAsia="zh-CN" w:bidi="hi-IN"/>
        </w:rPr>
        <w:t>In the fall of 1974 through spring 1975, all plots were stocked at 2.4 m x 2.4 m spacing (680 trees/ 0.4 hectare, 34 trees/subplot) with 1-year old seedlings of their respective species. Stocking density was chosen to accommodate disease transmission via root proximity while allowing some room for growth over 10 years. Regenerating hardwoods were removed from Douglas-fir plots and vice versa. For a duration of two years dead seedlings were replaced within and near subplots to maintain stocking levels during establishment.</w:t>
      </w:r>
    </w:p>
    <w:p>
      <w:pPr>
        <w:pStyle w:val="Normal"/>
        <w:spacing w:lineRule="auto" w:line="480"/>
        <w:ind w:firstLine="720"/>
        <w:rPr/>
      </w:pPr>
      <w:r>
        <w:rPr>
          <w:rFonts w:eastAsia="NSimSun" w:cs="Lucida Sans"/>
          <w:kern w:val="2"/>
          <w:sz w:val="24"/>
          <w:szCs w:val="24"/>
          <w:lang w:val="en-US" w:eastAsia="zh-CN" w:bidi="hi-IN"/>
        </w:rPr>
        <w:t>In the fall of 1986, the 12-year hardwood rotation plots (except red alder plots 1 and 3 which were missed) were harvested and in spring 1987 Douglas-fir was planted in those plots with the same 2.4 m x 2.4 m spacing and replacement of initial mortality.  Extensive re-sprouting of hardwoods occurred following harvest, and thus suppression of these sprouts using cutting and herbicide was conducted in 1990 and 1992. In the fall of 1999 and spring of 2000, the 25-year hardwood plots were harvested, and Douglas-fir was again planted with 2.4 m x 2.4 m x spacing and replacement of initial mortality. The site was clearcut in 2020 when the first Douglas-fir replanted were 45 years old.</w:t>
      </w:r>
    </w:p>
    <w:p>
      <w:pPr>
        <w:pStyle w:val="Normal"/>
        <w:spacing w:lineRule="auto" w:line="480"/>
        <w:rPr>
          <w:rFonts w:eastAsia="NSimSun" w:cs="Lucida Sans"/>
          <w:b/>
          <w:b/>
          <w:iCs/>
          <w:kern w:val="2"/>
          <w:sz w:val="24"/>
          <w:szCs w:val="24"/>
          <w:lang w:val="en-US" w:eastAsia="zh-CN" w:bidi="hi-IN"/>
        </w:rPr>
      </w:pPr>
      <w:r>
        <w:rPr>
          <w:rFonts w:eastAsia="NSimSun" w:cs="Lucida Sans"/>
          <w:b/>
          <w:iCs/>
          <w:kern w:val="2"/>
          <w:sz w:val="24"/>
          <w:szCs w:val="24"/>
          <w:lang w:val="en-US" w:eastAsia="zh-CN" w:bidi="hi-IN"/>
        </w:rPr>
      </w:r>
    </w:p>
    <w:p>
      <w:pPr>
        <w:pStyle w:val="Normal"/>
        <w:spacing w:lineRule="auto" w:line="480"/>
        <w:rPr/>
      </w:pPr>
      <w:r>
        <w:rPr>
          <w:b/>
          <w:iCs/>
          <w:sz w:val="24"/>
          <w:szCs w:val="24"/>
        </w:rPr>
        <w:t>2.2.3 Data collection</w:t>
      </w:r>
    </w:p>
    <w:p>
      <w:pPr>
        <w:sectPr>
          <w:headerReference w:type="default" r:id="rId18"/>
          <w:type w:val="nextPage"/>
          <w:pgSz w:w="12240" w:h="15840"/>
          <w:pgMar w:left="1440" w:right="1440" w:header="1440" w:top="2013" w:footer="0" w:bottom="1440" w:gutter="0"/>
          <w:lnNumType w:countBy="1" w:restart="continuous" w:distance="283"/>
          <w:pgNumType w:start="1" w:fmt="decimal"/>
          <w:formProt w:val="false"/>
          <w:textDirection w:val="lrTb"/>
          <w:docGrid w:type="default" w:linePitch="299" w:charSpace="32768"/>
        </w:sectPr>
        <w:pStyle w:val="Normal"/>
        <w:spacing w:lineRule="auto" w:line="480"/>
        <w:ind w:firstLine="720"/>
        <w:rPr>
          <w:b/>
          <w:b/>
          <w:iCs/>
          <w:sz w:val="24"/>
          <w:szCs w:val="24"/>
        </w:rPr>
      </w:pPr>
      <w:r>
        <w:rPr>
          <w:rFonts w:eastAsia="NSimSun" w:cs="Lucida Sans"/>
          <w:kern w:val="2"/>
          <w:sz w:val="24"/>
          <w:szCs w:val="24"/>
          <w:lang w:val="en-US" w:eastAsia="zh-CN" w:bidi="hi-IN"/>
        </w:rPr>
        <w:t>Tree positions were mapped, diameters measured, and conditions recorded multiple times across the study: 1986 (immediate Douglas-fir plots only); 1995 (Douglas-fir following 12-year hardwood rotation plots); 2011 (all plots); and 2020 (all plots).</w:t>
      </w:r>
    </w:p>
    <w:p>
      <w:pPr>
        <w:pStyle w:val="Normal"/>
        <w:spacing w:lineRule="auto" w:line="480"/>
        <w:rPr>
          <w:b/>
          <w:b/>
          <w:iCs/>
          <w:sz w:val="24"/>
          <w:szCs w:val="24"/>
        </w:rPr>
      </w:pPr>
      <w:r>
        <w:rPr/>
        <w:drawing>
          <wp:inline distT="0" distB="0" distL="0" distR="0">
            <wp:extent cx="7058660" cy="4609465"/>
            <wp:effectExtent l="0" t="0" r="0" b="0"/>
            <wp:docPr id="3" name="Graphic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5" descr=""/>
                    <pic:cNvPicPr>
                      <a:picLocks noChangeAspect="1" noChangeArrowheads="1"/>
                    </pic:cNvPicPr>
                  </pic:nvPicPr>
                  <pic:blipFill>
                    <a:blip r:embed="rId19"/>
                    <a:stretch>
                      <a:fillRect/>
                    </a:stretch>
                  </pic:blipFill>
                  <pic:spPr bwMode="auto">
                    <a:xfrm>
                      <a:off x="0" y="0"/>
                      <a:ext cx="7058660" cy="4609465"/>
                    </a:xfrm>
                    <a:prstGeom prst="rect">
                      <a:avLst/>
                    </a:prstGeom>
                  </pic:spPr>
                </pic:pic>
              </a:graphicData>
            </a:graphic>
          </wp:inline>
        </w:drawing>
      </w:r>
    </w:p>
    <w:p>
      <w:pPr>
        <w:sectPr>
          <w:headerReference w:type="default" r:id="rId20"/>
          <w:type w:val="nextPage"/>
          <w:pgSz w:orient="landscape" w:w="15840" w:h="12240"/>
          <w:pgMar w:left="1440" w:right="2013" w:header="1440" w:top="1497" w:footer="0" w:bottom="1440" w:gutter="0"/>
          <w:lnNumType w:countBy="1" w:restart="continuous" w:distance="283"/>
          <w:pgNumType w:start="1" w:fmt="decimal"/>
          <w:formProt w:val="false"/>
          <w:textDirection w:val="lrTb"/>
          <w:docGrid w:type="default" w:linePitch="299" w:charSpace="32768"/>
        </w:sectPr>
        <w:pStyle w:val="Normal"/>
        <w:spacing w:lineRule="auto" w:line="480"/>
        <w:rPr>
          <w:iCs/>
          <w:sz w:val="24"/>
          <w:szCs w:val="24"/>
        </w:rPr>
      </w:pPr>
      <w:r>
        <w:rPr>
          <w:b/>
          <w:iCs/>
          <w:sz w:val="24"/>
          <w:szCs w:val="24"/>
        </w:rPr>
        <w:t xml:space="preserve">Figure 2. </w:t>
      </w:r>
      <w:r>
        <w:rPr>
          <w:iCs/>
          <w:sz w:val="24"/>
          <w:szCs w:val="24"/>
        </w:rPr>
        <w:t>Hardwood rotation site near Apiary, OR. Colored polygons delimit plots (experimental units) to which rotation treatments were applied following 1973 clearcut of site: Purple (A), 12-year rotation with red alder before replanting Douglas-fir; Blue (B), 12- year rotation with western cottonwood before replanting with Douglas-fir; Aqua</w:t>
      </w:r>
      <w:del w:id="13" w:author="Unknown Author" w:date="2022-10-07T15:13:00Z">
        <w:r>
          <w:rPr>
            <w:iCs/>
            <w:sz w:val="24"/>
            <w:szCs w:val="24"/>
          </w:rPr>
          <w:delText>,</w:delText>
        </w:r>
      </w:del>
      <w:r>
        <w:rPr>
          <w:iCs/>
          <w:sz w:val="24"/>
          <w:szCs w:val="24"/>
        </w:rPr>
        <w:t xml:space="preserve"> (C)</w:t>
      </w:r>
      <w:ins w:id="14" w:author="Unknown Author" w:date="2022-10-07T15:13:00Z">
        <w:r>
          <w:rPr>
            <w:iCs/>
            <w:sz w:val="24"/>
            <w:szCs w:val="24"/>
          </w:rPr>
          <w:t>,</w:t>
        </w:r>
      </w:ins>
      <w:r>
        <w:rPr>
          <w:iCs/>
          <w:sz w:val="24"/>
          <w:szCs w:val="24"/>
        </w:rPr>
        <w:t xml:space="preserve"> immediate replanting of Douglas-fir; Green (D), 25-year red alder; Yellow (E), 25-year wester cottonwood. Black circles denote 8m fixed radius measurement subplots. Letter and two numerical digits within each plot indicate treatment, block, and subplot number. Semitransparent shapes indicate the location and status of trees with LRR symptoms prior to the 1973 clearcut: Cross, tree dead &gt; 10 years with signs of LRR; Square, tree dead &lt; 10 years with signs of LRR; Triangle, live tree showing LRR symptoms; Circle, live tree with symptoms detected only following clear cut.</w:t>
      </w:r>
    </w:p>
    <w:p>
      <w:pPr>
        <w:pStyle w:val="Normal"/>
        <w:spacing w:lineRule="auto" w:line="480"/>
        <w:rPr>
          <w:b/>
          <w:b/>
          <w:iCs/>
          <w:sz w:val="24"/>
          <w:szCs w:val="24"/>
        </w:rPr>
      </w:pPr>
      <w:r>
        <w:rPr>
          <w:rFonts w:eastAsia="NSimSun" w:cs="Lucida Sans"/>
          <w:b/>
          <w:bCs/>
          <w:iCs/>
          <w:kern w:val="2"/>
          <w:sz w:val="24"/>
          <w:szCs w:val="24"/>
          <w:lang w:val="en-US" w:eastAsia="zh-CN" w:bidi="hi-IN"/>
        </w:rPr>
        <w:t>2.2.4 Data cleaning and analysis</w:t>
      </w:r>
    </w:p>
    <w:p>
      <w:pPr>
        <w:pStyle w:val="Normal"/>
        <w:tabs>
          <w:tab w:val="clear" w:pos="720"/>
          <w:tab w:val="left" w:pos="6390" w:leader="none"/>
        </w:tabs>
        <w:spacing w:lineRule="auto" w:line="480"/>
        <w:ind w:firstLine="720"/>
        <w:rPr>
          <w:b/>
          <w:b/>
          <w:iCs/>
          <w:sz w:val="24"/>
          <w:szCs w:val="24"/>
        </w:rPr>
      </w:pPr>
      <w:r>
        <w:rPr>
          <w:iCs/>
          <w:sz w:val="24"/>
          <w:szCs w:val="24"/>
        </w:rPr>
        <w:t>Because Douglas-fir replanting was staggered for the different rotation treatments and stand measurements were not at consistent ages across all treatments, the measurements were binned into three periods: early, middle, and late. The starting and ending measurements for the early period were age 8 and 24 years for the 12-year hardwood rotation treatments and age 11 and 20 years for the 25-year hardwood rotation treatments. The starting and ending measurements for the middle period were age 8 and 33 years for the 12-year hardwood rotation treatments and age 12 and 36 years for the immediate Douglas-fir treatment. The starting and ending measurements for the late period were age 36 and 45 years for the immediate Douglas-fir treatment. Slopes (annual increments) across the time periods were used as response variables in the statistical analysis of growth and mortality.</w:t>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iCs/>
          <w:sz w:val="24"/>
          <w:szCs w:val="24"/>
        </w:rPr>
        <w:t>2.1.5 Statistical analysis</w:t>
      </w:r>
    </w:p>
    <w:p>
      <w:pPr>
        <w:pStyle w:val="Normal"/>
        <w:tabs>
          <w:tab w:val="clear" w:pos="720"/>
          <w:tab w:val="left" w:pos="6390" w:leader="none"/>
        </w:tabs>
        <w:spacing w:lineRule="auto" w:line="480"/>
        <w:ind w:firstLine="720"/>
        <w:rPr>
          <w:iCs/>
          <w:sz w:val="24"/>
          <w:szCs w:val="24"/>
        </w:rPr>
      </w:pPr>
      <w:r>
        <w:rPr>
          <w:iCs/>
          <w:sz w:val="24"/>
          <w:szCs w:val="24"/>
        </w:rPr>
        <w:t>Analyses of variance (ANOVAs) based on generalized linear mixed models were used to test the random effect of block and the fixed effect of rotation treatment on annual basal area increment and annual arcsine square root transformed proportion of mortality across the tree time periods of the study (early, middle, late). Tukey’s HSD tests were used to determine significant differences between treatment levels. Analyses were performed using the lme4 (Bates et al. 2015) and emmeans (Lenth 2022) packages in R. Back-transformed (estimated marginal) means and 95% confidence intervals were reported and used for graphing.</w:t>
      </w:r>
    </w:p>
    <w:p>
      <w:pPr>
        <w:pStyle w:val="Normal"/>
        <w:tabs>
          <w:tab w:val="clear" w:pos="720"/>
          <w:tab w:val="left" w:pos="6390" w:leader="none"/>
        </w:tabs>
        <w:spacing w:lineRule="auto" w:line="480"/>
        <w:rPr>
          <w:b/>
          <w:b/>
          <w:iCs/>
          <w:sz w:val="24"/>
          <w:szCs w:val="24"/>
        </w:rPr>
      </w:pPr>
      <w:r>
        <w:rPr>
          <w:b/>
          <w:iCs/>
          <w:sz w:val="24"/>
          <w:szCs w:val="24"/>
        </w:rPr>
      </w:r>
    </w:p>
    <w:p>
      <w:pPr>
        <w:pStyle w:val="Normal"/>
        <w:tabs>
          <w:tab w:val="clear" w:pos="720"/>
          <w:tab w:val="left" w:pos="6390" w:leader="none"/>
        </w:tabs>
        <w:spacing w:lineRule="auto" w:line="480"/>
        <w:rPr>
          <w:b/>
          <w:b/>
          <w:iCs/>
          <w:sz w:val="24"/>
          <w:szCs w:val="24"/>
        </w:rPr>
      </w:pPr>
      <w:r>
        <w:rPr>
          <w:b/>
          <w:bCs/>
          <w:iCs/>
          <w:sz w:val="24"/>
          <w:szCs w:val="24"/>
        </w:rPr>
        <w:t>2.1.6 Forest Vegetation Simulator</w:t>
      </w:r>
    </w:p>
    <w:p>
      <w:pPr>
        <w:pStyle w:val="Normal"/>
        <w:tabs>
          <w:tab w:val="clear" w:pos="720"/>
          <w:tab w:val="left" w:pos="6390" w:leader="none"/>
        </w:tabs>
        <w:spacing w:lineRule="auto" w:line="480"/>
        <w:ind w:firstLine="720"/>
        <w:rPr>
          <w:sz w:val="24"/>
          <w:szCs w:val="24"/>
        </w:rPr>
      </w:pPr>
      <w:r>
        <w:rPr>
          <w:sz w:val="24"/>
          <w:szCs w:val="24"/>
        </w:rPr>
        <w:t xml:space="preserve">FVS analysis was conducted using the same methods as the Woods Creek study. Measured 1987 diameters for the immediate Douglas fir treatment as well as the diameters of dead trees and cut stumps from 1973-4 survey were entered into the models. Input, output, and log files for each FVS and WRDM run can be found at the same Github repository as the Woods Creek data. </w:t>
      </w:r>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b/>
          <w:b/>
          <w:iCs/>
          <w:sz w:val="24"/>
          <w:szCs w:val="24"/>
        </w:rPr>
      </w:pPr>
      <w:r>
        <w:rPr>
          <w:b/>
          <w:sz w:val="28"/>
          <w:szCs w:val="28"/>
        </w:rPr>
        <w:t>3. Results</w:t>
      </w:r>
    </w:p>
    <w:p>
      <w:pPr>
        <w:pStyle w:val="Normal"/>
        <w:spacing w:lineRule="auto" w:line="480"/>
        <w:rPr>
          <w:b/>
          <w:b/>
          <w:iCs/>
          <w:sz w:val="24"/>
          <w:szCs w:val="24"/>
        </w:rPr>
      </w:pPr>
      <w:r>
        <w:rPr>
          <w:b/>
          <w:sz w:val="24"/>
          <w:szCs w:val="24"/>
        </w:rPr>
        <w:t xml:space="preserve">3.1 Thinning study, species composition and basal area </w:t>
      </w:r>
    </w:p>
    <w:p>
      <w:pPr>
        <w:pStyle w:val="Normal"/>
        <w:spacing w:lineRule="auto" w:line="480"/>
        <w:ind w:firstLine="720"/>
        <w:rPr>
          <w:sz w:val="24"/>
          <w:szCs w:val="24"/>
        </w:rPr>
      </w:pPr>
      <w:r>
        <w:rPr>
          <w:sz w:val="24"/>
          <w:szCs w:val="24"/>
        </w:rPr>
        <w:t>In 1990, the Woods Creek study area was made up of 82% Douglas-fir trees, 11% western hemlock, and a combination of 7% other species. By the conclusion of this study, 77% were Douglas-fir, 17% were western hemlock, and 6% were other species. In total C. Differences between total Douglas-fir basal area from initial to final surveys was a 21% increase (16.79 m</w:t>
      </w:r>
      <w:r>
        <w:rPr>
          <w:b/>
          <w:bCs/>
          <w:sz w:val="24"/>
          <w:szCs w:val="24"/>
          <w:vertAlign w:val="superscript"/>
        </w:rPr>
        <w:t>2</w:t>
      </w:r>
      <w:r>
        <w:rPr>
          <w:sz w:val="24"/>
          <w:szCs w:val="24"/>
        </w:rPr>
        <w:t>ha</w:t>
      </w:r>
      <w:r>
        <w:rPr>
          <w:sz w:val="24"/>
          <w:szCs w:val="24"/>
          <w:vertAlign w:val="superscript"/>
        </w:rPr>
        <w:t>-1</w:t>
      </w:r>
      <w:r>
        <w:rPr>
          <w:sz w:val="24"/>
          <w:szCs w:val="24"/>
        </w:rPr>
        <w:t>) for the unthinned treatment, a 32% increase (17.01 m</w:t>
      </w:r>
      <w:r>
        <w:rPr>
          <w:b/>
          <w:bCs/>
          <w:sz w:val="24"/>
          <w:szCs w:val="24"/>
          <w:vertAlign w:val="superscript"/>
        </w:rPr>
        <w:t>2</w:t>
      </w:r>
      <w:r>
        <w:rPr>
          <w:sz w:val="24"/>
          <w:szCs w:val="24"/>
        </w:rPr>
        <w:t>ha</w:t>
      </w:r>
      <w:r>
        <w:rPr>
          <w:sz w:val="24"/>
          <w:szCs w:val="24"/>
          <w:vertAlign w:val="superscript"/>
        </w:rPr>
        <w:t>-1</w:t>
      </w:r>
      <w:r>
        <w:rPr>
          <w:sz w:val="24"/>
          <w:szCs w:val="24"/>
        </w:rPr>
        <w:t>) for the lightly thinned, and a 29% increase (18.14 m</w:t>
      </w:r>
      <w:r>
        <w:rPr>
          <w:b/>
          <w:bCs/>
          <w:sz w:val="24"/>
          <w:szCs w:val="24"/>
          <w:vertAlign w:val="superscript"/>
        </w:rPr>
        <w:t>2</w:t>
      </w:r>
      <w:r>
        <w:rPr>
          <w:sz w:val="24"/>
          <w:szCs w:val="24"/>
        </w:rPr>
        <w:t>ha</w:t>
      </w:r>
      <w:r>
        <w:rPr>
          <w:sz w:val="24"/>
          <w:szCs w:val="24"/>
          <w:vertAlign w:val="superscript"/>
        </w:rPr>
        <w:t>-1</w:t>
      </w:r>
      <w:r>
        <w:rPr>
          <w:sz w:val="24"/>
          <w:szCs w:val="24"/>
        </w:rPr>
        <w:t xml:space="preserve">) for the thinned treatment </w:t>
      </w:r>
      <w:ins w:id="15" w:author="Shawn McMurtrey" w:date="2022-10-16T14:41:00Z">
        <w:commentRangeStart w:id="3"/>
        <w:r>
          <w:rPr>
            <w:sz w:val="24"/>
            <w:szCs w:val="24"/>
          </w:rPr>
          <w:t xml:space="preserve"> </w:t>
        </w:r>
      </w:ins>
      <w:r>
        <w:rPr>
          <w:sz w:val="24"/>
          <w:szCs w:val="24"/>
        </w:rPr>
      </w:r>
      <w:commentRangeEnd w:id="3"/>
      <w:r>
        <w:commentReference w:id="3"/>
      </w:r>
      <w:r>
        <w:rPr>
          <w:sz w:val="24"/>
          <w:szCs w:val="24"/>
        </w:rPr>
        <w:t xml:space="preserve"> (</w:t>
      </w:r>
      <w:r>
        <w:rPr>
          <w:b/>
          <w:bCs/>
          <w:sz w:val="24"/>
          <w:szCs w:val="24"/>
        </w:rPr>
        <w:t>Fig. x Table y</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Table 1</w:t>
      </w:r>
      <w:r>
        <w:rPr>
          <w:sz w:val="24"/>
          <w:szCs w:val="24"/>
        </w:rPr>
        <w:t xml:space="preserve">: Initial and final stand summary statistics for the Woods Creek study. BA = basal area, CI = 95% confidence interval.  </w:t>
      </w:r>
    </w:p>
    <w:tbl>
      <w:tblPr>
        <w:tblW w:w="10713" w:type="dxa"/>
        <w:jc w:val="left"/>
        <w:tblInd w:w="-360" w:type="dxa"/>
        <w:tblLayout w:type="fixed"/>
        <w:tblCellMar>
          <w:top w:w="0" w:type="dxa"/>
          <w:left w:w="108" w:type="dxa"/>
          <w:bottom w:w="0" w:type="dxa"/>
          <w:right w:w="108" w:type="dxa"/>
        </w:tblCellMar>
        <w:tblLook w:firstRow="1" w:noVBand="1" w:lastRow="0" w:firstColumn="1" w:lastColumn="0" w:noHBand="0" w:val="04a0"/>
      </w:tblPr>
      <w:tblGrid>
        <w:gridCol w:w="1900"/>
        <w:gridCol w:w="782"/>
        <w:gridCol w:w="1006"/>
        <w:gridCol w:w="271"/>
        <w:gridCol w:w="676"/>
        <w:gridCol w:w="405"/>
        <w:gridCol w:w="677"/>
        <w:gridCol w:w="268"/>
        <w:gridCol w:w="678"/>
        <w:gridCol w:w="403"/>
        <w:gridCol w:w="678"/>
        <w:gridCol w:w="266"/>
        <w:gridCol w:w="678"/>
        <w:gridCol w:w="403"/>
        <w:gridCol w:w="678"/>
        <w:gridCol w:w="260"/>
        <w:gridCol w:w="684"/>
      </w:tblGrid>
      <w:tr>
        <w:trPr>
          <w:trHeight w:val="300" w:hRule="atLeast"/>
        </w:trPr>
        <w:tc>
          <w:tcPr>
            <w:tcW w:w="1900" w:type="dxa"/>
            <w:tcBorders/>
            <w:shd w:color="auto" w:fill="auto" w:val="clear"/>
            <w:vAlign w:val="bottom"/>
          </w:tcPr>
          <w:p>
            <w:pPr>
              <w:pStyle w:val="Normal"/>
              <w:widowControl w:val="false"/>
              <w:spacing w:lineRule="auto" w:line="480"/>
              <w:rPr>
                <w:rFonts w:eastAsia="Times New Roman"/>
                <w:sz w:val="20"/>
                <w:szCs w:val="20"/>
                <w:lang w:val="en-US"/>
              </w:rPr>
            </w:pPr>
            <w:r>
              <w:rPr>
                <w:rFonts w:eastAsia="Times New Roman"/>
                <w:sz w:val="20"/>
                <w:szCs w:val="20"/>
                <w:lang w:val="en-US"/>
              </w:rPr>
            </w:r>
          </w:p>
        </w:tc>
        <w:tc>
          <w:tcPr>
            <w:tcW w:w="782" w:type="dxa"/>
            <w:tcBorders/>
            <w:shd w:color="auto" w:fill="auto" w:val="clear"/>
            <w:vAlign w:val="bottom"/>
          </w:tcPr>
          <w:p>
            <w:pPr>
              <w:pStyle w:val="Normal"/>
              <w:widowControl w:val="false"/>
              <w:spacing w:lineRule="auto" w:line="480"/>
              <w:rPr>
                <w:rFonts w:eastAsia="Times New Roman"/>
                <w:sz w:val="20"/>
                <w:szCs w:val="20"/>
                <w:lang w:val="en-US"/>
              </w:rPr>
            </w:pPr>
            <w:r>
              <w:rPr>
                <w:rFonts w:eastAsia="Times New Roman"/>
                <w:sz w:val="20"/>
                <w:szCs w:val="20"/>
                <w:lang w:val="en-US"/>
              </w:rPr>
            </w:r>
          </w:p>
        </w:tc>
        <w:tc>
          <w:tcPr>
            <w:tcW w:w="1953"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Unthinned</w:t>
            </w:r>
          </w:p>
        </w:tc>
        <w:tc>
          <w:tcPr>
            <w:tcW w:w="405"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3"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Light thin</w:t>
            </w:r>
          </w:p>
        </w:tc>
        <w:tc>
          <w:tcPr>
            <w:tcW w:w="403"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Thin</w:t>
            </w:r>
          </w:p>
        </w:tc>
        <w:tc>
          <w:tcPr>
            <w:tcW w:w="403"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r>
      <w:tr>
        <w:trPr>
          <w:trHeight w:val="20" w:hRule="atLeast"/>
        </w:trPr>
        <w:tc>
          <w:tcPr>
            <w:tcW w:w="1900" w:type="dxa"/>
            <w:tcBorders/>
            <w:shd w:color="auto" w:fill="auto" w:val="clear"/>
            <w:vAlign w:val="bottom"/>
          </w:tcPr>
          <w:p>
            <w:pPr>
              <w:pStyle w:val="Normal"/>
              <w:widowControl w:val="false"/>
              <w:spacing w:lineRule="auto" w:line="480"/>
              <w:jc w:val="center"/>
              <w:rPr>
                <w:rFonts w:eastAsia="Times New Roman"/>
                <w:sz w:val="20"/>
                <w:szCs w:val="20"/>
                <w:lang w:val="en-US"/>
              </w:rPr>
            </w:pPr>
            <w:r>
              <w:rPr>
                <w:rFonts w:eastAsia="Times New Roman"/>
                <w:sz w:val="20"/>
                <w:szCs w:val="20"/>
                <w:lang w:val="en-US"/>
              </w:rPr>
            </w:r>
          </w:p>
        </w:tc>
        <w:tc>
          <w:tcPr>
            <w:tcW w:w="782" w:type="dxa"/>
            <w:tcBorders/>
            <w:shd w:color="auto" w:fill="auto" w:val="clear"/>
            <w:vAlign w:val="bottom"/>
          </w:tcPr>
          <w:p>
            <w:pPr>
              <w:pStyle w:val="Normal"/>
              <w:widowControl w:val="false"/>
              <w:spacing w:lineRule="auto" w:line="480"/>
              <w:jc w:val="center"/>
              <w:rPr>
                <w:rFonts w:eastAsia="Times New Roman"/>
                <w:sz w:val="20"/>
                <w:szCs w:val="20"/>
                <w:lang w:val="en-US"/>
              </w:rPr>
            </w:pPr>
            <w:r>
              <w:rPr>
                <w:rFonts w:eastAsia="Times New Roman"/>
                <w:sz w:val="20"/>
                <w:szCs w:val="20"/>
                <w:lang w:val="en-US"/>
              </w:rPr>
            </w:r>
          </w:p>
        </w:tc>
        <w:tc>
          <w:tcPr>
            <w:tcW w:w="1006"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7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1990</w:t>
            </w:r>
          </w:p>
        </w:tc>
        <w:tc>
          <w:tcPr>
            <w:tcW w:w="260"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top w:val="single" w:sz="4" w:space="0" w:color="000000"/>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2020</w:t>
            </w:r>
          </w:p>
        </w:tc>
      </w:tr>
      <w:tr>
        <w:trPr>
          <w:trHeight w:val="88" w:hRule="atLeast"/>
        </w:trPr>
        <w:tc>
          <w:tcPr>
            <w:tcW w:w="1900"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2"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100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71"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5"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6"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0"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bottom w:val="single" w:sz="4"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r>
      <w:tr>
        <w:trPr>
          <w:trHeight w:val="280" w:hRule="atLeast"/>
        </w:trPr>
        <w:tc>
          <w:tcPr>
            <w:tcW w:w="1900" w:type="dxa"/>
            <w:tcBorders/>
            <w:shd w:color="auto" w:fill="auto" w:val="clear"/>
            <w:vAlign w:val="bottom"/>
          </w:tcPr>
          <w:p>
            <w:pPr>
              <w:pStyle w:val="Normal"/>
              <w:widowControl w:val="false"/>
              <w:spacing w:lineRule="auto" w:line="240" w:beforeAutospacing="1" w:after="0"/>
              <w:jc w:val="center"/>
              <w:rPr>
                <w:rFonts w:eastAsia="Times New Roman"/>
                <w:sz w:val="20"/>
                <w:szCs w:val="20"/>
                <w:lang w:val="en-US"/>
              </w:rPr>
            </w:pPr>
            <w:r>
              <w:rPr>
                <w:rFonts w:eastAsia="Times New Roman"/>
                <w:sz w:val="20"/>
                <w:szCs w:val="20"/>
                <w:lang w:val="en-US"/>
              </w:rPr>
            </w:r>
          </w:p>
        </w:tc>
        <w:tc>
          <w:tcPr>
            <w:tcW w:w="782"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28.2</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trPr>
          <w:trHeight w:val="126" w:hRule="atLeast"/>
        </w:trPr>
        <w:tc>
          <w:tcPr>
            <w:tcW w:w="1900" w:type="dxa"/>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t>Live Douglas-fir</w:t>
            </w:r>
          </w:p>
        </w:tc>
        <w:tc>
          <w:tcPr>
            <w:tcW w:w="782"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CI</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31.3</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23.2</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 xml:space="preserve">  </w:t>
            </w:r>
            <w:r>
              <w:rPr>
                <w:rFonts w:eastAsia="Times New Roman"/>
                <w:color w:val="000000" w:themeColor="text1"/>
                <w:sz w:val="20"/>
                <w:szCs w:val="20"/>
                <w:lang w:val="en-US"/>
              </w:rPr>
              <w:t>8.2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9.9</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10.5</w:t>
            </w:r>
          </w:p>
        </w:tc>
      </w:tr>
      <w:tr>
        <w:trPr>
          <w:trHeight w:val="280" w:hRule="atLeast"/>
        </w:trPr>
        <w:tc>
          <w:tcPr>
            <w:tcW w:w="1900" w:type="dxa"/>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2"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trPr>
          <w:trHeight w:val="280" w:hRule="atLeast"/>
        </w:trPr>
        <w:tc>
          <w:tcPr>
            <w:tcW w:w="1900"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Live Western hemlock</w:t>
            </w:r>
          </w:p>
        </w:tc>
        <w:tc>
          <w:tcPr>
            <w:tcW w:w="782" w:type="dxa"/>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trPr>
          <w:trHeight w:val="280" w:hRule="atLeast"/>
        </w:trPr>
        <w:tc>
          <w:tcPr>
            <w:tcW w:w="1900"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82"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CI</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8.1</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4.0</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 xml:space="preserve"> </w:t>
            </w:r>
            <w:r>
              <w:rPr>
                <w:rFonts w:eastAsia="Times New Roman"/>
                <w:color w:val="000000" w:themeColor="text1"/>
                <w:sz w:val="20"/>
                <w:szCs w:val="20"/>
                <w:lang w:val="en-US"/>
              </w:rPr>
              <w:t>6.6</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4.4</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w:t>
            </w:r>
          </w:p>
        </w:tc>
      </w:tr>
      <w:tr>
        <w:trPr>
          <w:trHeight w:val="280" w:hRule="atLeast"/>
        </w:trPr>
        <w:tc>
          <w:tcPr>
            <w:tcW w:w="1900"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2"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trPr>
          <w:trHeight w:val="280" w:hRule="atLeast"/>
        </w:trPr>
        <w:tc>
          <w:tcPr>
            <w:tcW w:w="1900"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Live other species</w:t>
            </w:r>
          </w:p>
        </w:tc>
        <w:tc>
          <w:tcPr>
            <w:tcW w:w="782"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trPr>
          <w:trHeight w:val="280" w:hRule="atLeast"/>
        </w:trPr>
        <w:tc>
          <w:tcPr>
            <w:tcW w:w="1900"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82" w:type="dxa"/>
            <w:tcBorders/>
            <w:shd w:color="auto" w:fill="auto" w:val="clear"/>
            <w:vAlign w:val="bottom"/>
          </w:tcPr>
          <w:p>
            <w:pPr>
              <w:pStyle w:val="Normal"/>
              <w:widowControl w:val="false"/>
              <w:spacing w:lineRule="auto" w:line="240"/>
              <w:rPr>
                <w:rFonts w:eastAsia="Times New Roman"/>
                <w:b/>
                <w:b/>
                <w:bCs/>
                <w:sz w:val="20"/>
                <w:szCs w:val="20"/>
                <w:lang w:val="en-US"/>
              </w:rPr>
            </w:pPr>
            <w:r>
              <w:rPr>
                <w:rFonts w:eastAsia="Times New Roman"/>
                <w:b/>
                <w:bCs/>
                <w:sz w:val="20"/>
                <w:szCs w:val="20"/>
                <w:lang w:val="en-US"/>
              </w:rPr>
              <w:t xml:space="preserve">   </w:t>
            </w:r>
            <w:r>
              <w:rPr>
                <w:rFonts w:eastAsia="Times New Roman"/>
                <w:b/>
                <w:bCs/>
                <w:sz w:val="20"/>
                <w:szCs w:val="20"/>
                <w:lang w:val="en-US"/>
              </w:rPr>
              <w:t>CI</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7.3</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ins w:id="16" w:author="Shawn McMurtrey" w:date="2022-10-17T12:12:00Z">
              <w:r>
                <w:rPr>
                  <w:rFonts w:eastAsia="Times New Roman"/>
                  <w:color w:val="000000" w:themeColor="text1"/>
                  <w:sz w:val="20"/>
                  <w:szCs w:val="20"/>
                  <w:lang w:val="en-US"/>
                </w:rPr>
                <w:t xml:space="preserve"> </w:t>
              </w:r>
            </w:ins>
            <w:r>
              <w:rPr>
                <w:rFonts w:eastAsia="Times New Roman"/>
                <w:color w:val="000000" w:themeColor="text1"/>
                <w:sz w:val="20"/>
                <w:szCs w:val="20"/>
                <w:lang w:val="en-US"/>
              </w:rPr>
              <w:t>5.0</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4.4</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0.9</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2.2</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1.1</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3.2</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r>
      <w:tr>
        <w:trPr>
          <w:trHeight w:val="280" w:hRule="atLeast"/>
        </w:trPr>
        <w:tc>
          <w:tcPr>
            <w:tcW w:w="1900"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2"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15</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63</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trPr>
          <w:trHeight w:val="290" w:hRule="atLeast"/>
        </w:trPr>
        <w:tc>
          <w:tcPr>
            <w:tcW w:w="1900" w:type="dxa"/>
            <w:vMerge w:val="restart"/>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Total</w:t>
              <w:br/>
              <w:t>live trees</w:t>
            </w:r>
          </w:p>
        </w:tc>
        <w:tc>
          <w:tcPr>
            <w:tcW w:w="782"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trPr>
          <w:trHeight w:val="290" w:hRule="atLeast"/>
        </w:trPr>
        <w:tc>
          <w:tcPr>
            <w:tcW w:w="1900" w:type="dxa"/>
            <w:vMerge w:val="continue"/>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r>
          </w:p>
        </w:tc>
        <w:tc>
          <w:tcPr>
            <w:tcW w:w="782" w:type="dxa"/>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CI</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19.8</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13.8</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8.5</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6.6</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7.1</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6.0</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7.7</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84"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5.5</w:t>
            </w:r>
          </w:p>
        </w:tc>
      </w:tr>
      <w:tr>
        <w:trPr>
          <w:trHeight w:val="300" w:hRule="atLeast"/>
        </w:trPr>
        <w:tc>
          <w:tcPr>
            <w:tcW w:w="1900" w:type="dxa"/>
            <w:vMerge w:val="continue"/>
            <w:tcBorders>
              <w:bottom w:val="single" w:sz="8" w:space="0" w:color="000000"/>
            </w:tcBorders>
            <w:shd w:color="auto" w:fill="auto" w:val="clear"/>
            <w:vAlign w:val="center"/>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782" w:type="dxa"/>
            <w:tcBorders>
              <w:bottom w:val="single" w:sz="8"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Total</w:t>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207</w:t>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trPr>
          <w:trHeight w:val="290" w:hRule="atLeast"/>
        </w:trPr>
        <w:tc>
          <w:tcPr>
            <w:tcW w:w="1900" w:type="dxa"/>
            <w:tcBorders/>
            <w:shd w:color="auto" w:fill="auto" w:val="clear"/>
            <w:vAlign w:val="center"/>
          </w:tcPr>
          <w:p>
            <w:pPr>
              <w:pStyle w:val="Normal"/>
              <w:widowControl w:val="false"/>
              <w:spacing w:lineRule="auto" w:line="240" w:beforeAutospacing="1" w:after="0"/>
              <w:jc w:val="center"/>
              <w:rPr>
                <w:rFonts w:eastAsia="Times New Roman"/>
                <w:b/>
                <w:b/>
                <w:bCs/>
                <w:sz w:val="20"/>
                <w:szCs w:val="20"/>
                <w:lang w:val="en-US"/>
              </w:rPr>
            </w:pPr>
            <w:r>
              <w:rPr>
                <w:rFonts w:eastAsia="Times New Roman"/>
                <w:b/>
                <w:bCs/>
                <w:sz w:val="20"/>
                <w:szCs w:val="20"/>
                <w:lang w:val="en-US"/>
              </w:rPr>
              <w:t>Total BA of</w:t>
            </w:r>
          </w:p>
        </w:tc>
        <w:tc>
          <w:tcPr>
            <w:tcW w:w="782"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Mean</w:t>
            </w:r>
          </w:p>
        </w:tc>
        <w:tc>
          <w:tcPr>
            <w:tcW w:w="100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9.3</w:t>
            </w:r>
          </w:p>
        </w:tc>
        <w:tc>
          <w:tcPr>
            <w:tcW w:w="271"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12.6</w:t>
            </w:r>
          </w:p>
        </w:tc>
        <w:tc>
          <w:tcPr>
            <w:tcW w:w="405" w:type="dxa"/>
            <w:tcBorders/>
            <w:shd w:color="auto" w:fill="auto" w:val="clear"/>
            <w:vAlign w:val="bottom"/>
          </w:tcPr>
          <w:p>
            <w:pPr>
              <w:pStyle w:val="Normal"/>
              <w:widowControl w:val="false"/>
              <w:spacing w:lineRule="auto" w:line="240"/>
              <w:jc w:val="center"/>
              <w:rPr>
                <w:rFonts w:eastAsia="Times New Roman"/>
                <w:color w:val="000000" w:themeColor="text1"/>
                <w:sz w:val="20"/>
                <w:szCs w:val="20"/>
                <w:highlight w:val="yellow"/>
                <w:lang w:val="en-US"/>
              </w:rPr>
            </w:pPr>
            <w:r>
              <w:rPr>
                <w:rFonts w:eastAsia="Times New Roman"/>
                <w:color w:val="000000" w:themeColor="text1"/>
                <w:sz w:val="20"/>
                <w:szCs w:val="20"/>
                <w:highlight w:val="yellow"/>
                <w:lang w:val="en-US"/>
              </w:rPr>
            </w:r>
          </w:p>
        </w:tc>
        <w:tc>
          <w:tcPr>
            <w:tcW w:w="677"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5.43</w:t>
            </w:r>
          </w:p>
        </w:tc>
        <w:tc>
          <w:tcPr>
            <w:tcW w:w="26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9.72</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5.9</w:t>
            </w:r>
          </w:p>
        </w:tc>
        <w:tc>
          <w:tcPr>
            <w:tcW w:w="266"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9.5</w:t>
            </w:r>
          </w:p>
        </w:tc>
        <w:tc>
          <w:tcPr>
            <w:tcW w:w="403"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60" w:type="dxa"/>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shd w:color="auto" w:fill="auto" w:val="clear"/>
            <w:vAlign w:val="bottom"/>
          </w:tcPr>
          <w:p>
            <w:pPr>
              <w:pStyle w:val="Normal"/>
              <w:widowControl w:val="false"/>
              <w:spacing w:lineRule="auto" w:line="240"/>
              <w:rPr>
                <w:rFonts w:eastAsia="Times New Roman"/>
                <w:color w:val="000000" w:themeColor="text1"/>
                <w:sz w:val="20"/>
                <w:szCs w:val="20"/>
                <w:lang w:val="en-US"/>
              </w:rPr>
            </w:pPr>
            <w:r>
              <w:rPr>
                <w:rFonts w:eastAsia="Times New Roman"/>
                <w:color w:val="000000" w:themeColor="text1"/>
                <w:sz w:val="20"/>
                <w:szCs w:val="20"/>
                <w:lang w:val="en-US"/>
              </w:rPr>
              <w:t>10.6</w:t>
            </w:r>
          </w:p>
        </w:tc>
      </w:tr>
      <w:tr>
        <w:trPr>
          <w:trHeight w:val="290" w:hRule="atLeast"/>
        </w:trPr>
        <w:tc>
          <w:tcPr>
            <w:tcW w:w="1900" w:type="dxa"/>
            <w:tcBorders>
              <w:bottom w:val="single" w:sz="4" w:space="0" w:color="000000"/>
            </w:tcBorders>
            <w:shd w:color="auto" w:fill="auto" w:val="clear"/>
            <w:vAlign w:val="center"/>
          </w:tcPr>
          <w:p>
            <w:pPr>
              <w:pStyle w:val="Normal"/>
              <w:widowControl w:val="false"/>
              <w:spacing w:lineRule="auto" w:line="240" w:beforeAutospacing="1" w:after="0"/>
              <w:jc w:val="center"/>
              <w:rPr>
                <w:b/>
                <w:b/>
                <w:bCs/>
                <w:sz w:val="20"/>
                <w:szCs w:val="20"/>
              </w:rPr>
            </w:pPr>
            <w:r>
              <w:rPr>
                <w:rFonts w:eastAsia="Times New Roman"/>
                <w:b/>
                <w:bCs/>
                <w:sz w:val="20"/>
                <w:szCs w:val="20"/>
                <w:lang w:val="en-US"/>
              </w:rPr>
              <w:t>Douglas-fir</w:t>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82" w:type="dxa"/>
            <w:tcBorders>
              <w:bottom w:val="single" w:sz="4" w:space="0" w:color="000000"/>
            </w:tcBorders>
            <w:shd w:color="auto" w:fill="auto" w:val="clear"/>
            <w:vAlign w:val="bottom"/>
          </w:tcPr>
          <w:p>
            <w:pPr>
              <w:pStyle w:val="Normal"/>
              <w:widowControl w:val="false"/>
              <w:spacing w:lineRule="auto" w:line="240"/>
              <w:jc w:val="center"/>
              <w:rPr>
                <w:rFonts w:eastAsia="Times New Roman"/>
                <w:b/>
                <w:b/>
                <w:bCs/>
                <w:sz w:val="20"/>
                <w:szCs w:val="20"/>
                <w:lang w:val="en-US"/>
              </w:rPr>
            </w:pPr>
            <w:r>
              <w:rPr>
                <w:rFonts w:eastAsia="Times New Roman"/>
                <w:b/>
                <w:bCs/>
                <w:sz w:val="20"/>
                <w:szCs w:val="20"/>
                <w:lang w:val="en-US"/>
              </w:rPr>
              <w:t>CI</w:t>
            </w:r>
          </w:p>
        </w:tc>
        <w:tc>
          <w:tcPr>
            <w:tcW w:w="1006"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1.08</w:t>
            </w:r>
          </w:p>
        </w:tc>
        <w:tc>
          <w:tcPr>
            <w:tcW w:w="271"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6"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405"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7"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0.71</w:t>
            </w:r>
          </w:p>
        </w:tc>
        <w:tc>
          <w:tcPr>
            <w:tcW w:w="26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1.33</w:t>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266"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3"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78"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0"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r>
          </w:p>
        </w:tc>
        <w:tc>
          <w:tcPr>
            <w:tcW w:w="684" w:type="dxa"/>
            <w:tcBorders>
              <w:bottom w:val="single" w:sz="4" w:space="0" w:color="000000"/>
            </w:tcBorders>
            <w:shd w:color="auto" w:fill="auto" w:val="clear"/>
            <w:vAlign w:val="bottom"/>
          </w:tcPr>
          <w:p>
            <w:pPr>
              <w:pStyle w:val="Normal"/>
              <w:widowControl w:val="false"/>
              <w:spacing w:lineRule="auto" w:line="240"/>
              <w:jc w:val="center"/>
              <w:rPr>
                <w:rFonts w:eastAsia="Times New Roman"/>
                <w:color w:val="000000" w:themeColor="text1"/>
                <w:sz w:val="20"/>
                <w:szCs w:val="20"/>
                <w:lang w:val="en-US"/>
              </w:rPr>
            </w:pPr>
            <w:r>
              <w:rPr>
                <w:rFonts w:eastAsia="Times New Roman"/>
                <w:color w:val="000000" w:themeColor="text1"/>
                <w:sz w:val="20"/>
                <w:szCs w:val="20"/>
                <w:lang w:val="en-US"/>
              </w:rPr>
              <w:t>1.4</w:t>
            </w:r>
          </w:p>
        </w:tc>
      </w:tr>
      <w:tr>
        <w:trPr>
          <w:trHeight w:val="300" w:hRule="atLeast"/>
        </w:trPr>
        <w:tc>
          <w:tcPr>
            <w:tcW w:w="1900" w:type="dxa"/>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82" w:type="dxa"/>
            <w:tcBorders/>
            <w:shd w:color="auto" w:fill="auto" w:val="clear"/>
            <w:vAlign w:val="bottom"/>
          </w:tcPr>
          <w:p>
            <w:pPr>
              <w:pStyle w:val="Normal"/>
              <w:widowControl w:val="false"/>
              <w:spacing w:lineRule="auto" w:line="240"/>
              <w:rPr>
                <w:rFonts w:eastAsia="Times New Roman"/>
                <w:b/>
                <w:b/>
                <w:bCs/>
                <w:sz w:val="20"/>
                <w:szCs w:val="20"/>
                <w:lang w:val="en-US"/>
              </w:rPr>
            </w:pPr>
            <w:r>
              <w:rPr>
                <w:rFonts w:eastAsia="Times New Roman"/>
                <w:b/>
                <w:bCs/>
                <w:sz w:val="20"/>
                <w:szCs w:val="20"/>
                <w:lang w:val="en-US"/>
              </w:rPr>
              <w:t>Total</w:t>
            </w:r>
          </w:p>
        </w:tc>
        <w:tc>
          <w:tcPr>
            <w:tcW w:w="100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81%</w:t>
            </w:r>
          </w:p>
        </w:tc>
        <w:tc>
          <w:tcPr>
            <w:tcW w:w="271"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79%</w:t>
            </w:r>
          </w:p>
        </w:tc>
        <w:tc>
          <w:tcPr>
            <w:tcW w:w="405"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86%</w:t>
            </w:r>
          </w:p>
        </w:tc>
        <w:tc>
          <w:tcPr>
            <w:tcW w:w="26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77%</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79%</w:t>
            </w:r>
          </w:p>
        </w:tc>
        <w:tc>
          <w:tcPr>
            <w:tcW w:w="266"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71%</w:t>
            </w:r>
          </w:p>
        </w:tc>
        <w:tc>
          <w:tcPr>
            <w:tcW w:w="403"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82%</w:t>
            </w:r>
          </w:p>
        </w:tc>
        <w:tc>
          <w:tcPr>
            <w:tcW w:w="260"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t>77%</w:t>
            </w:r>
          </w:p>
        </w:tc>
      </w:tr>
      <w:tr>
        <w:trPr>
          <w:trHeight w:val="290" w:hRule="exact"/>
        </w:trPr>
        <w:tc>
          <w:tcPr>
            <w:tcW w:w="1900" w:type="dxa"/>
            <w:tcBorders>
              <w:bottom w:val="single" w:sz="8" w:space="0" w:color="000000"/>
            </w:tcBorders>
            <w:shd w:color="auto" w:fill="auto" w:val="clear"/>
            <w:vAlign w:val="center"/>
          </w:tcPr>
          <w:p>
            <w:pPr>
              <w:pStyle w:val="Normal"/>
              <w:widowControl w:val="false"/>
              <w:spacing w:lineRule="auto" w:line="240" w:beforeAutospacing="1" w:after="0"/>
              <w:jc w:val="center"/>
              <w:rPr>
                <w:rFonts w:eastAsia="Times New Roman"/>
                <w:sz w:val="20"/>
                <w:szCs w:val="20"/>
                <w:lang w:val="en-US"/>
              </w:rPr>
            </w:pPr>
            <w:r>
              <w:rPr>
                <w:rFonts w:eastAsia="Times New Roman"/>
                <w:b/>
                <w:bCs/>
                <w:sz w:val="20"/>
                <w:szCs w:val="20"/>
                <w:lang w:val="en-US"/>
              </w:rPr>
              <w:t>of total trees</w:t>
              <w:br/>
            </w:r>
          </w:p>
        </w:tc>
        <w:tc>
          <w:tcPr>
            <w:tcW w:w="782"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1006"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71"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5"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6"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403"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260"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c>
          <w:tcPr>
            <w:tcW w:w="684" w:type="dxa"/>
            <w:tcBorders>
              <w:bottom w:val="single" w:sz="8" w:space="0" w:color="000000"/>
            </w:tcBorders>
            <w:shd w:color="auto" w:fill="auto" w:val="clear"/>
            <w:vAlign w:val="bottom"/>
          </w:tcPr>
          <w:p>
            <w:pPr>
              <w:pStyle w:val="Normal"/>
              <w:widowControl w:val="false"/>
              <w:spacing w:lineRule="auto" w:line="240"/>
              <w:jc w:val="center"/>
              <w:rPr>
                <w:rFonts w:eastAsia="Times New Roman"/>
                <w:sz w:val="20"/>
                <w:szCs w:val="20"/>
                <w:lang w:val="en-US"/>
              </w:rPr>
            </w:pPr>
            <w:r>
              <w:rPr>
                <w:rFonts w:eastAsia="Times New Roman"/>
                <w:sz w:val="20"/>
                <w:szCs w:val="20"/>
                <w:lang w:val="en-US"/>
              </w:rPr>
            </w:r>
          </w:p>
        </w:tc>
      </w:tr>
    </w:tbl>
    <w:p>
      <w:pPr>
        <w:sectPr>
          <w:headerReference w:type="default" r:id="rId21"/>
          <w:type w:val="nextPage"/>
          <w:pgSz w:orient="landscape" w:w="15840" w:h="12240"/>
          <w:pgMar w:left="1440" w:right="2013" w:header="1440" w:top="1497" w:footer="0" w:bottom="1440" w:gutter="0"/>
          <w:lnNumType w:countBy="1" w:restart="continuous" w:distance="283"/>
          <w:pgNumType w:start="1" w:fmt="decimal"/>
          <w:formProt w:val="false"/>
          <w:textDirection w:val="lrTb"/>
          <w:docGrid w:type="default" w:linePitch="299" w:charSpace="32768"/>
        </w:sectPr>
      </w:pPr>
    </w:p>
    <w:p>
      <w:pPr>
        <w:pStyle w:val="Normal"/>
        <w:spacing w:lineRule="auto" w:line="480"/>
        <w:rPr>
          <w:sz w:val="24"/>
          <w:szCs w:val="24"/>
        </w:rPr>
      </w:pPr>
      <w:r>
        <w:rPr>
          <w:b/>
          <w:sz w:val="24"/>
          <w:szCs w:val="24"/>
        </w:rPr>
        <w:t xml:space="preserve">3.2 Thinning study, cumulative proportion mortality of LRR </w:t>
      </w:r>
    </w:p>
    <w:p>
      <w:pPr>
        <w:pStyle w:val="Normal"/>
        <w:spacing w:lineRule="auto" w:line="480"/>
        <w:ind w:firstLine="720"/>
        <w:rPr>
          <w:sz w:val="24"/>
          <w:szCs w:val="24"/>
          <w:highlight w:val="white"/>
        </w:rPr>
      </w:pPr>
      <w:r>
        <w:rPr>
          <w:sz w:val="24"/>
          <w:szCs w:val="24"/>
          <w:highlight w:val="white"/>
        </w:rPr>
        <w:t xml:space="preserve">The one-way analysis of variance showed </w:t>
      </w:r>
      <w:r>
        <w:rPr>
          <w:sz w:val="24"/>
          <w:szCs w:val="24"/>
        </w:rPr>
        <w:t>no significant of effect of treatment on proportion of mortality</w:t>
      </w:r>
      <w:r>
        <w:rPr>
          <w:sz w:val="24"/>
          <w:szCs w:val="24"/>
          <w:highlight w:val="white"/>
        </w:rPr>
        <w:t xml:space="preserve"> (F</w:t>
      </w:r>
      <w:r>
        <w:rPr>
          <w:sz w:val="24"/>
          <w:szCs w:val="24"/>
          <w:highlight w:val="white"/>
          <w:vertAlign w:val="subscript"/>
        </w:rPr>
        <w:t>2,12</w:t>
      </w:r>
      <w:r>
        <w:rPr>
          <w:sz w:val="24"/>
          <w:szCs w:val="24"/>
          <w:highlight w:val="white"/>
        </w:rPr>
        <w:t xml:space="preserve"> = 0.484, p = 0.628) (Table 2). There was also no significance found when the two thinned treatment areas were combined and compared against the control stands (F</w:t>
      </w:r>
      <w:r>
        <w:rPr>
          <w:sz w:val="24"/>
          <w:szCs w:val="24"/>
          <w:highlight w:val="white"/>
          <w:vertAlign w:val="subscript"/>
        </w:rPr>
        <w:t>2,13</w:t>
      </w:r>
      <w:r>
        <w:rPr>
          <w:sz w:val="24"/>
          <w:szCs w:val="24"/>
          <w:highlight w:val="white"/>
        </w:rPr>
        <w:t xml:space="preserve"> = 0.295, p = 0.596). Within the two-way analysis of variance, no significant was found from tree mortality induced by </w:t>
      </w:r>
      <w:r>
        <w:rPr>
          <w:i/>
          <w:iCs/>
          <w:sz w:val="24"/>
          <w:szCs w:val="24"/>
          <w:highlight w:val="white"/>
        </w:rPr>
        <w:t>C. sulphurascens</w:t>
      </w:r>
      <w:r>
        <w:rPr>
          <w:sz w:val="24"/>
          <w:szCs w:val="24"/>
          <w:highlight w:val="white"/>
        </w:rPr>
        <w:t xml:space="preserve"> across treatment areas</w:t>
      </w:r>
      <w:ins w:id="17" w:author="Unknown Author" w:date="2022-10-07T15:00:00Z">
        <w:r>
          <w:rPr>
            <w:sz w:val="24"/>
            <w:szCs w:val="24"/>
            <w:highlight w:val="white"/>
          </w:rPr>
          <w:t xml:space="preserve"> </w:t>
        </w:r>
      </w:ins>
      <w:r>
        <w:rPr>
          <w:sz w:val="24"/>
          <w:szCs w:val="24"/>
          <w:highlight w:val="white"/>
        </w:rPr>
        <w:t>(Table 2).</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Table 2</w:t>
      </w:r>
      <w:r>
        <w:rPr>
          <w:b/>
          <w:sz w:val="20"/>
          <w:szCs w:val="20"/>
        </w:rPr>
        <w:t xml:space="preserve">: </w:t>
      </w:r>
      <w:r>
        <w:rPr>
          <w:sz w:val="24"/>
          <w:szCs w:val="24"/>
        </w:rPr>
        <w:t xml:space="preserve">A two way ANOVA testing effect on tree mortality from LRR considering relative presence of LRR in the stand. </w:t>
      </w:r>
    </w:p>
    <w:tbl>
      <w:tblPr>
        <w:tblStyle w:val="TableGrid"/>
        <w:tblW w:w="9345" w:type="dxa"/>
        <w:jc w:val="left"/>
        <w:tblInd w:w="226" w:type="dxa"/>
        <w:tblLayout w:type="fixed"/>
        <w:tblCellMar>
          <w:top w:w="0" w:type="dxa"/>
          <w:left w:w="108" w:type="dxa"/>
          <w:bottom w:w="0" w:type="dxa"/>
          <w:right w:w="108" w:type="dxa"/>
        </w:tblCellMar>
        <w:tblLook w:firstRow="1" w:noVBand="1" w:lastRow="0" w:firstColumn="1" w:lastColumn="0" w:noHBand="0" w:val="04a0"/>
      </w:tblPr>
      <w:tblGrid>
        <w:gridCol w:w="1889"/>
        <w:gridCol w:w="1319"/>
        <w:gridCol w:w="1555"/>
        <w:gridCol w:w="1585"/>
        <w:gridCol w:w="1576"/>
        <w:gridCol w:w="1420"/>
      </w:tblGrid>
      <w:tr>
        <w:trPr/>
        <w:tc>
          <w:tcPr>
            <w:tcW w:w="1889"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Source of Variation</w:t>
            </w:r>
          </w:p>
        </w:tc>
        <w:tc>
          <w:tcPr>
            <w:tcW w:w="1319"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Degrees of Freedom</w:t>
            </w:r>
          </w:p>
        </w:tc>
        <w:tc>
          <w:tcPr>
            <w:tcW w:w="1555"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Sum of Squares</w:t>
            </w:r>
          </w:p>
        </w:tc>
        <w:tc>
          <w:tcPr>
            <w:tcW w:w="1585"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Mean Square</w:t>
            </w:r>
          </w:p>
        </w:tc>
        <w:tc>
          <w:tcPr>
            <w:tcW w:w="1576"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F</w:t>
            </w:r>
          </w:p>
        </w:tc>
        <w:tc>
          <w:tcPr>
            <w:tcW w:w="1420" w:type="dxa"/>
            <w:tcBorders/>
          </w:tcPr>
          <w:p>
            <w:pPr>
              <w:pStyle w:val="Normal"/>
              <w:widowControl w:val="false"/>
              <w:suppressAutoHyphens w:val="true"/>
              <w:spacing w:lineRule="auto" w:line="240" w:before="0" w:after="0"/>
              <w:jc w:val="center"/>
              <w:rPr>
                <w:b/>
                <w:b/>
                <w:bCs/>
                <w:sz w:val="24"/>
                <w:szCs w:val="24"/>
              </w:rPr>
            </w:pPr>
            <w:r>
              <w:rPr>
                <w:rFonts w:eastAsia="Arial" w:cs="Arial"/>
                <w:b/>
                <w:bCs/>
                <w:kern w:val="0"/>
                <w:sz w:val="24"/>
                <w:szCs w:val="24"/>
                <w:lang w:val="en" w:eastAsia="en-US" w:bidi="ar-SA"/>
              </w:rPr>
              <w:t>p-Value</w:t>
            </w:r>
          </w:p>
        </w:tc>
      </w:tr>
      <w:tr>
        <w:trPr>
          <w:trHeight w:val="377" w:hRule="atLeast"/>
        </w:trPr>
        <w:tc>
          <w:tcPr>
            <w:tcW w:w="1889"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Treatment</w:t>
            </w:r>
          </w:p>
        </w:tc>
        <w:tc>
          <w:tcPr>
            <w:tcW w:w="1319"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2</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0.01048</w:t>
            </w:r>
          </w:p>
        </w:tc>
        <w:tc>
          <w:tcPr>
            <w:tcW w:w="158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0.00524</w:t>
            </w:r>
          </w:p>
        </w:tc>
        <w:tc>
          <w:tcPr>
            <w:tcW w:w="1576"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0.460</w:t>
            </w:r>
          </w:p>
        </w:tc>
        <w:tc>
          <w:tcPr>
            <w:tcW w:w="1420"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0.643</w:t>
            </w:r>
          </w:p>
        </w:tc>
      </w:tr>
      <w:tr>
        <w:trPr/>
        <w:tc>
          <w:tcPr>
            <w:tcW w:w="1889"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LRR presence</w:t>
            </w:r>
          </w:p>
        </w:tc>
        <w:tc>
          <w:tcPr>
            <w:tcW w:w="1319"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1</w:t>
            </w:r>
          </w:p>
        </w:tc>
        <w:tc>
          <w:tcPr>
            <w:tcW w:w="155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0.00467</w:t>
            </w:r>
          </w:p>
        </w:tc>
        <w:tc>
          <w:tcPr>
            <w:tcW w:w="1585" w:type="dxa"/>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0.004672</w:t>
            </w:r>
          </w:p>
        </w:tc>
        <w:tc>
          <w:tcPr>
            <w:tcW w:w="1576" w:type="dxa"/>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t>0.411</w:t>
            </w:r>
          </w:p>
        </w:tc>
        <w:tc>
          <w:tcPr>
            <w:tcW w:w="1420" w:type="dxa"/>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t>0.535</w:t>
            </w:r>
          </w:p>
        </w:tc>
      </w:tr>
      <w:tr>
        <w:trPr/>
        <w:tc>
          <w:tcPr>
            <w:tcW w:w="1889"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Residuals</w:t>
            </w:r>
          </w:p>
        </w:tc>
        <w:tc>
          <w:tcPr>
            <w:tcW w:w="1319"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11</w:t>
            </w:r>
          </w:p>
        </w:tc>
        <w:tc>
          <w:tcPr>
            <w:tcW w:w="1555"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0.12518</w:t>
            </w:r>
          </w:p>
        </w:tc>
        <w:tc>
          <w:tcPr>
            <w:tcW w:w="1585"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4"/>
                <w:szCs w:val="24"/>
                <w:lang w:val="en" w:eastAsia="en-US" w:bidi="ar-SA"/>
              </w:rPr>
              <w:t>0.011380</w:t>
            </w:r>
          </w:p>
        </w:tc>
        <w:tc>
          <w:tcPr>
            <w:tcW w:w="1576"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c>
          <w:tcPr>
            <w:tcW w:w="1420" w:type="dxa"/>
            <w:tcBorders>
              <w:top w:val="nil"/>
            </w:tcBorders>
          </w:tcPr>
          <w:p>
            <w:pPr>
              <w:pStyle w:val="Normal"/>
              <w:widowControl w:val="false"/>
              <w:suppressAutoHyphens w:val="true"/>
              <w:spacing w:lineRule="auto" w:line="480" w:before="120" w:after="0"/>
              <w:jc w:val="center"/>
              <w:rPr>
                <w:sz w:val="24"/>
                <w:szCs w:val="24"/>
              </w:rPr>
            </w:pPr>
            <w:r>
              <w:rPr>
                <w:rFonts w:eastAsia="Arial" w:cs="Arial"/>
                <w:kern w:val="0"/>
                <w:sz w:val="22"/>
                <w:szCs w:val="22"/>
                <w:lang w:val="en" w:eastAsia="en-US" w:bidi="ar-SA"/>
              </w:rPr>
            </w:r>
          </w:p>
        </w:tc>
      </w:tr>
    </w:tbl>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 xml:space="preserve">3.3 Thinning Study, Prevalence of root disease </w:t>
      </w:r>
    </w:p>
    <w:p>
      <w:pPr>
        <w:pStyle w:val="Normal"/>
        <w:spacing w:lineRule="auto" w:line="480"/>
        <w:ind w:firstLine="720"/>
        <w:rPr>
          <w:sz w:val="24"/>
          <w:szCs w:val="24"/>
        </w:rPr>
      </w:pPr>
      <w:r>
        <w:rPr>
          <w:sz w:val="24"/>
          <w:szCs w:val="24"/>
          <w:highlight w:val="white"/>
        </w:rPr>
        <w:t xml:space="preserve">Within every stand, the prevalence of root disease increased over time. At the conclusion of the study, the proportion of total tree mortality from LRR was less in control stands when compared to stands where thinning occurred. </w:t>
      </w:r>
    </w:p>
    <w:p>
      <w:pPr>
        <w:pStyle w:val="Normal"/>
        <w:spacing w:lineRule="auto" w:line="480"/>
        <w:rPr>
          <w:sz w:val="24"/>
          <w:szCs w:val="24"/>
        </w:rPr>
      </w:pPr>
      <w:r>
        <w:rPr>
          <w:sz w:val="24"/>
          <w:szCs w:val="24"/>
        </w:rPr>
      </w:r>
    </w:p>
    <w:p>
      <w:pPr>
        <w:pStyle w:val="Normal"/>
        <w:spacing w:lineRule="auto" w:line="480"/>
        <w:rPr>
          <w:sz w:val="24"/>
          <w:szCs w:val="24"/>
        </w:rPr>
      </w:pPr>
      <w:r>
        <w:rPr>
          <w:sz w:val="24"/>
          <w:szCs w:val="24"/>
        </w:rPr>
      </w:r>
    </w:p>
    <w:p>
      <w:pPr>
        <w:pStyle w:val="Normal"/>
        <w:spacing w:lineRule="auto" w:line="480"/>
        <w:rPr>
          <w:sz w:val="24"/>
          <w:szCs w:val="24"/>
        </w:rPr>
      </w:pPr>
      <w:r>
        <w:rPr/>
        <w:drawing>
          <wp:inline distT="0" distB="0" distL="0" distR="0">
            <wp:extent cx="5943600" cy="3124200"/>
            <wp:effectExtent l="0" t="0" r="0" b="0"/>
            <wp:docPr id="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pic:cNvPicPr>
                      <a:picLocks noChangeAspect="1" noChangeArrowheads="1"/>
                    </pic:cNvPicPr>
                  </pic:nvPicPr>
                  <pic:blipFill>
                    <a:blip r:embed="rId22"/>
                    <a:stretch>
                      <a:fillRect/>
                    </a:stretch>
                  </pic:blipFill>
                  <pic:spPr bwMode="auto">
                    <a:xfrm>
                      <a:off x="0" y="0"/>
                      <a:ext cx="5943600" cy="3124200"/>
                    </a:xfrm>
                    <a:prstGeom prst="rect">
                      <a:avLst/>
                    </a:prstGeom>
                  </pic:spPr>
                </pic:pic>
              </a:graphicData>
            </a:graphic>
          </wp:inline>
        </w:drawing>
      </w:r>
    </w:p>
    <w:p>
      <w:pPr>
        <w:pStyle w:val="Normal"/>
        <w:spacing w:lineRule="auto" w:line="480"/>
        <w:rPr>
          <w:sz w:val="24"/>
          <w:szCs w:val="24"/>
        </w:rPr>
      </w:pPr>
      <w:r>
        <w:rPr>
          <w:sz w:val="24"/>
          <w:szCs w:val="24"/>
        </w:rP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5943600" cy="3566160"/>
            <wp:effectExtent l="0" t="0" r="0" b="0"/>
            <wp:wrapSquare wrapText="largest"/>
            <wp:docPr id="5"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7" descr=""/>
                    <pic:cNvPicPr>
                      <a:picLocks noChangeAspect="1" noChangeArrowheads="1"/>
                    </pic:cNvPicPr>
                  </pic:nvPicPr>
                  <pic:blipFill>
                    <a:blip r:embed="rId23"/>
                    <a:stretch>
                      <a:fillRect/>
                    </a:stretch>
                  </pic:blipFill>
                  <pic:spPr bwMode="auto">
                    <a:xfrm>
                      <a:off x="0" y="0"/>
                      <a:ext cx="5943600" cy="3566160"/>
                    </a:xfrm>
                    <a:prstGeom prst="rect">
                      <a:avLst/>
                    </a:prstGeom>
                  </pic:spPr>
                </pic:pic>
              </a:graphicData>
            </a:graphic>
          </wp:anchor>
        </w:drawing>
      </w:r>
    </w:p>
    <w:p>
      <w:pPr>
        <w:pStyle w:val="Normal"/>
        <w:spacing w:lineRule="auto" w:line="480"/>
        <w:rPr>
          <w:b/>
          <w:b/>
          <w:bCs/>
          <w:sz w:val="24"/>
          <w:szCs w:val="24"/>
        </w:rPr>
      </w:pPr>
      <w:r>
        <w:rPr>
          <w:b/>
          <w:bCs/>
          <w:sz w:val="24"/>
          <w:szCs w:val="24"/>
        </w:rPr>
      </w:r>
    </w:p>
    <w:p>
      <w:pPr>
        <w:pStyle w:val="Normal"/>
        <w:spacing w:lineRule="auto" w:line="480"/>
        <w:rPr>
          <w:b/>
          <w:b/>
          <w:bCs/>
          <w:sz w:val="24"/>
          <w:szCs w:val="24"/>
        </w:rPr>
      </w:pPr>
      <w:r>
        <w:rPr>
          <w:b/>
          <w:bCs/>
          <w:sz w:val="24"/>
          <w:szCs w:val="24"/>
        </w:rPr>
      </w:r>
    </w:p>
    <w:p>
      <w:pPr>
        <w:pStyle w:val="Normal"/>
        <w:spacing w:lineRule="auto" w:line="480"/>
        <w:rPr>
          <w:sz w:val="24"/>
          <w:szCs w:val="24"/>
        </w:rPr>
      </w:pPr>
      <w:r>
        <w:rPr>
          <w:b/>
          <w:bCs/>
          <w:sz w:val="24"/>
          <w:szCs w:val="24"/>
        </w:rPr>
        <w:t xml:space="preserve">Figure 3. </w:t>
      </w:r>
      <w:r>
        <w:rPr>
          <w:sz w:val="24"/>
          <w:szCs w:val="24"/>
        </w:rPr>
        <w:t>A) Stand mean basal area of the three different treatments over time. B) Stand mean quadratic mean diameter of the three treatments over time. The ribbons are representative of 95% confidence intervals</w:t>
      </w:r>
      <w:ins w:id="18" w:author="Shawn McMurtrey" w:date="2022-10-11T16:00:00Z">
        <w:commentRangeStart w:id="4"/>
        <w:r>
          <w:rPr>
            <w:sz w:val="24"/>
            <w:szCs w:val="24"/>
          </w:rPr>
          <w:t xml:space="preserve">. </w:t>
        </w:r>
      </w:ins>
      <w:r>
        <w:rPr>
          <w:sz w:val="24"/>
          <w:szCs w:val="24"/>
        </w:rPr>
      </w:r>
      <w:commentRangeEnd w:id="4"/>
      <w:r>
        <w:commentReference w:id="4"/>
      </w:r>
      <w:r>
        <w:rPr>
          <w:sz w:val="24"/>
          <w:szCs w:val="24"/>
        </w:rPr>
        <w:br/>
        <w:br/>
        <w:t>LRR was found within at least 40% of the plots in all 15 of the total stands (Figure x). By the time the study concluded, LRR had been found in 100% of the plots within two of the unthinned stands, two of the stands with light thinning, and one of the thinned stands. When the plots were established, LRR was present within 59% (n = 44/75) of the plots. By the end of the study, it had been found within 83% (n=62/75) of the plots (Table 3) At the stand level, 92% (n = 23/25) of the plots in the unthinned stands, 80% (n = 20/25) of the plots in the lightly thinned stands, and 76% (n = 19/25) of the plots in the thinned stands had confirmed LRR by the end of the study period. In total, 83% (n = 62/75) of the plots had confirmed LRR at the conclusion of the study.</w:t>
      </w:r>
      <w:del w:id="19" w:author="Shawn McMurtrey" w:date="2022-09-22T22:21:00Z">
        <w:r>
          <w:rPr>
            <w:sz w:val="24"/>
            <w:szCs w:val="24"/>
          </w:rPr>
          <w:delText xml:space="preserve"> </w:delText>
        </w:r>
      </w:del>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3.3 Forest Vegetation Simulator and Western Root Disease Models</w:t>
      </w:r>
    </w:p>
    <w:p>
      <w:pPr>
        <w:pStyle w:val="Normal"/>
        <w:spacing w:lineRule="auto" w:line="480"/>
        <w:ind w:firstLine="720"/>
        <w:pPrChange w:id="0" w:author="Shawn McMurtrey" w:date="2022-10-12T13:08:00Z">
          <w:pPr>
            <w:spacing w:lineRule="auto" w:line="480"/>
          </w:pPr>
        </w:pPrChange>
        <w:rPr>
          <w:sz w:val="24"/>
          <w:szCs w:val="24"/>
        </w:rPr>
      </w:pPr>
      <w:r>
        <w:rPr>
          <w:sz w:val="24"/>
          <w:szCs w:val="24"/>
          <w:highlight w:val="white"/>
        </w:rPr>
        <w:t xml:space="preserve">Within the results of the modeled data, the mean values of the measured data were found to correspond more closely to the WRDM model run that was made using default parameters. The data determined by the FVS simulation, was not found to be as  statistically significant for the years of 2009 and 2020 in both the control and thinned stands (Fig x table x). </w:t>
      </w:r>
      <w:r>
        <w:rPr>
          <w:sz w:val="24"/>
          <w:szCs w:val="24"/>
        </w:rPr>
        <w:t xml:space="preserve">The basal area predictions made by the WRDM was statistically significant when compared with observed data for all three treatment areas in 2020. </w:t>
      </w:r>
      <w:r>
        <w:rPr>
          <w:sz w:val="24"/>
          <w:szCs w:val="24"/>
          <w:highlight w:val="white"/>
        </w:rPr>
        <w:t xml:space="preserve"> </w:t>
      </w:r>
    </w:p>
    <w:p>
      <w:pPr>
        <w:pStyle w:val="Normal"/>
        <w:spacing w:lineRule="auto" w:line="480"/>
        <w:rPr>
          <w:b/>
          <w:b/>
          <w:sz w:val="24"/>
          <w:szCs w:val="24"/>
        </w:rPr>
      </w:pPr>
      <w:r>
        <w:rPr>
          <w:b/>
          <w:sz w:val="24"/>
          <w:szCs w:val="24"/>
        </w:rPr>
      </w:r>
    </w:p>
    <w:p>
      <w:pPr>
        <w:pStyle w:val="Normal"/>
        <w:spacing w:lineRule="auto" w:line="480"/>
        <w:rPr>
          <w:b/>
          <w:b/>
          <w:sz w:val="24"/>
          <w:szCs w:val="24"/>
        </w:rPr>
      </w:pPr>
      <w:r>
        <w:rPr/>
        <w:drawing>
          <wp:inline distT="0" distB="0" distL="0" distR="0">
            <wp:extent cx="5943600" cy="2705100"/>
            <wp:effectExtent l="0" t="0" r="0" b="0"/>
            <wp:docPr id="6"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9" descr=""/>
                    <pic:cNvPicPr>
                      <a:picLocks noChangeAspect="1" noChangeArrowheads="1"/>
                    </pic:cNvPicPr>
                  </pic:nvPicPr>
                  <pic:blipFill>
                    <a:blip r:embed="rId24"/>
                    <a:stretch>
                      <a:fillRect/>
                    </a:stretch>
                  </pic:blipFill>
                  <pic:spPr bwMode="auto">
                    <a:xfrm>
                      <a:off x="0" y="0"/>
                      <a:ext cx="5943600" cy="2705100"/>
                    </a:xfrm>
                    <a:prstGeom prst="rect">
                      <a:avLst/>
                    </a:prstGeom>
                  </pic:spPr>
                </pic:pic>
              </a:graphicData>
            </a:graphic>
          </wp:inline>
        </w:drawing>
      </w:r>
    </w:p>
    <w:p>
      <w:pPr>
        <w:pStyle w:val="Normal"/>
        <w:spacing w:lineRule="auto" w:line="480"/>
        <w:rPr>
          <w:b/>
          <w:b/>
          <w:sz w:val="24"/>
          <w:szCs w:val="24"/>
        </w:rPr>
      </w:pPr>
      <w:r>
        <w:rPr>
          <w:b/>
          <w:sz w:val="24"/>
          <w:szCs w:val="24"/>
        </w:rPr>
      </w:r>
    </w:p>
    <w:p>
      <w:pPr>
        <w:pStyle w:val="Normal"/>
        <w:spacing w:lineRule="auto" w:line="480"/>
        <w:rPr>
          <w:b/>
          <w:b/>
          <w:sz w:val="24"/>
          <w:szCs w:val="24"/>
        </w:rPr>
      </w:pPr>
      <w:r>
        <w:rPr/>
        <w:drawing>
          <wp:inline distT="0" distB="0" distL="0" distR="0">
            <wp:extent cx="5943600" cy="3390900"/>
            <wp:effectExtent l="0" t="0" r="0" b="0"/>
            <wp:docPr id="7"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7" descr=""/>
                    <pic:cNvPicPr>
                      <a:picLocks noChangeAspect="1" noChangeArrowheads="1"/>
                    </pic:cNvPicPr>
                  </pic:nvPicPr>
                  <pic:blipFill>
                    <a:blip r:embed="rId25"/>
                    <a:stretch>
                      <a:fillRect/>
                    </a:stretch>
                  </pic:blipFill>
                  <pic:spPr bwMode="auto">
                    <a:xfrm>
                      <a:off x="0" y="0"/>
                      <a:ext cx="5943600" cy="3390900"/>
                    </a:xfrm>
                    <a:prstGeom prst="rect">
                      <a:avLst/>
                    </a:prstGeom>
                  </pic:spPr>
                </pic:pic>
              </a:graphicData>
            </a:graphic>
          </wp:inline>
        </w:drawing>
      </w:r>
    </w:p>
    <w:p>
      <w:pPr>
        <w:pStyle w:val="Normal"/>
        <w:spacing w:lineRule="auto" w:line="480"/>
        <w:rPr>
          <w:b/>
          <w:b/>
          <w:sz w:val="24"/>
          <w:szCs w:val="24"/>
        </w:rPr>
      </w:pPr>
      <w:r>
        <w:rPr/>
        <w:drawing>
          <wp:inline distT="0" distB="0" distL="0" distR="0">
            <wp:extent cx="5943600" cy="3390900"/>
            <wp:effectExtent l="0" t="0" r="0" b="0"/>
            <wp:docPr id="8"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6" descr=""/>
                    <pic:cNvPicPr>
                      <a:picLocks noChangeAspect="1" noChangeArrowheads="1"/>
                    </pic:cNvPicPr>
                  </pic:nvPicPr>
                  <pic:blipFill>
                    <a:blip r:embed="rId26"/>
                    <a:stretch>
                      <a:fillRect/>
                    </a:stretch>
                  </pic:blipFill>
                  <pic:spPr bwMode="auto">
                    <a:xfrm>
                      <a:off x="0" y="0"/>
                      <a:ext cx="5943600" cy="3390900"/>
                    </a:xfrm>
                    <a:prstGeom prst="rect">
                      <a:avLst/>
                    </a:prstGeom>
                  </pic:spPr>
                </pic:pic>
              </a:graphicData>
            </a:graphic>
          </wp:inline>
        </w:drawing>
      </w:r>
    </w:p>
    <w:p>
      <w:pPr>
        <w:pStyle w:val="Normal"/>
        <w:spacing w:lineRule="auto" w:line="480"/>
        <w:rPr>
          <w:b/>
          <w:b/>
          <w:sz w:val="24"/>
          <w:szCs w:val="24"/>
        </w:rPr>
      </w:pPr>
      <w:r>
        <w:rPr/>
        <w:drawing>
          <wp:inline distT="0" distB="0" distL="0" distR="0">
            <wp:extent cx="5943600" cy="3390900"/>
            <wp:effectExtent l="0" t="0" r="0" b="0"/>
            <wp:docPr id="9"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4" descr=""/>
                    <pic:cNvPicPr>
                      <a:picLocks noChangeAspect="1" noChangeArrowheads="1"/>
                    </pic:cNvPicPr>
                  </pic:nvPicPr>
                  <pic:blipFill>
                    <a:blip r:embed="rId27"/>
                    <a:stretch>
                      <a:fillRect/>
                    </a:stretch>
                  </pic:blipFill>
                  <pic:spPr bwMode="auto">
                    <a:xfrm>
                      <a:off x="0" y="0"/>
                      <a:ext cx="5943600" cy="3390900"/>
                    </a:xfrm>
                    <a:prstGeom prst="rect">
                      <a:avLst/>
                    </a:prstGeom>
                  </pic:spPr>
                </pic:pic>
              </a:graphicData>
            </a:graphic>
          </wp:inline>
        </w:drawing>
      </w:r>
      <w:r>
        <w:rPr/>
        <w:commentReference w:id="5"/>
      </w:r>
    </w:p>
    <w:p>
      <w:pPr>
        <w:pStyle w:val="Normal"/>
        <w:spacing w:lineRule="auto" w:line="480"/>
        <w:rPr>
          <w:b/>
          <w:b/>
          <w:sz w:val="24"/>
          <w:szCs w:val="24"/>
          <w:del w:id="20" w:author="Shawn McMurtrey" w:date="2022-09-23T15:10:00Z"/>
        </w:rPr>
      </w:pPr>
      <w:r>
        <w:rPr/>
        <w:drawing>
          <wp:inline distT="0" distB="0" distL="0" distR="0">
            <wp:extent cx="5943600" cy="3148965"/>
            <wp:effectExtent l="0" t="0" r="0" b="0"/>
            <wp:docPr id="10" name="Picture 12"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2" descr="A picture containing chart&#10;&#10;Description automatically generated"/>
                    <pic:cNvPicPr>
                      <a:picLocks noChangeAspect="1" noChangeArrowheads="1"/>
                    </pic:cNvPicPr>
                  </pic:nvPicPr>
                  <pic:blipFill>
                    <a:blip r:embed="rId28"/>
                    <a:stretch>
                      <a:fillRect/>
                    </a:stretch>
                  </pic:blipFill>
                  <pic:spPr bwMode="auto">
                    <a:xfrm>
                      <a:off x="0" y="0"/>
                      <a:ext cx="5943600" cy="3148965"/>
                    </a:xfrm>
                    <a:prstGeom prst="rect">
                      <a:avLst/>
                    </a:prstGeom>
                  </pic:spPr>
                </pic:pic>
              </a:graphicData>
            </a:graphic>
          </wp:inline>
        </w:drawing>
      </w:r>
    </w:p>
    <w:p>
      <w:pPr>
        <w:pStyle w:val="Normal"/>
        <w:spacing w:lineRule="auto" w:line="480"/>
        <w:rPr>
          <w:b/>
          <w:b/>
          <w:sz w:val="24"/>
          <w:szCs w:val="24"/>
          <w:ins w:id="22" w:author="Shawn McMurtrey" w:date="2022-08-15T05:43:00Z"/>
        </w:rPr>
      </w:pPr>
      <w:ins w:id="21" w:author="Shawn McMurtrey" w:date="2022-08-15T05:43:00Z">
        <w:r>
          <w:rPr>
            <w:b/>
            <w:sz w:val="24"/>
            <w:szCs w:val="24"/>
          </w:rPr>
        </w:r>
      </w:ins>
    </w:p>
    <w:p>
      <w:pPr>
        <w:pStyle w:val="Normal"/>
        <w:spacing w:lineRule="auto" w:line="480"/>
        <w:rPr>
          <w:b/>
          <w:b/>
          <w:sz w:val="24"/>
          <w:szCs w:val="24"/>
        </w:rPr>
      </w:pPr>
      <w:r>
        <w:rPr>
          <w:b/>
          <w:sz w:val="24"/>
          <w:szCs w:val="24"/>
        </w:rPr>
        <w:t xml:space="preserve">Figure: </w:t>
      </w:r>
      <w:r>
        <w:rPr>
          <w:sz w:val="24"/>
          <w:szCs w:val="24"/>
        </w:rPr>
        <w:t>Measured data compared with modelled data depicting mean basal area of the 15 stands. A = unthinned stands (61.4 m2ha-1 basal area in 1990), B = lightly thinned stands (thinned to 42.1 m2ha-1 of basal area), C = thinned stands (thinned to 34.5 m2ha-1 of basal area), D = Immediate Douglas-fir planting treatment in rotation study. The thinning treatments took place between 1985-1990. Error bars are representative of 95% confidence intervals.</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3.4 Rotation Study, Basal area and cumulative total mortality</w:t>
      </w:r>
    </w:p>
    <w:p>
      <w:pPr>
        <w:pStyle w:val="Normal"/>
        <w:spacing w:lineRule="auto" w:line="480"/>
        <w:ind w:firstLine="720"/>
        <w:rPr>
          <w:sz w:val="24"/>
          <w:szCs w:val="24"/>
        </w:rPr>
      </w:pPr>
      <w:r>
        <w:rPr>
          <w:sz w:val="24"/>
          <w:szCs w:val="24"/>
        </w:rPr>
        <w:t xml:space="preserve">Basal area increased throughout the study (Table 3, Figure 4A), but at a declining rate later in the study (Figure 5) and in blocks with high initial incidence of laminated root rot (Supplement X). Annual basal area increment was reduced in the 25-year cottonwood treatment in the early period (Figure 5, Table 4). </w:t>
      </w:r>
      <w:r>
        <w:rPr>
          <w:b/>
          <w:sz w:val="24"/>
          <w:szCs w:val="24"/>
        </w:rPr>
        <w:t xml:space="preserve"> </w:t>
      </w:r>
      <w:r>
        <w:rPr>
          <w:sz w:val="24"/>
          <w:szCs w:val="24"/>
        </w:rPr>
        <w:t xml:space="preserve">Cumulative total mortality increased consistently through the study (Table 3, Figure 4B), and annual mortality was significantly higher in 12-year red alder and 25-year cottonwood rotation treatments in the early measurement period (Figure 6, Table 4). </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3.5 Rotation Study, cause-specific mortality and sublethal effects</w:t>
      </w:r>
    </w:p>
    <w:p>
      <w:pPr>
        <w:pStyle w:val="Normal"/>
        <w:spacing w:lineRule="auto" w:line="480"/>
        <w:ind w:firstLine="720"/>
        <w:rPr>
          <w:sz w:val="24"/>
          <w:szCs w:val="24"/>
          <w:ins w:id="23" w:author="Shawn McMurtrey" w:date="2022-10-12T13:08:00Z"/>
        </w:rPr>
      </w:pPr>
      <w:r>
        <w:rPr>
          <w:sz w:val="24"/>
          <w:szCs w:val="24"/>
        </w:rPr>
        <w:t>Binning the mortality by suspected cause revealed more treatment-depended patterns. Mortality caused by laminated root rot was significantly lower in 25-year cottonwood rotation in the early measurement period and did not differ significantly between treatments in the middle period (Figure 7, Table 4). Conversely, mortality caused by suppression was significantly higher in 25-year cottonwood rotation in the early measurement period and did not differ significantly between treatments in the middle period (Figure 8, Table 4).</w:t>
      </w:r>
    </w:p>
    <w:p>
      <w:pPr>
        <w:sectPr>
          <w:headerReference w:type="default" r:id="rId29"/>
          <w:type w:val="nextPage"/>
          <w:pgSz w:w="12240" w:h="15840"/>
          <w:pgMar w:left="1440" w:right="1440" w:header="1440" w:top="2013" w:footer="0" w:bottom="1440" w:gutter="0"/>
          <w:lnNumType w:countBy="1" w:restart="continuous" w:distance="283"/>
          <w:pgNumType w:start="1" w:fmt="decimal"/>
          <w:formProt w:val="false"/>
          <w:textDirection w:val="lrTb"/>
          <w:docGrid w:type="default" w:linePitch="299" w:charSpace="32768"/>
        </w:sectPr>
        <w:pStyle w:val="Normal"/>
        <w:spacing w:lineRule="auto" w:line="480"/>
        <w:ind w:firstLine="720"/>
        <w:rPr>
          <w:sz w:val="24"/>
          <w:szCs w:val="24"/>
        </w:rPr>
      </w:pPr>
      <w:r>
        <w:rPr>
          <w:sz w:val="24"/>
          <w:szCs w:val="24"/>
        </w:rPr>
        <w:t>In addition to killing trees, both suppression and laminated root rot decreased tree diameter growth while trees were alive (Figure 9). The growth reduction effect of suppression was most severe showing a 41-49% reduction in diameter growth compared to trees with no recorded damage condition in the middle measurement period. Tree with LRR showed 0-19% diameter growth reduction.</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 xml:space="preserve">Table </w:t>
      </w:r>
      <w:del w:id="24" w:author="Unknown Author" w:date="2022-10-07T15:15:00Z">
        <w:r>
          <w:rPr>
            <w:b/>
            <w:sz w:val="24"/>
            <w:szCs w:val="24"/>
          </w:rPr>
          <w:delText>4</w:delText>
        </w:r>
      </w:del>
      <w:ins w:id="25" w:author="Unknown Author" w:date="2022-10-07T15:15:00Z">
        <w:r>
          <w:rPr>
            <w:b/>
            <w:sz w:val="24"/>
            <w:szCs w:val="24"/>
          </w:rPr>
          <w:t>3</w:t>
        </w:r>
      </w:ins>
      <w:r>
        <w:rPr>
          <w:sz w:val="24"/>
          <w:szCs w:val="24"/>
        </w:rPr>
        <w:t xml:space="preserve">: </w:t>
      </w:r>
      <w:del w:id="26" w:author="Shawn McMurtrey" w:date="2022-09-11T19:07:00Z">
        <w:r>
          <w:rPr>
            <w:sz w:val="24"/>
            <w:szCs w:val="24"/>
          </w:rPr>
          <w:delText>I</w:delText>
        </w:r>
      </w:del>
      <w:r>
        <w:rPr>
          <w:sz w:val="24"/>
          <w:szCs w:val="24"/>
        </w:rPr>
        <w:t xml:space="preserve">Stand level summary statistics for the Apiary study. </w:t>
      </w:r>
      <w:commentRangeStart w:id="6"/>
      <w:r>
        <w:rPr>
          <w:sz w:val="24"/>
          <w:szCs w:val="24"/>
        </w:rPr>
        <w:t>SE = standard error</w:t>
      </w:r>
      <w:r>
        <w:rPr>
          <w:sz w:val="24"/>
          <w:szCs w:val="24"/>
        </w:rPr>
      </w:r>
      <w:commentRangeEnd w:id="6"/>
      <w:r>
        <w:commentReference w:id="6"/>
      </w:r>
      <w:r>
        <w:rPr>
          <w:sz w:val="24"/>
          <w:szCs w:val="24"/>
        </w:rPr>
        <w:t xml:space="preserve">.  </w:t>
      </w:r>
    </w:p>
    <w:tbl>
      <w:tblPr>
        <w:tblW w:w="14670" w:type="dxa"/>
        <w:jc w:val="left"/>
        <w:tblInd w:w="30" w:type="dxa"/>
        <w:tblLayout w:type="fixed"/>
        <w:tblCellMar>
          <w:top w:w="0" w:type="dxa"/>
          <w:left w:w="30" w:type="dxa"/>
          <w:bottom w:w="0" w:type="dxa"/>
          <w:right w:w="30" w:type="dxa"/>
        </w:tblCellMar>
        <w:tblLook w:firstRow="1" w:noVBand="1" w:lastRow="0" w:firstColumn="1" w:lastColumn="0" w:noHBand="0" w:val="04a0"/>
      </w:tblPr>
      <w:tblGrid>
        <w:gridCol w:w="896"/>
        <w:gridCol w:w="751"/>
        <w:gridCol w:w="609"/>
        <w:gridCol w:w="631"/>
        <w:gridCol w:w="660"/>
        <w:gridCol w:w="632"/>
        <w:gridCol w:w="79"/>
        <w:gridCol w:w="609"/>
        <w:gridCol w:w="635"/>
        <w:gridCol w:w="637"/>
        <w:gridCol w:w="628"/>
        <w:gridCol w:w="92"/>
        <w:gridCol w:w="628"/>
        <w:gridCol w:w="631"/>
        <w:gridCol w:w="632"/>
        <w:gridCol w:w="631"/>
        <w:gridCol w:w="91"/>
        <w:gridCol w:w="629"/>
        <w:gridCol w:w="634"/>
        <w:gridCol w:w="628"/>
        <w:gridCol w:w="632"/>
        <w:gridCol w:w="91"/>
        <w:gridCol w:w="628"/>
        <w:gridCol w:w="631"/>
        <w:gridCol w:w="629"/>
        <w:gridCol w:w="692"/>
      </w:tblGrid>
      <w:tr>
        <w:trPr>
          <w:trHeight w:val="256" w:hRule="atLeast"/>
        </w:trPr>
        <w:tc>
          <w:tcPr>
            <w:tcW w:w="896" w:type="dxa"/>
            <w:tcBorders>
              <w:top w:val="single" w:sz="4" w:space="0" w:color="000000"/>
            </w:tcBorders>
            <w:vAlign w:val="bottom"/>
          </w:tcPr>
          <w:p>
            <w:pPr>
              <w:pStyle w:val="Normal"/>
              <w:widowControl w:val="false"/>
              <w:rPr>
                <w:sz w:val="20"/>
                <w:szCs w:val="20"/>
              </w:rPr>
            </w:pPr>
            <w:r>
              <w:rPr>
                <w:sz w:val="20"/>
                <w:szCs w:val="20"/>
              </w:rPr>
            </w:r>
          </w:p>
        </w:tc>
        <w:tc>
          <w:tcPr>
            <w:tcW w:w="751" w:type="dxa"/>
            <w:tcBorders>
              <w:top w:val="single" w:sz="4" w:space="0" w:color="000000"/>
            </w:tcBorders>
            <w:vAlign w:val="bottom"/>
          </w:tcPr>
          <w:p>
            <w:pPr>
              <w:pStyle w:val="Normal"/>
              <w:widowControl w:val="false"/>
              <w:rPr>
                <w:sz w:val="20"/>
                <w:szCs w:val="20"/>
              </w:rPr>
            </w:pPr>
            <w:r>
              <w:rPr>
                <w:sz w:val="20"/>
                <w:szCs w:val="20"/>
              </w:rPr>
            </w:r>
          </w:p>
        </w:tc>
        <w:tc>
          <w:tcPr>
            <w:tcW w:w="2532"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12y Red Alder</w:t>
            </w:r>
          </w:p>
        </w:tc>
        <w:tc>
          <w:tcPr>
            <w:tcW w:w="79" w:type="dxa"/>
            <w:tcBorders>
              <w:top w:val="single" w:sz="4" w:space="0" w:color="000000"/>
            </w:tcBorders>
            <w:vAlign w:val="bottom"/>
          </w:tcPr>
          <w:p>
            <w:pPr>
              <w:pStyle w:val="Normal"/>
              <w:widowControl w:val="false"/>
              <w:rPr>
                <w:sz w:val="20"/>
                <w:szCs w:val="20"/>
              </w:rPr>
            </w:pPr>
            <w:r>
              <w:rPr>
                <w:sz w:val="20"/>
                <w:szCs w:val="20"/>
              </w:rPr>
            </w:r>
          </w:p>
        </w:tc>
        <w:tc>
          <w:tcPr>
            <w:tcW w:w="2509"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12y Cottonwood</w:t>
            </w:r>
          </w:p>
        </w:tc>
        <w:tc>
          <w:tcPr>
            <w:tcW w:w="92" w:type="dxa"/>
            <w:tcBorders>
              <w:top w:val="single" w:sz="4" w:space="0" w:color="000000"/>
            </w:tcBorders>
            <w:vAlign w:val="bottom"/>
          </w:tcPr>
          <w:p>
            <w:pPr>
              <w:pStyle w:val="Normal"/>
              <w:widowControl w:val="false"/>
              <w:rPr>
                <w:sz w:val="20"/>
                <w:szCs w:val="20"/>
              </w:rPr>
            </w:pPr>
            <w:r>
              <w:rPr>
                <w:sz w:val="20"/>
                <w:szCs w:val="20"/>
              </w:rPr>
            </w:r>
          </w:p>
        </w:tc>
        <w:tc>
          <w:tcPr>
            <w:tcW w:w="2522"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25y Red Alder</w:t>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2523" w:type="dxa"/>
            <w:gridSpan w:val="4"/>
            <w:tcBorders>
              <w:top w:val="single" w:sz="4" w:space="0" w:color="000000"/>
              <w:bottom w:val="single" w:sz="4" w:space="0" w:color="000000"/>
            </w:tcBorders>
            <w:vAlign w:val="center"/>
          </w:tcPr>
          <w:p>
            <w:pPr>
              <w:pStyle w:val="Normal"/>
              <w:widowControl w:val="false"/>
              <w:jc w:val="center"/>
              <w:rPr>
                <w:sz w:val="20"/>
                <w:szCs w:val="20"/>
              </w:rPr>
            </w:pPr>
            <w:r>
              <w:rPr>
                <w:b/>
                <w:sz w:val="20"/>
                <w:szCs w:val="20"/>
              </w:rPr>
              <w:t>25y Cottonwood</w:t>
            </w:r>
          </w:p>
        </w:tc>
        <w:tc>
          <w:tcPr>
            <w:tcW w:w="91" w:type="dxa"/>
            <w:tcBorders>
              <w:top w:val="single" w:sz="4" w:space="0" w:color="000000"/>
            </w:tcBorders>
            <w:vAlign w:val="center"/>
          </w:tcPr>
          <w:p>
            <w:pPr>
              <w:pStyle w:val="Normal"/>
              <w:widowControl w:val="false"/>
              <w:rPr>
                <w:sz w:val="20"/>
                <w:szCs w:val="20"/>
              </w:rPr>
            </w:pPr>
            <w:r>
              <w:rPr>
                <w:sz w:val="20"/>
                <w:szCs w:val="20"/>
              </w:rPr>
            </w:r>
          </w:p>
        </w:tc>
        <w:tc>
          <w:tcPr>
            <w:tcW w:w="2580" w:type="dxa"/>
            <w:gridSpan w:val="4"/>
            <w:tcBorders>
              <w:top w:val="single" w:sz="4" w:space="0" w:color="000000"/>
              <w:bottom w:val="single" w:sz="4" w:space="0" w:color="000000"/>
            </w:tcBorders>
            <w:vAlign w:val="center"/>
          </w:tcPr>
          <w:p>
            <w:pPr>
              <w:pStyle w:val="Normal"/>
              <w:widowControl w:val="false"/>
              <w:rPr>
                <w:sz w:val="20"/>
                <w:szCs w:val="20"/>
              </w:rPr>
            </w:pPr>
            <w:r>
              <w:rPr>
                <w:b/>
                <w:sz w:val="20"/>
                <w:szCs w:val="20"/>
              </w:rPr>
              <w:t>Immediate Douglas-fir</w:t>
            </w:r>
          </w:p>
        </w:tc>
      </w:tr>
      <w:tr>
        <w:trPr>
          <w:trHeight w:val="256" w:hRule="atLeast"/>
        </w:trPr>
        <w:tc>
          <w:tcPr>
            <w:tcW w:w="896" w:type="dxa"/>
            <w:vMerge w:val="restart"/>
            <w:tcBorders/>
            <w:vAlign w:val="bottom"/>
          </w:tcPr>
          <w:p>
            <w:pPr>
              <w:pStyle w:val="Normal"/>
              <w:widowControl w:val="false"/>
              <w:jc w:val="center"/>
              <w:rPr>
                <w:b/>
                <w:b/>
                <w:sz w:val="20"/>
                <w:szCs w:val="20"/>
              </w:rPr>
            </w:pPr>
            <w:r>
              <w:rPr>
                <w:b/>
                <w:sz w:val="20"/>
                <w:szCs w:val="20"/>
              </w:rPr>
              <w:t xml:space="preserve">Live </w:t>
              <w:br/>
              <w:t>stems</w:t>
            </w:r>
          </w:p>
          <w:p>
            <w:pPr>
              <w:pStyle w:val="Normal"/>
              <w:widowControl w:val="false"/>
              <w:jc w:val="center"/>
              <w:rPr>
                <w:b/>
                <w:b/>
                <w:sz w:val="20"/>
                <w:szCs w:val="20"/>
              </w:rPr>
            </w:pPr>
            <w:r>
              <w:rPr>
                <w:b/>
                <w:sz w:val="20"/>
                <w:szCs w:val="20"/>
              </w:rPr>
            </w:r>
          </w:p>
        </w:tc>
        <w:tc>
          <w:tcPr>
            <w:tcW w:w="751" w:type="dxa"/>
            <w:tcBorders/>
            <w:vAlign w:val="bottom"/>
          </w:tcPr>
          <w:p>
            <w:pPr>
              <w:pStyle w:val="Normal"/>
              <w:widowControl w:val="false"/>
              <w:rPr>
                <w:sz w:val="20"/>
                <w:szCs w:val="20"/>
              </w:rPr>
            </w:pPr>
            <w:r>
              <w:rPr>
                <w:sz w:val="20"/>
                <w:szCs w:val="20"/>
              </w:rPr>
              <w:t>Year</w:t>
            </w:r>
          </w:p>
        </w:tc>
        <w:tc>
          <w:tcPr>
            <w:tcW w:w="609"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1995</w:t>
            </w:r>
          </w:p>
        </w:tc>
        <w:tc>
          <w:tcPr>
            <w:tcW w:w="660"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2011</w:t>
            </w:r>
          </w:p>
        </w:tc>
        <w:tc>
          <w:tcPr>
            <w:tcW w:w="632"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2020</w:t>
            </w:r>
          </w:p>
        </w:tc>
        <w:tc>
          <w:tcPr>
            <w:tcW w:w="79" w:type="dxa"/>
            <w:tcBorders/>
            <w:vAlign w:val="bottom"/>
          </w:tcPr>
          <w:p>
            <w:pPr>
              <w:pStyle w:val="Normal"/>
              <w:widowControl w:val="false"/>
              <w:jc w:val="right"/>
              <w:rPr>
                <w:sz w:val="20"/>
                <w:szCs w:val="20"/>
              </w:rPr>
            </w:pPr>
            <w:r>
              <w:rPr>
                <w:sz w:val="20"/>
                <w:szCs w:val="20"/>
              </w:rPr>
            </w:r>
          </w:p>
        </w:tc>
        <w:tc>
          <w:tcPr>
            <w:tcW w:w="609" w:type="dxa"/>
            <w:tcBorders>
              <w:top w:val="single" w:sz="4" w:space="0" w:color="000000"/>
            </w:tcBorders>
            <w:vAlign w:val="bottom"/>
          </w:tcPr>
          <w:p>
            <w:pPr>
              <w:pStyle w:val="Normal"/>
              <w:widowControl w:val="false"/>
              <w:jc w:val="right"/>
              <w:rPr>
                <w:sz w:val="20"/>
                <w:szCs w:val="20"/>
              </w:rPr>
            </w:pPr>
            <w:r>
              <w:rPr>
                <w:sz w:val="20"/>
                <w:szCs w:val="20"/>
              </w:rPr>
              <w:t>1987</w:t>
            </w:r>
          </w:p>
        </w:tc>
        <w:tc>
          <w:tcPr>
            <w:tcW w:w="635"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1995</w:t>
            </w:r>
          </w:p>
        </w:tc>
        <w:tc>
          <w:tcPr>
            <w:tcW w:w="637"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2011</w:t>
            </w:r>
          </w:p>
        </w:tc>
        <w:tc>
          <w:tcPr>
            <w:tcW w:w="628" w:type="dxa"/>
            <w:tcBorders>
              <w:top w:val="single" w:sz="4" w:space="0" w:color="000000"/>
            </w:tcBorders>
            <w:vAlign w:val="bottom"/>
          </w:tcPr>
          <w:p>
            <w:pPr>
              <w:pStyle w:val="Normal"/>
              <w:widowControl w:val="false"/>
              <w:jc w:val="right"/>
              <w:rPr>
                <w:sz w:val="20"/>
                <w:szCs w:val="20"/>
              </w:rPr>
            </w:pPr>
            <w:r>
              <w:rPr>
                <w:sz w:val="20"/>
                <w:szCs w:val="20"/>
              </w:rPr>
              <w:t xml:space="preserve"> </w:t>
            </w:r>
            <w:r>
              <w:rPr>
                <w:sz w:val="20"/>
                <w:szCs w:val="20"/>
              </w:rPr>
              <w:t>2020</w:t>
            </w:r>
          </w:p>
        </w:tc>
        <w:tc>
          <w:tcPr>
            <w:tcW w:w="92" w:type="dxa"/>
            <w:tcBorders/>
            <w:vAlign w:val="bottom"/>
          </w:tcPr>
          <w:p>
            <w:pPr>
              <w:pStyle w:val="Normal"/>
              <w:widowControl w:val="false"/>
              <w:jc w:val="right"/>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1995</w:t>
            </w:r>
          </w:p>
        </w:tc>
        <w:tc>
          <w:tcPr>
            <w:tcW w:w="632" w:type="dxa"/>
            <w:tcBorders>
              <w:top w:val="single" w:sz="4" w:space="0" w:color="000000"/>
            </w:tcBorders>
            <w:vAlign w:val="bottom"/>
          </w:tcPr>
          <w:p>
            <w:pPr>
              <w:pStyle w:val="Normal"/>
              <w:widowControl w:val="false"/>
              <w:jc w:val="right"/>
              <w:rPr>
                <w:sz w:val="20"/>
                <w:szCs w:val="20"/>
              </w:rPr>
            </w:pPr>
            <w:r>
              <w:rPr>
                <w:sz w:val="20"/>
                <w:szCs w:val="20"/>
              </w:rPr>
              <w:t>2011</w:t>
            </w:r>
          </w:p>
        </w:tc>
        <w:tc>
          <w:tcPr>
            <w:tcW w:w="631" w:type="dxa"/>
            <w:tcBorders>
              <w:top w:val="single" w:sz="4" w:space="0" w:color="000000"/>
            </w:tcBorders>
            <w:vAlign w:val="bottom"/>
          </w:tcPr>
          <w:p>
            <w:pPr>
              <w:pStyle w:val="Normal"/>
              <w:widowControl w:val="false"/>
              <w:jc w:val="right"/>
              <w:rPr>
                <w:sz w:val="20"/>
                <w:szCs w:val="20"/>
              </w:rPr>
            </w:pP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1987</w:t>
            </w:r>
          </w:p>
        </w:tc>
        <w:tc>
          <w:tcPr>
            <w:tcW w:w="634" w:type="dxa"/>
            <w:tcBorders>
              <w:top w:val="single" w:sz="4" w:space="0" w:color="000000"/>
            </w:tcBorders>
            <w:vAlign w:val="bottom"/>
          </w:tcPr>
          <w:p>
            <w:pPr>
              <w:pStyle w:val="Normal"/>
              <w:widowControl w:val="false"/>
              <w:jc w:val="right"/>
              <w:rPr>
                <w:sz w:val="20"/>
                <w:szCs w:val="20"/>
              </w:rPr>
            </w:pPr>
            <w:r>
              <w:rPr>
                <w:sz w:val="20"/>
                <w:szCs w:val="20"/>
              </w:rPr>
              <w:t>1995</w:t>
            </w:r>
          </w:p>
        </w:tc>
        <w:tc>
          <w:tcPr>
            <w:tcW w:w="628" w:type="dxa"/>
            <w:tcBorders>
              <w:top w:val="single" w:sz="4" w:space="0" w:color="000000"/>
            </w:tcBorders>
            <w:vAlign w:val="bottom"/>
          </w:tcPr>
          <w:p>
            <w:pPr>
              <w:pStyle w:val="Normal"/>
              <w:widowControl w:val="false"/>
              <w:jc w:val="right"/>
              <w:rPr>
                <w:sz w:val="20"/>
                <w:szCs w:val="20"/>
              </w:rPr>
            </w:pPr>
            <w:r>
              <w:rPr>
                <w:sz w:val="20"/>
                <w:szCs w:val="20"/>
              </w:rPr>
              <w:t>2011</w:t>
            </w:r>
          </w:p>
        </w:tc>
        <w:tc>
          <w:tcPr>
            <w:tcW w:w="632" w:type="dxa"/>
            <w:tcBorders>
              <w:top w:val="single" w:sz="4" w:space="0" w:color="000000"/>
            </w:tcBorders>
            <w:vAlign w:val="bottom"/>
          </w:tcPr>
          <w:p>
            <w:pPr>
              <w:pStyle w:val="Normal"/>
              <w:widowControl w:val="false"/>
              <w:jc w:val="right"/>
              <w:rPr>
                <w:sz w:val="20"/>
                <w:szCs w:val="20"/>
              </w:rPr>
            </w:pPr>
            <w:r>
              <w:rPr>
                <w:sz w:val="20"/>
                <w:szCs w:val="20"/>
              </w:rPr>
              <w:t>2020</w:t>
            </w:r>
          </w:p>
        </w:tc>
        <w:tc>
          <w:tcPr>
            <w:tcW w:w="91" w:type="dxa"/>
            <w:tcBorders/>
            <w:vAlign w:val="bottom"/>
          </w:tcPr>
          <w:p>
            <w:pPr>
              <w:pStyle w:val="Normal"/>
              <w:widowControl w:val="false"/>
              <w:jc w:val="right"/>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t>1987</w:t>
            </w:r>
          </w:p>
        </w:tc>
        <w:tc>
          <w:tcPr>
            <w:tcW w:w="631" w:type="dxa"/>
            <w:tcBorders>
              <w:top w:val="single" w:sz="4" w:space="0" w:color="000000"/>
            </w:tcBorders>
            <w:vAlign w:val="bottom"/>
          </w:tcPr>
          <w:p>
            <w:pPr>
              <w:pStyle w:val="Normal"/>
              <w:widowControl w:val="false"/>
              <w:jc w:val="right"/>
              <w:rPr>
                <w:sz w:val="20"/>
                <w:szCs w:val="20"/>
              </w:rPr>
            </w:pPr>
            <w:r>
              <w:rPr>
                <w:sz w:val="20"/>
                <w:szCs w:val="20"/>
              </w:rPr>
              <w:t>1995</w:t>
            </w:r>
          </w:p>
        </w:tc>
        <w:tc>
          <w:tcPr>
            <w:tcW w:w="629" w:type="dxa"/>
            <w:tcBorders>
              <w:top w:val="single" w:sz="4" w:space="0" w:color="000000"/>
            </w:tcBorders>
            <w:vAlign w:val="bottom"/>
          </w:tcPr>
          <w:p>
            <w:pPr>
              <w:pStyle w:val="Normal"/>
              <w:widowControl w:val="false"/>
              <w:jc w:val="right"/>
              <w:rPr>
                <w:sz w:val="20"/>
                <w:szCs w:val="20"/>
              </w:rPr>
            </w:pPr>
            <w:r>
              <w:rPr>
                <w:sz w:val="20"/>
                <w:szCs w:val="20"/>
              </w:rPr>
              <w:t>2011</w:t>
            </w:r>
          </w:p>
        </w:tc>
        <w:tc>
          <w:tcPr>
            <w:tcW w:w="692" w:type="dxa"/>
            <w:tcBorders>
              <w:top w:val="single" w:sz="4" w:space="0" w:color="000000"/>
            </w:tcBorders>
            <w:vAlign w:val="bottom"/>
          </w:tcPr>
          <w:p>
            <w:pPr>
              <w:pStyle w:val="Normal"/>
              <w:widowControl w:val="false"/>
              <w:jc w:val="right"/>
              <w:rPr>
                <w:sz w:val="20"/>
                <w:szCs w:val="20"/>
              </w:rPr>
            </w:pPr>
            <w:r>
              <w:rPr>
                <w:sz w:val="20"/>
                <w:szCs w:val="20"/>
              </w:rPr>
              <w:t>2020</w:t>
            </w:r>
          </w:p>
        </w:tc>
      </w:tr>
      <w:tr>
        <w:trPr>
          <w:trHeight w:val="256" w:hRule="atLeast"/>
        </w:trPr>
        <w:tc>
          <w:tcPr>
            <w:tcW w:w="896" w:type="dxa"/>
            <w:vMerge w:val="continue"/>
            <w:tcBorders/>
            <w:vAlign w:val="bottom"/>
          </w:tcPr>
          <w:p>
            <w:pPr>
              <w:pStyle w:val="Normal"/>
              <w:widowControl w:val="false"/>
              <w:jc w:val="center"/>
              <w:rPr>
                <w:b/>
                <w:b/>
                <w:sz w:val="20"/>
                <w:szCs w:val="20"/>
              </w:rPr>
            </w:pPr>
            <w:r>
              <w:rPr>
                <w:b/>
                <w:sz w:val="20"/>
                <w:szCs w:val="20"/>
              </w:rPr>
            </w:r>
          </w:p>
        </w:tc>
        <w:tc>
          <w:tcPr>
            <w:tcW w:w="751" w:type="dxa"/>
            <w:tcBorders/>
            <w:vAlign w:val="bottom"/>
          </w:tcPr>
          <w:p>
            <w:pPr>
              <w:pStyle w:val="Normal"/>
              <w:widowControl w:val="false"/>
              <w:rPr>
                <w:sz w:val="20"/>
                <w:szCs w:val="20"/>
              </w:rPr>
            </w:pPr>
            <w:r>
              <w:rPr>
                <w:sz w:val="20"/>
                <w:szCs w:val="20"/>
              </w:rPr>
              <w:t>Age</w:t>
            </w:r>
          </w:p>
        </w:tc>
        <w:tc>
          <w:tcPr>
            <w:tcW w:w="60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8</w:t>
            </w:r>
          </w:p>
        </w:tc>
        <w:tc>
          <w:tcPr>
            <w:tcW w:w="660" w:type="dxa"/>
            <w:tcBorders>
              <w:bottom w:val="single" w:sz="4" w:space="0" w:color="000000"/>
            </w:tcBorders>
            <w:vAlign w:val="bottom"/>
          </w:tcPr>
          <w:p>
            <w:pPr>
              <w:pStyle w:val="Normal"/>
              <w:widowControl w:val="false"/>
              <w:jc w:val="right"/>
              <w:rPr>
                <w:sz w:val="20"/>
                <w:szCs w:val="20"/>
              </w:rPr>
            </w:pPr>
            <w:r>
              <w:rPr>
                <w:sz w:val="20"/>
                <w:szCs w:val="20"/>
              </w:rPr>
              <w:t>24</w:t>
            </w:r>
          </w:p>
        </w:tc>
        <w:tc>
          <w:tcPr>
            <w:tcW w:w="632" w:type="dxa"/>
            <w:tcBorders>
              <w:bottom w:val="single" w:sz="4" w:space="0" w:color="000000"/>
            </w:tcBorders>
            <w:vAlign w:val="bottom"/>
          </w:tcPr>
          <w:p>
            <w:pPr>
              <w:pStyle w:val="Normal"/>
              <w:widowControl w:val="false"/>
              <w:jc w:val="right"/>
              <w:rPr>
                <w:sz w:val="20"/>
                <w:szCs w:val="20"/>
              </w:rPr>
            </w:pPr>
            <w:r>
              <w:rPr>
                <w:sz w:val="20"/>
                <w:szCs w:val="20"/>
              </w:rPr>
              <w:t>33</w:t>
            </w:r>
          </w:p>
        </w:tc>
        <w:tc>
          <w:tcPr>
            <w:tcW w:w="79" w:type="dxa"/>
            <w:tcBorders/>
            <w:vAlign w:val="bottom"/>
          </w:tcPr>
          <w:p>
            <w:pPr>
              <w:pStyle w:val="Normal"/>
              <w:widowControl w:val="false"/>
              <w:jc w:val="right"/>
              <w:rPr>
                <w:sz w:val="20"/>
                <w:szCs w:val="20"/>
              </w:rPr>
            </w:pPr>
            <w:r>
              <w:rPr>
                <w:sz w:val="20"/>
                <w:szCs w:val="20"/>
              </w:rPr>
            </w:r>
          </w:p>
        </w:tc>
        <w:tc>
          <w:tcPr>
            <w:tcW w:w="60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5" w:type="dxa"/>
            <w:tcBorders>
              <w:bottom w:val="single" w:sz="4" w:space="0" w:color="000000"/>
            </w:tcBorders>
            <w:vAlign w:val="bottom"/>
          </w:tcPr>
          <w:p>
            <w:pPr>
              <w:pStyle w:val="Normal"/>
              <w:widowControl w:val="false"/>
              <w:jc w:val="right"/>
              <w:rPr>
                <w:sz w:val="20"/>
                <w:szCs w:val="20"/>
              </w:rPr>
            </w:pPr>
            <w:r>
              <w:rPr>
                <w:sz w:val="20"/>
                <w:szCs w:val="20"/>
              </w:rPr>
              <w:t>8</w:t>
            </w:r>
          </w:p>
        </w:tc>
        <w:tc>
          <w:tcPr>
            <w:tcW w:w="637" w:type="dxa"/>
            <w:tcBorders>
              <w:bottom w:val="single" w:sz="4" w:space="0" w:color="000000"/>
            </w:tcBorders>
            <w:vAlign w:val="bottom"/>
          </w:tcPr>
          <w:p>
            <w:pPr>
              <w:pStyle w:val="Normal"/>
              <w:widowControl w:val="false"/>
              <w:jc w:val="right"/>
              <w:rPr>
                <w:sz w:val="20"/>
                <w:szCs w:val="20"/>
              </w:rPr>
            </w:pPr>
            <w:r>
              <w:rPr>
                <w:sz w:val="20"/>
                <w:szCs w:val="20"/>
              </w:rPr>
              <w:t>24</w:t>
            </w:r>
          </w:p>
        </w:tc>
        <w:tc>
          <w:tcPr>
            <w:tcW w:w="628" w:type="dxa"/>
            <w:tcBorders>
              <w:bottom w:val="single" w:sz="4" w:space="0" w:color="000000"/>
            </w:tcBorders>
            <w:vAlign w:val="bottom"/>
          </w:tcPr>
          <w:p>
            <w:pPr>
              <w:pStyle w:val="Normal"/>
              <w:widowControl w:val="false"/>
              <w:jc w:val="right"/>
              <w:rPr>
                <w:sz w:val="20"/>
                <w:szCs w:val="20"/>
              </w:rPr>
            </w:pPr>
            <w:r>
              <w:rPr>
                <w:sz w:val="20"/>
                <w:szCs w:val="20"/>
              </w:rPr>
              <w:t>33</w:t>
            </w:r>
          </w:p>
        </w:tc>
        <w:tc>
          <w:tcPr>
            <w:tcW w:w="92" w:type="dxa"/>
            <w:tcBorders/>
            <w:vAlign w:val="bottom"/>
          </w:tcPr>
          <w:p>
            <w:pPr>
              <w:pStyle w:val="Normal"/>
              <w:widowControl w:val="false"/>
              <w:jc w:val="right"/>
              <w:rPr>
                <w:sz w:val="20"/>
                <w:szCs w:val="20"/>
              </w:rPr>
            </w:pPr>
            <w:r>
              <w:rPr>
                <w:sz w:val="20"/>
                <w:szCs w:val="20"/>
              </w:rPr>
            </w:r>
          </w:p>
        </w:tc>
        <w:tc>
          <w:tcPr>
            <w:tcW w:w="628"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11</w:t>
            </w:r>
          </w:p>
        </w:tc>
        <w:tc>
          <w:tcPr>
            <w:tcW w:w="631" w:type="dxa"/>
            <w:tcBorders>
              <w:bottom w:val="single" w:sz="4" w:space="0" w:color="000000"/>
            </w:tcBorders>
            <w:vAlign w:val="bottom"/>
          </w:tcPr>
          <w:p>
            <w:pPr>
              <w:pStyle w:val="Normal"/>
              <w:widowControl w:val="false"/>
              <w:jc w:val="right"/>
              <w:rPr>
                <w:sz w:val="20"/>
                <w:szCs w:val="20"/>
              </w:rPr>
            </w:pPr>
            <w:r>
              <w:rPr>
                <w:sz w:val="20"/>
                <w:szCs w:val="20"/>
              </w:rPr>
              <w:t>20</w:t>
            </w:r>
          </w:p>
        </w:tc>
        <w:tc>
          <w:tcPr>
            <w:tcW w:w="91" w:type="dxa"/>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4" w:type="dxa"/>
            <w:tcBorders>
              <w:bottom w:val="single" w:sz="4" w:space="0" w:color="000000"/>
            </w:tcBorders>
            <w:vAlign w:val="bottom"/>
          </w:tcPr>
          <w:p>
            <w:pPr>
              <w:pStyle w:val="Normal"/>
              <w:widowControl w:val="false"/>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jc w:val="right"/>
              <w:rPr>
                <w:sz w:val="20"/>
                <w:szCs w:val="20"/>
              </w:rPr>
            </w:pPr>
            <w:r>
              <w:rPr>
                <w:sz w:val="20"/>
                <w:szCs w:val="20"/>
              </w:rPr>
              <w:t>11</w:t>
            </w:r>
          </w:p>
        </w:tc>
        <w:tc>
          <w:tcPr>
            <w:tcW w:w="632" w:type="dxa"/>
            <w:tcBorders>
              <w:bottom w:val="single" w:sz="4" w:space="0" w:color="000000"/>
            </w:tcBorders>
            <w:vAlign w:val="bottom"/>
          </w:tcPr>
          <w:p>
            <w:pPr>
              <w:pStyle w:val="Normal"/>
              <w:widowControl w:val="false"/>
              <w:jc w:val="right"/>
              <w:rPr>
                <w:sz w:val="20"/>
                <w:szCs w:val="20"/>
              </w:rPr>
            </w:pPr>
            <w:r>
              <w:rPr>
                <w:sz w:val="20"/>
                <w:szCs w:val="20"/>
              </w:rPr>
              <w:t>20</w:t>
            </w:r>
          </w:p>
        </w:tc>
        <w:tc>
          <w:tcPr>
            <w:tcW w:w="91" w:type="dxa"/>
            <w:tcBorders/>
            <w:vAlign w:val="bottom"/>
          </w:tcPr>
          <w:p>
            <w:pPr>
              <w:pStyle w:val="Normal"/>
              <w:widowControl w:val="false"/>
              <w:jc w:val="right"/>
              <w:rPr>
                <w:sz w:val="20"/>
                <w:szCs w:val="20"/>
              </w:rPr>
            </w:pPr>
            <w:r>
              <w:rPr>
                <w:sz w:val="20"/>
                <w:szCs w:val="20"/>
              </w:rPr>
            </w:r>
          </w:p>
        </w:tc>
        <w:tc>
          <w:tcPr>
            <w:tcW w:w="628" w:type="dxa"/>
            <w:tcBorders>
              <w:bottom w:val="single" w:sz="4" w:space="0" w:color="000000"/>
            </w:tcBorders>
            <w:vAlign w:val="bottom"/>
          </w:tcPr>
          <w:p>
            <w:pPr>
              <w:pStyle w:val="Normal"/>
              <w:widowControl w:val="false"/>
              <w:jc w:val="right"/>
              <w:rPr>
                <w:sz w:val="20"/>
                <w:szCs w:val="20"/>
              </w:rPr>
            </w:pPr>
            <w:r>
              <w:rPr>
                <w:sz w:val="20"/>
                <w:szCs w:val="20"/>
              </w:rPr>
              <w:t>12</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29" w:type="dxa"/>
            <w:tcBorders>
              <w:bottom w:val="single" w:sz="4" w:space="0" w:color="000000"/>
            </w:tcBorders>
            <w:vAlign w:val="bottom"/>
          </w:tcPr>
          <w:p>
            <w:pPr>
              <w:pStyle w:val="Normal"/>
              <w:widowControl w:val="false"/>
              <w:jc w:val="right"/>
              <w:rPr>
                <w:sz w:val="20"/>
                <w:szCs w:val="20"/>
              </w:rPr>
            </w:pPr>
            <w:r>
              <w:rPr>
                <w:sz w:val="20"/>
                <w:szCs w:val="20"/>
              </w:rPr>
              <w:t>36</w:t>
            </w:r>
          </w:p>
        </w:tc>
        <w:tc>
          <w:tcPr>
            <w:tcW w:w="692" w:type="dxa"/>
            <w:tcBorders>
              <w:bottom w:val="single" w:sz="4" w:space="0" w:color="000000"/>
            </w:tcBorders>
            <w:vAlign w:val="bottom"/>
          </w:tcPr>
          <w:p>
            <w:pPr>
              <w:pStyle w:val="Normal"/>
              <w:widowControl w:val="false"/>
              <w:jc w:val="right"/>
              <w:rPr>
                <w:sz w:val="20"/>
                <w:szCs w:val="20"/>
              </w:rPr>
            </w:pPr>
            <w:r>
              <w:rPr>
                <w:sz w:val="20"/>
                <w:szCs w:val="20"/>
              </w:rPr>
              <w:t>45</w:t>
            </w:r>
          </w:p>
        </w:tc>
      </w:tr>
      <w:tr>
        <w:trPr>
          <w:trHeight w:val="256" w:hRule="atLeast"/>
        </w:trPr>
        <w:tc>
          <w:tcPr>
            <w:tcW w:w="896" w:type="dxa"/>
            <w:vMerge w:val="continue"/>
            <w:tcBorders/>
            <w:vAlign w:val="center"/>
          </w:tcPr>
          <w:p>
            <w:pPr>
              <w:pStyle w:val="Normal"/>
              <w:widowControl w:val="false"/>
              <w:jc w:val="center"/>
              <w:rPr>
                <w:b/>
                <w:b/>
                <w:sz w:val="20"/>
                <w:szCs w:val="20"/>
              </w:rPr>
            </w:pPr>
            <w:r>
              <w:rPr>
                <w:b/>
                <w:sz w:val="20"/>
                <w:szCs w:val="20"/>
              </w:rPr>
            </w:r>
          </w:p>
        </w:tc>
        <w:tc>
          <w:tcPr>
            <w:tcW w:w="751" w:type="dxa"/>
            <w:tcBorders/>
            <w:vAlign w:val="bottom"/>
          </w:tcPr>
          <w:p>
            <w:pPr>
              <w:pStyle w:val="Normal"/>
              <w:widowControl w:val="false"/>
              <w:rPr>
                <w:sz w:val="20"/>
                <w:szCs w:val="20"/>
              </w:rPr>
            </w:pPr>
            <w:r>
              <w:rPr>
                <w:sz w:val="20"/>
                <w:szCs w:val="20"/>
              </w:rPr>
              <w:t>mean</w:t>
            </w:r>
          </w:p>
        </w:tc>
        <w:tc>
          <w:tcPr>
            <w:tcW w:w="609" w:type="dxa"/>
            <w:tcBorders>
              <w:top w:val="single" w:sz="4" w:space="0" w:color="000000"/>
            </w:tcBorders>
            <w:vAlign w:val="bottom"/>
          </w:tcPr>
          <w:p>
            <w:pPr>
              <w:pStyle w:val="Normal"/>
              <w:widowControl w:val="false"/>
              <w:jc w:val="right"/>
              <w:rPr>
                <w:sz w:val="20"/>
                <w:szCs w:val="20"/>
              </w:rPr>
            </w:pPr>
            <w:r>
              <w:rPr>
                <w:sz w:val="20"/>
                <w:szCs w:val="20"/>
              </w:rPr>
              <w:t>NA</w:t>
            </w:r>
          </w:p>
        </w:tc>
        <w:tc>
          <w:tcPr>
            <w:tcW w:w="631" w:type="dxa"/>
            <w:tcBorders>
              <w:top w:val="single" w:sz="4" w:space="0" w:color="000000"/>
            </w:tcBorders>
            <w:vAlign w:val="bottom"/>
          </w:tcPr>
          <w:p>
            <w:pPr>
              <w:pStyle w:val="Normal"/>
              <w:widowControl w:val="false"/>
              <w:jc w:val="right"/>
              <w:rPr>
                <w:sz w:val="20"/>
                <w:szCs w:val="20"/>
              </w:rPr>
            </w:pPr>
            <w:r>
              <w:rPr>
                <w:sz w:val="20"/>
                <w:szCs w:val="20"/>
              </w:rPr>
              <w:t>163.0</w:t>
            </w:r>
          </w:p>
        </w:tc>
        <w:tc>
          <w:tcPr>
            <w:tcW w:w="660" w:type="dxa"/>
            <w:tcBorders>
              <w:top w:val="single" w:sz="4" w:space="0" w:color="000000"/>
            </w:tcBorders>
            <w:vAlign w:val="bottom"/>
          </w:tcPr>
          <w:p>
            <w:pPr>
              <w:pStyle w:val="Normal"/>
              <w:widowControl w:val="false"/>
              <w:jc w:val="right"/>
              <w:rPr>
                <w:sz w:val="20"/>
                <w:szCs w:val="20"/>
              </w:rPr>
            </w:pPr>
            <w:r>
              <w:rPr>
                <w:sz w:val="20"/>
                <w:szCs w:val="20"/>
              </w:rPr>
              <w:t>106.7</w:t>
            </w:r>
          </w:p>
        </w:tc>
        <w:tc>
          <w:tcPr>
            <w:tcW w:w="632" w:type="dxa"/>
            <w:tcBorders>
              <w:top w:val="single" w:sz="4" w:space="0" w:color="000000"/>
            </w:tcBorders>
            <w:vAlign w:val="bottom"/>
          </w:tcPr>
          <w:p>
            <w:pPr>
              <w:pStyle w:val="Normal"/>
              <w:widowControl w:val="false"/>
              <w:jc w:val="right"/>
              <w:rPr>
                <w:sz w:val="20"/>
                <w:szCs w:val="20"/>
              </w:rPr>
            </w:pPr>
            <w:r>
              <w:rPr>
                <w:sz w:val="20"/>
                <w:szCs w:val="20"/>
              </w:rPr>
              <w:t>57.0</w:t>
            </w:r>
          </w:p>
        </w:tc>
        <w:tc>
          <w:tcPr>
            <w:tcW w:w="79" w:type="dxa"/>
            <w:tcBorders/>
            <w:vAlign w:val="bottom"/>
          </w:tcPr>
          <w:p>
            <w:pPr>
              <w:pStyle w:val="Normal"/>
              <w:widowControl w:val="false"/>
              <w:jc w:val="right"/>
              <w:rPr>
                <w:sz w:val="20"/>
                <w:szCs w:val="20"/>
              </w:rPr>
            </w:pPr>
            <w:r>
              <w:rPr>
                <w:sz w:val="20"/>
                <w:szCs w:val="20"/>
              </w:rPr>
            </w:r>
          </w:p>
        </w:tc>
        <w:tc>
          <w:tcPr>
            <w:tcW w:w="609" w:type="dxa"/>
            <w:tcBorders>
              <w:top w:val="single" w:sz="4" w:space="0" w:color="000000"/>
            </w:tcBorders>
            <w:vAlign w:val="bottom"/>
          </w:tcPr>
          <w:p>
            <w:pPr>
              <w:pStyle w:val="Normal"/>
              <w:widowControl w:val="false"/>
              <w:jc w:val="right"/>
              <w:rPr>
                <w:sz w:val="20"/>
                <w:szCs w:val="20"/>
              </w:rPr>
            </w:pPr>
            <w:r>
              <w:rPr>
                <w:sz w:val="20"/>
                <w:szCs w:val="20"/>
              </w:rPr>
              <w:t>NA</w:t>
            </w:r>
          </w:p>
        </w:tc>
        <w:tc>
          <w:tcPr>
            <w:tcW w:w="635" w:type="dxa"/>
            <w:tcBorders>
              <w:top w:val="single" w:sz="4" w:space="0" w:color="000000"/>
            </w:tcBorders>
            <w:vAlign w:val="bottom"/>
          </w:tcPr>
          <w:p>
            <w:pPr>
              <w:pStyle w:val="Normal"/>
              <w:widowControl w:val="false"/>
              <w:jc w:val="right"/>
              <w:rPr>
                <w:sz w:val="20"/>
                <w:szCs w:val="20"/>
              </w:rPr>
            </w:pPr>
            <w:r>
              <w:rPr>
                <w:sz w:val="20"/>
                <w:szCs w:val="20"/>
              </w:rPr>
              <w:t>161.4</w:t>
            </w:r>
          </w:p>
        </w:tc>
        <w:tc>
          <w:tcPr>
            <w:tcW w:w="637" w:type="dxa"/>
            <w:tcBorders>
              <w:top w:val="single" w:sz="4" w:space="0" w:color="000000"/>
            </w:tcBorders>
            <w:vAlign w:val="bottom"/>
          </w:tcPr>
          <w:p>
            <w:pPr>
              <w:pStyle w:val="Normal"/>
              <w:widowControl w:val="false"/>
              <w:jc w:val="right"/>
              <w:rPr>
                <w:sz w:val="20"/>
                <w:szCs w:val="20"/>
              </w:rPr>
            </w:pPr>
            <w:r>
              <w:rPr>
                <w:sz w:val="20"/>
                <w:szCs w:val="20"/>
              </w:rPr>
              <w:t>127.0</w:t>
            </w:r>
          </w:p>
        </w:tc>
        <w:tc>
          <w:tcPr>
            <w:tcW w:w="628" w:type="dxa"/>
            <w:tcBorders>
              <w:top w:val="single" w:sz="4" w:space="0" w:color="000000"/>
            </w:tcBorders>
            <w:vAlign w:val="bottom"/>
          </w:tcPr>
          <w:p>
            <w:pPr>
              <w:pStyle w:val="Normal"/>
              <w:widowControl w:val="false"/>
              <w:jc w:val="right"/>
              <w:rPr>
                <w:sz w:val="20"/>
                <w:szCs w:val="20"/>
              </w:rPr>
            </w:pPr>
            <w:r>
              <w:rPr>
                <w:sz w:val="20"/>
                <w:szCs w:val="20"/>
              </w:rPr>
              <w:t>74.6</w:t>
            </w:r>
          </w:p>
        </w:tc>
        <w:tc>
          <w:tcPr>
            <w:tcW w:w="92" w:type="dxa"/>
            <w:tcBorders/>
            <w:vAlign w:val="bottom"/>
          </w:tcPr>
          <w:p>
            <w:pPr>
              <w:pStyle w:val="Normal"/>
              <w:widowControl w:val="false"/>
              <w:jc w:val="right"/>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t>NA</w:t>
            </w:r>
          </w:p>
        </w:tc>
        <w:tc>
          <w:tcPr>
            <w:tcW w:w="631" w:type="dxa"/>
            <w:tcBorders>
              <w:top w:val="single" w:sz="4" w:space="0" w:color="000000"/>
            </w:tcBorders>
            <w:vAlign w:val="bottom"/>
          </w:tcPr>
          <w:p>
            <w:pPr>
              <w:pStyle w:val="Normal"/>
              <w:widowControl w:val="false"/>
              <w:jc w:val="right"/>
              <w:rPr>
                <w:sz w:val="20"/>
                <w:szCs w:val="20"/>
              </w:rPr>
            </w:pPr>
            <w:r>
              <w:rPr>
                <w:sz w:val="20"/>
                <w:szCs w:val="20"/>
              </w:rPr>
              <w:t>NA</w:t>
            </w:r>
          </w:p>
        </w:tc>
        <w:tc>
          <w:tcPr>
            <w:tcW w:w="632" w:type="dxa"/>
            <w:tcBorders>
              <w:top w:val="single" w:sz="4" w:space="0" w:color="000000"/>
            </w:tcBorders>
            <w:vAlign w:val="bottom"/>
          </w:tcPr>
          <w:p>
            <w:pPr>
              <w:pStyle w:val="Normal"/>
              <w:widowControl w:val="false"/>
              <w:jc w:val="right"/>
              <w:rPr>
                <w:sz w:val="20"/>
                <w:szCs w:val="20"/>
              </w:rPr>
            </w:pPr>
            <w:r>
              <w:rPr>
                <w:sz w:val="20"/>
                <w:szCs w:val="20"/>
              </w:rPr>
              <w:t>131.6</w:t>
            </w:r>
          </w:p>
        </w:tc>
        <w:tc>
          <w:tcPr>
            <w:tcW w:w="631" w:type="dxa"/>
            <w:tcBorders>
              <w:top w:val="single" w:sz="4" w:space="0" w:color="000000"/>
            </w:tcBorders>
            <w:vAlign w:val="bottom"/>
          </w:tcPr>
          <w:p>
            <w:pPr>
              <w:pStyle w:val="Normal"/>
              <w:widowControl w:val="false"/>
              <w:jc w:val="right"/>
              <w:rPr>
                <w:sz w:val="20"/>
                <w:szCs w:val="20"/>
              </w:rPr>
            </w:pPr>
            <w:r>
              <w:rPr>
                <w:sz w:val="20"/>
                <w:szCs w:val="20"/>
              </w:rPr>
              <w:t>121.0</w:t>
            </w:r>
          </w:p>
        </w:tc>
        <w:tc>
          <w:tcPr>
            <w:tcW w:w="91" w:type="dxa"/>
            <w:tcBorders/>
            <w:vAlign w:val="bottom"/>
          </w:tcPr>
          <w:p>
            <w:pPr>
              <w:pStyle w:val="Normal"/>
              <w:widowControl w:val="false"/>
              <w:jc w:val="right"/>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t>NA</w:t>
            </w:r>
          </w:p>
        </w:tc>
        <w:tc>
          <w:tcPr>
            <w:tcW w:w="634" w:type="dxa"/>
            <w:tcBorders>
              <w:top w:val="single" w:sz="4" w:space="0" w:color="000000"/>
            </w:tcBorders>
            <w:vAlign w:val="bottom"/>
          </w:tcPr>
          <w:p>
            <w:pPr>
              <w:pStyle w:val="Normal"/>
              <w:widowControl w:val="false"/>
              <w:jc w:val="right"/>
              <w:rPr>
                <w:sz w:val="20"/>
                <w:szCs w:val="20"/>
              </w:rPr>
            </w:pPr>
            <w:r>
              <w:rPr>
                <w:sz w:val="20"/>
                <w:szCs w:val="20"/>
              </w:rPr>
              <w:t>NA</w:t>
            </w:r>
          </w:p>
        </w:tc>
        <w:tc>
          <w:tcPr>
            <w:tcW w:w="628" w:type="dxa"/>
            <w:tcBorders>
              <w:top w:val="single" w:sz="4" w:space="0" w:color="000000"/>
            </w:tcBorders>
            <w:vAlign w:val="bottom"/>
          </w:tcPr>
          <w:p>
            <w:pPr>
              <w:pStyle w:val="Normal"/>
              <w:widowControl w:val="false"/>
              <w:jc w:val="right"/>
              <w:rPr>
                <w:sz w:val="20"/>
                <w:szCs w:val="20"/>
              </w:rPr>
            </w:pPr>
            <w:r>
              <w:rPr>
                <w:sz w:val="20"/>
                <w:szCs w:val="20"/>
              </w:rPr>
              <w:t>164.8</w:t>
            </w:r>
          </w:p>
        </w:tc>
        <w:tc>
          <w:tcPr>
            <w:tcW w:w="632" w:type="dxa"/>
            <w:tcBorders>
              <w:top w:val="single" w:sz="4" w:space="0" w:color="000000"/>
            </w:tcBorders>
            <w:vAlign w:val="bottom"/>
          </w:tcPr>
          <w:p>
            <w:pPr>
              <w:pStyle w:val="Normal"/>
              <w:widowControl w:val="false"/>
              <w:jc w:val="right"/>
              <w:rPr>
                <w:sz w:val="20"/>
                <w:szCs w:val="20"/>
              </w:rPr>
            </w:pPr>
            <w:r>
              <w:rPr>
                <w:sz w:val="20"/>
                <w:szCs w:val="20"/>
              </w:rPr>
              <w:t>132.6</w:t>
            </w:r>
          </w:p>
        </w:tc>
        <w:tc>
          <w:tcPr>
            <w:tcW w:w="91" w:type="dxa"/>
            <w:tcBorders/>
            <w:vAlign w:val="bottom"/>
          </w:tcPr>
          <w:p>
            <w:pPr>
              <w:pStyle w:val="Normal"/>
              <w:widowControl w:val="false"/>
              <w:jc w:val="right"/>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t>157.6</w:t>
            </w:r>
          </w:p>
        </w:tc>
        <w:tc>
          <w:tcPr>
            <w:tcW w:w="631" w:type="dxa"/>
            <w:tcBorders>
              <w:top w:val="single" w:sz="4" w:space="0" w:color="000000"/>
            </w:tcBorders>
            <w:vAlign w:val="bottom"/>
          </w:tcPr>
          <w:p>
            <w:pPr>
              <w:pStyle w:val="Normal"/>
              <w:widowControl w:val="false"/>
              <w:jc w:val="right"/>
              <w:rPr>
                <w:sz w:val="20"/>
                <w:szCs w:val="20"/>
              </w:rPr>
            </w:pPr>
            <w:r>
              <w:rPr>
                <w:sz w:val="20"/>
                <w:szCs w:val="20"/>
              </w:rPr>
              <w:t>NA</w:t>
            </w:r>
          </w:p>
        </w:tc>
        <w:tc>
          <w:tcPr>
            <w:tcW w:w="629" w:type="dxa"/>
            <w:tcBorders>
              <w:top w:val="single" w:sz="4" w:space="0" w:color="000000"/>
            </w:tcBorders>
            <w:vAlign w:val="bottom"/>
          </w:tcPr>
          <w:p>
            <w:pPr>
              <w:pStyle w:val="Normal"/>
              <w:widowControl w:val="false"/>
              <w:jc w:val="right"/>
              <w:rPr>
                <w:sz w:val="20"/>
                <w:szCs w:val="20"/>
              </w:rPr>
            </w:pPr>
            <w:r>
              <w:rPr>
                <w:sz w:val="20"/>
                <w:szCs w:val="20"/>
              </w:rPr>
              <w:t>73.2</w:t>
            </w:r>
          </w:p>
        </w:tc>
        <w:tc>
          <w:tcPr>
            <w:tcW w:w="692" w:type="dxa"/>
            <w:tcBorders>
              <w:top w:val="single" w:sz="4" w:space="0" w:color="000000"/>
            </w:tcBorders>
            <w:vAlign w:val="bottom"/>
          </w:tcPr>
          <w:p>
            <w:pPr>
              <w:pStyle w:val="Normal"/>
              <w:widowControl w:val="false"/>
              <w:jc w:val="right"/>
              <w:rPr>
                <w:sz w:val="20"/>
                <w:szCs w:val="20"/>
              </w:rPr>
            </w:pPr>
            <w:r>
              <w:rPr>
                <w:sz w:val="20"/>
                <w:szCs w:val="20"/>
              </w:rPr>
              <w:t>55.6</w:t>
            </w:r>
          </w:p>
        </w:tc>
      </w:tr>
      <w:tr>
        <w:trPr>
          <w:trHeight w:val="256" w:hRule="atLeast"/>
        </w:trPr>
        <w:tc>
          <w:tcPr>
            <w:tcW w:w="896" w:type="dxa"/>
            <w:vMerge w:val="continue"/>
            <w:tcBorders/>
            <w:vAlign w:val="bottom"/>
          </w:tcPr>
          <w:p>
            <w:pPr>
              <w:pStyle w:val="Normal"/>
              <w:widowControl w:val="false"/>
              <w:jc w:val="center"/>
              <w:rPr>
                <w:b/>
                <w:b/>
                <w:sz w:val="20"/>
                <w:szCs w:val="20"/>
              </w:rPr>
            </w:pPr>
            <w:r>
              <w:rPr>
                <w:b/>
                <w:sz w:val="20"/>
                <w:szCs w:val="20"/>
              </w:rPr>
            </w:r>
          </w:p>
        </w:tc>
        <w:tc>
          <w:tcPr>
            <w:tcW w:w="751" w:type="dxa"/>
            <w:tcBorders/>
            <w:vAlign w:val="bottom"/>
          </w:tcPr>
          <w:p>
            <w:pPr>
              <w:pStyle w:val="Normal"/>
              <w:widowControl w:val="false"/>
              <w:rPr>
                <w:sz w:val="20"/>
                <w:szCs w:val="20"/>
              </w:rPr>
            </w:pPr>
            <w:r>
              <w:rPr>
                <w:sz w:val="20"/>
                <w:szCs w:val="20"/>
              </w:rPr>
              <w:t>SE</w:t>
            </w:r>
          </w:p>
        </w:tc>
        <w:tc>
          <w:tcPr>
            <w:tcW w:w="609" w:type="dxa"/>
            <w:tcBorders/>
            <w:vAlign w:val="bottom"/>
          </w:tcPr>
          <w:p>
            <w:pPr>
              <w:pStyle w:val="Normal"/>
              <w:widowControl w:val="false"/>
              <w:jc w:val="right"/>
              <w:rPr>
                <w:sz w:val="20"/>
                <w:szCs w:val="20"/>
              </w:rPr>
            </w:pPr>
            <w:r>
              <w:rPr>
                <w:sz w:val="20"/>
                <w:szCs w:val="20"/>
              </w:rPr>
              <w:t>NA</w:t>
            </w:r>
          </w:p>
        </w:tc>
        <w:tc>
          <w:tcPr>
            <w:tcW w:w="631" w:type="dxa"/>
            <w:tcBorders/>
            <w:vAlign w:val="bottom"/>
          </w:tcPr>
          <w:p>
            <w:pPr>
              <w:pStyle w:val="Normal"/>
              <w:widowControl w:val="false"/>
              <w:jc w:val="right"/>
              <w:rPr>
                <w:sz w:val="20"/>
                <w:szCs w:val="20"/>
              </w:rPr>
            </w:pPr>
            <w:r>
              <w:rPr>
                <w:sz w:val="20"/>
                <w:szCs w:val="20"/>
              </w:rPr>
              <w:t>2.6</w:t>
            </w:r>
          </w:p>
        </w:tc>
        <w:tc>
          <w:tcPr>
            <w:tcW w:w="660" w:type="dxa"/>
            <w:tcBorders/>
            <w:vAlign w:val="bottom"/>
          </w:tcPr>
          <w:p>
            <w:pPr>
              <w:pStyle w:val="Normal"/>
              <w:widowControl w:val="false"/>
              <w:jc w:val="right"/>
              <w:rPr>
                <w:sz w:val="20"/>
                <w:szCs w:val="20"/>
              </w:rPr>
            </w:pPr>
            <w:r>
              <w:rPr>
                <w:sz w:val="20"/>
                <w:szCs w:val="20"/>
              </w:rPr>
              <w:t>5.6</w:t>
            </w:r>
          </w:p>
        </w:tc>
        <w:tc>
          <w:tcPr>
            <w:tcW w:w="632" w:type="dxa"/>
            <w:tcBorders/>
            <w:vAlign w:val="bottom"/>
          </w:tcPr>
          <w:p>
            <w:pPr>
              <w:pStyle w:val="Normal"/>
              <w:widowControl w:val="false"/>
              <w:jc w:val="right"/>
              <w:rPr>
                <w:sz w:val="20"/>
                <w:szCs w:val="20"/>
              </w:rPr>
            </w:pPr>
            <w:r>
              <w:rPr>
                <w:sz w:val="20"/>
                <w:szCs w:val="20"/>
              </w:rPr>
              <w:t>1.5</w:t>
            </w:r>
          </w:p>
        </w:tc>
        <w:tc>
          <w:tcPr>
            <w:tcW w:w="79" w:type="dxa"/>
            <w:tcBorders/>
            <w:vAlign w:val="bottom"/>
          </w:tcPr>
          <w:p>
            <w:pPr>
              <w:pStyle w:val="Normal"/>
              <w:widowControl w:val="false"/>
              <w:jc w:val="right"/>
              <w:rPr>
                <w:sz w:val="20"/>
                <w:szCs w:val="20"/>
              </w:rPr>
            </w:pPr>
            <w:r>
              <w:rPr>
                <w:sz w:val="20"/>
                <w:szCs w:val="20"/>
              </w:rPr>
            </w:r>
          </w:p>
        </w:tc>
        <w:tc>
          <w:tcPr>
            <w:tcW w:w="609" w:type="dxa"/>
            <w:tcBorders/>
            <w:vAlign w:val="bottom"/>
          </w:tcPr>
          <w:p>
            <w:pPr>
              <w:pStyle w:val="Normal"/>
              <w:widowControl w:val="false"/>
              <w:jc w:val="right"/>
              <w:rPr>
                <w:sz w:val="20"/>
                <w:szCs w:val="20"/>
              </w:rPr>
            </w:pPr>
            <w:r>
              <w:rPr>
                <w:sz w:val="20"/>
                <w:szCs w:val="20"/>
              </w:rPr>
              <w:t>NA</w:t>
            </w:r>
          </w:p>
        </w:tc>
        <w:tc>
          <w:tcPr>
            <w:tcW w:w="635" w:type="dxa"/>
            <w:tcBorders/>
            <w:vAlign w:val="bottom"/>
          </w:tcPr>
          <w:p>
            <w:pPr>
              <w:pStyle w:val="Normal"/>
              <w:widowControl w:val="false"/>
              <w:jc w:val="right"/>
              <w:rPr>
                <w:sz w:val="20"/>
                <w:szCs w:val="20"/>
              </w:rPr>
            </w:pPr>
            <w:r>
              <w:rPr>
                <w:sz w:val="20"/>
                <w:szCs w:val="20"/>
              </w:rPr>
              <w:t>2.7</w:t>
            </w:r>
          </w:p>
        </w:tc>
        <w:tc>
          <w:tcPr>
            <w:tcW w:w="637" w:type="dxa"/>
            <w:tcBorders/>
            <w:vAlign w:val="bottom"/>
          </w:tcPr>
          <w:p>
            <w:pPr>
              <w:pStyle w:val="Normal"/>
              <w:widowControl w:val="false"/>
              <w:jc w:val="right"/>
              <w:rPr>
                <w:sz w:val="20"/>
                <w:szCs w:val="20"/>
              </w:rPr>
            </w:pPr>
            <w:r>
              <w:rPr>
                <w:sz w:val="20"/>
                <w:szCs w:val="20"/>
              </w:rPr>
              <w:t>5.8</w:t>
            </w:r>
          </w:p>
        </w:tc>
        <w:tc>
          <w:tcPr>
            <w:tcW w:w="628" w:type="dxa"/>
            <w:tcBorders/>
            <w:vAlign w:val="bottom"/>
          </w:tcPr>
          <w:p>
            <w:pPr>
              <w:pStyle w:val="Normal"/>
              <w:widowControl w:val="false"/>
              <w:jc w:val="right"/>
              <w:rPr>
                <w:sz w:val="20"/>
                <w:szCs w:val="20"/>
              </w:rPr>
            </w:pPr>
            <w:r>
              <w:rPr>
                <w:sz w:val="20"/>
                <w:szCs w:val="20"/>
              </w:rPr>
              <w:t>6.9</w:t>
            </w:r>
          </w:p>
        </w:tc>
        <w:tc>
          <w:tcPr>
            <w:tcW w:w="92" w:type="dxa"/>
            <w:tcBorders/>
            <w:vAlign w:val="bottom"/>
          </w:tcPr>
          <w:p>
            <w:pPr>
              <w:pStyle w:val="Normal"/>
              <w:widowControl w:val="false"/>
              <w:jc w:val="right"/>
              <w:rPr>
                <w:sz w:val="20"/>
                <w:szCs w:val="20"/>
              </w:rPr>
            </w:pPr>
            <w:r>
              <w:rPr>
                <w:sz w:val="20"/>
                <w:szCs w:val="20"/>
              </w:rPr>
            </w:r>
          </w:p>
        </w:tc>
        <w:tc>
          <w:tcPr>
            <w:tcW w:w="628" w:type="dxa"/>
            <w:tcBorders/>
            <w:vAlign w:val="bottom"/>
          </w:tcPr>
          <w:p>
            <w:pPr>
              <w:pStyle w:val="Normal"/>
              <w:widowControl w:val="false"/>
              <w:jc w:val="right"/>
              <w:rPr>
                <w:sz w:val="20"/>
                <w:szCs w:val="20"/>
              </w:rPr>
            </w:pPr>
            <w:r>
              <w:rPr>
                <w:sz w:val="20"/>
                <w:szCs w:val="20"/>
              </w:rPr>
              <w:t>NA</w:t>
            </w:r>
          </w:p>
        </w:tc>
        <w:tc>
          <w:tcPr>
            <w:tcW w:w="631" w:type="dxa"/>
            <w:tcBorders/>
            <w:vAlign w:val="bottom"/>
          </w:tcPr>
          <w:p>
            <w:pPr>
              <w:pStyle w:val="Normal"/>
              <w:widowControl w:val="false"/>
              <w:jc w:val="right"/>
              <w:rPr>
                <w:sz w:val="20"/>
                <w:szCs w:val="20"/>
              </w:rPr>
            </w:pPr>
            <w:r>
              <w:rPr>
                <w:sz w:val="20"/>
                <w:szCs w:val="20"/>
              </w:rPr>
              <w:t>NA</w:t>
            </w:r>
          </w:p>
        </w:tc>
        <w:tc>
          <w:tcPr>
            <w:tcW w:w="632" w:type="dxa"/>
            <w:tcBorders/>
            <w:vAlign w:val="bottom"/>
          </w:tcPr>
          <w:p>
            <w:pPr>
              <w:pStyle w:val="Normal"/>
              <w:widowControl w:val="false"/>
              <w:jc w:val="right"/>
              <w:rPr>
                <w:sz w:val="20"/>
                <w:szCs w:val="20"/>
              </w:rPr>
            </w:pPr>
            <w:r>
              <w:rPr>
                <w:sz w:val="20"/>
                <w:szCs w:val="20"/>
              </w:rPr>
              <w:t>11.7</w:t>
            </w:r>
          </w:p>
        </w:tc>
        <w:tc>
          <w:tcPr>
            <w:tcW w:w="631" w:type="dxa"/>
            <w:tcBorders/>
            <w:vAlign w:val="bottom"/>
          </w:tcPr>
          <w:p>
            <w:pPr>
              <w:pStyle w:val="Normal"/>
              <w:widowControl w:val="false"/>
              <w:jc w:val="right"/>
              <w:rPr>
                <w:sz w:val="20"/>
                <w:szCs w:val="20"/>
              </w:rPr>
            </w:pPr>
            <w:r>
              <w:rPr>
                <w:sz w:val="20"/>
                <w:szCs w:val="20"/>
              </w:rPr>
              <w:t>10.2</w:t>
            </w:r>
          </w:p>
        </w:tc>
        <w:tc>
          <w:tcPr>
            <w:tcW w:w="91" w:type="dxa"/>
            <w:tcBorders/>
            <w:vAlign w:val="bottom"/>
          </w:tcPr>
          <w:p>
            <w:pPr>
              <w:pStyle w:val="Normal"/>
              <w:widowControl w:val="false"/>
              <w:jc w:val="right"/>
              <w:rPr>
                <w:sz w:val="20"/>
                <w:szCs w:val="20"/>
              </w:rPr>
            </w:pPr>
            <w:r>
              <w:rPr>
                <w:sz w:val="20"/>
                <w:szCs w:val="20"/>
              </w:rPr>
            </w:r>
          </w:p>
        </w:tc>
        <w:tc>
          <w:tcPr>
            <w:tcW w:w="629" w:type="dxa"/>
            <w:tcBorders/>
            <w:vAlign w:val="bottom"/>
          </w:tcPr>
          <w:p>
            <w:pPr>
              <w:pStyle w:val="Normal"/>
              <w:widowControl w:val="false"/>
              <w:jc w:val="right"/>
              <w:rPr>
                <w:sz w:val="20"/>
                <w:szCs w:val="20"/>
              </w:rPr>
            </w:pPr>
            <w:r>
              <w:rPr>
                <w:sz w:val="20"/>
                <w:szCs w:val="20"/>
              </w:rPr>
              <w:t>NA</w:t>
            </w:r>
          </w:p>
        </w:tc>
        <w:tc>
          <w:tcPr>
            <w:tcW w:w="634" w:type="dxa"/>
            <w:tcBorders/>
            <w:vAlign w:val="bottom"/>
          </w:tcPr>
          <w:p>
            <w:pPr>
              <w:pStyle w:val="Normal"/>
              <w:widowControl w:val="false"/>
              <w:jc w:val="right"/>
              <w:rPr>
                <w:sz w:val="20"/>
                <w:szCs w:val="20"/>
              </w:rPr>
            </w:pPr>
            <w:r>
              <w:rPr>
                <w:sz w:val="20"/>
                <w:szCs w:val="20"/>
              </w:rPr>
              <w:t>NA</w:t>
            </w:r>
          </w:p>
        </w:tc>
        <w:tc>
          <w:tcPr>
            <w:tcW w:w="628" w:type="dxa"/>
            <w:tcBorders/>
            <w:vAlign w:val="bottom"/>
          </w:tcPr>
          <w:p>
            <w:pPr>
              <w:pStyle w:val="Normal"/>
              <w:widowControl w:val="false"/>
              <w:jc w:val="right"/>
              <w:rPr>
                <w:sz w:val="20"/>
                <w:szCs w:val="20"/>
              </w:rPr>
            </w:pPr>
            <w:r>
              <w:rPr>
                <w:sz w:val="20"/>
                <w:szCs w:val="20"/>
              </w:rPr>
              <w:t>9.7</w:t>
            </w:r>
          </w:p>
        </w:tc>
        <w:tc>
          <w:tcPr>
            <w:tcW w:w="632" w:type="dxa"/>
            <w:tcBorders/>
            <w:vAlign w:val="bottom"/>
          </w:tcPr>
          <w:p>
            <w:pPr>
              <w:pStyle w:val="Normal"/>
              <w:widowControl w:val="false"/>
              <w:jc w:val="right"/>
              <w:rPr>
                <w:sz w:val="20"/>
                <w:szCs w:val="20"/>
              </w:rPr>
            </w:pPr>
            <w:r>
              <w:rPr>
                <w:sz w:val="20"/>
                <w:szCs w:val="20"/>
              </w:rPr>
              <w:t>5.6</w:t>
            </w:r>
          </w:p>
        </w:tc>
        <w:tc>
          <w:tcPr>
            <w:tcW w:w="91" w:type="dxa"/>
            <w:tcBorders/>
            <w:vAlign w:val="bottom"/>
          </w:tcPr>
          <w:p>
            <w:pPr>
              <w:pStyle w:val="Normal"/>
              <w:widowControl w:val="false"/>
              <w:jc w:val="right"/>
              <w:rPr>
                <w:sz w:val="20"/>
                <w:szCs w:val="20"/>
              </w:rPr>
            </w:pPr>
            <w:r>
              <w:rPr>
                <w:sz w:val="20"/>
                <w:szCs w:val="20"/>
              </w:rPr>
            </w:r>
          </w:p>
        </w:tc>
        <w:tc>
          <w:tcPr>
            <w:tcW w:w="628" w:type="dxa"/>
            <w:tcBorders/>
            <w:vAlign w:val="bottom"/>
          </w:tcPr>
          <w:p>
            <w:pPr>
              <w:pStyle w:val="Normal"/>
              <w:widowControl w:val="false"/>
              <w:jc w:val="right"/>
              <w:rPr>
                <w:sz w:val="20"/>
                <w:szCs w:val="20"/>
              </w:rPr>
            </w:pPr>
            <w:r>
              <w:rPr>
                <w:sz w:val="20"/>
                <w:szCs w:val="20"/>
              </w:rPr>
              <w:t>7.7</w:t>
            </w:r>
          </w:p>
        </w:tc>
        <w:tc>
          <w:tcPr>
            <w:tcW w:w="631" w:type="dxa"/>
            <w:tcBorders/>
            <w:vAlign w:val="bottom"/>
          </w:tcPr>
          <w:p>
            <w:pPr>
              <w:pStyle w:val="Normal"/>
              <w:widowControl w:val="false"/>
              <w:jc w:val="right"/>
              <w:rPr>
                <w:sz w:val="20"/>
                <w:szCs w:val="20"/>
              </w:rPr>
            </w:pPr>
            <w:r>
              <w:rPr>
                <w:sz w:val="20"/>
                <w:szCs w:val="20"/>
              </w:rPr>
              <w:t>NA</w:t>
            </w:r>
          </w:p>
        </w:tc>
        <w:tc>
          <w:tcPr>
            <w:tcW w:w="629" w:type="dxa"/>
            <w:tcBorders/>
            <w:vAlign w:val="bottom"/>
          </w:tcPr>
          <w:p>
            <w:pPr>
              <w:pStyle w:val="Normal"/>
              <w:widowControl w:val="false"/>
              <w:jc w:val="right"/>
              <w:rPr>
                <w:sz w:val="20"/>
                <w:szCs w:val="20"/>
              </w:rPr>
            </w:pPr>
            <w:r>
              <w:rPr>
                <w:sz w:val="20"/>
                <w:szCs w:val="20"/>
              </w:rPr>
              <w:t>4.5</w:t>
            </w:r>
          </w:p>
        </w:tc>
        <w:tc>
          <w:tcPr>
            <w:tcW w:w="692" w:type="dxa"/>
            <w:tcBorders/>
            <w:vAlign w:val="bottom"/>
          </w:tcPr>
          <w:p>
            <w:pPr>
              <w:pStyle w:val="Normal"/>
              <w:widowControl w:val="false"/>
              <w:jc w:val="right"/>
              <w:rPr>
                <w:sz w:val="20"/>
                <w:szCs w:val="20"/>
              </w:rPr>
            </w:pPr>
            <w:r>
              <w:rPr>
                <w:sz w:val="20"/>
                <w:szCs w:val="20"/>
              </w:rPr>
              <w:t>4.1</w:t>
            </w:r>
          </w:p>
        </w:tc>
      </w:tr>
      <w:tr>
        <w:trPr>
          <w:trHeight w:val="256" w:hRule="atLeast"/>
        </w:trPr>
        <w:tc>
          <w:tcPr>
            <w:tcW w:w="896" w:type="dxa"/>
            <w:vMerge w:val="continue"/>
            <w:tcBorders/>
            <w:vAlign w:val="bottom"/>
          </w:tcPr>
          <w:p>
            <w:pPr>
              <w:pStyle w:val="Normal"/>
              <w:widowControl w:val="false"/>
              <w:jc w:val="center"/>
              <w:rPr>
                <w:b/>
                <w:b/>
                <w:sz w:val="20"/>
                <w:szCs w:val="20"/>
              </w:rPr>
            </w:pPr>
            <w:r>
              <w:rPr>
                <w:b/>
                <w:sz w:val="20"/>
                <w:szCs w:val="20"/>
              </w:rPr>
            </w:r>
          </w:p>
        </w:tc>
        <w:tc>
          <w:tcPr>
            <w:tcW w:w="751" w:type="dxa"/>
            <w:tcBorders/>
            <w:vAlign w:val="bottom"/>
          </w:tcPr>
          <w:p>
            <w:pPr>
              <w:pStyle w:val="Normal"/>
              <w:widowControl w:val="false"/>
              <w:rPr>
                <w:sz w:val="20"/>
                <w:szCs w:val="20"/>
              </w:rPr>
            </w:pPr>
            <w:r>
              <w:rPr>
                <w:sz w:val="20"/>
                <w:szCs w:val="20"/>
              </w:rPr>
              <w:t>Total</w:t>
            </w:r>
          </w:p>
        </w:tc>
        <w:tc>
          <w:tcPr>
            <w:tcW w:w="60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489</w:t>
            </w:r>
          </w:p>
        </w:tc>
        <w:tc>
          <w:tcPr>
            <w:tcW w:w="660" w:type="dxa"/>
            <w:tcBorders>
              <w:bottom w:val="single" w:sz="4" w:space="0" w:color="000000"/>
            </w:tcBorders>
            <w:vAlign w:val="bottom"/>
          </w:tcPr>
          <w:p>
            <w:pPr>
              <w:pStyle w:val="Normal"/>
              <w:widowControl w:val="false"/>
              <w:jc w:val="right"/>
              <w:rPr>
                <w:sz w:val="20"/>
                <w:szCs w:val="20"/>
              </w:rPr>
            </w:pPr>
            <w:r>
              <w:rPr>
                <w:sz w:val="20"/>
                <w:szCs w:val="20"/>
              </w:rPr>
              <w:t>320</w:t>
            </w:r>
          </w:p>
        </w:tc>
        <w:tc>
          <w:tcPr>
            <w:tcW w:w="632" w:type="dxa"/>
            <w:tcBorders>
              <w:bottom w:val="single" w:sz="4" w:space="0" w:color="000000"/>
            </w:tcBorders>
            <w:vAlign w:val="bottom"/>
          </w:tcPr>
          <w:p>
            <w:pPr>
              <w:pStyle w:val="Normal"/>
              <w:widowControl w:val="false"/>
              <w:jc w:val="right"/>
              <w:rPr>
                <w:sz w:val="20"/>
                <w:szCs w:val="20"/>
              </w:rPr>
            </w:pPr>
            <w:r>
              <w:rPr>
                <w:sz w:val="20"/>
                <w:szCs w:val="20"/>
              </w:rPr>
              <w:t>171</w:t>
            </w:r>
          </w:p>
        </w:tc>
        <w:tc>
          <w:tcPr>
            <w:tcW w:w="79" w:type="dxa"/>
            <w:tcBorders>
              <w:bottom w:val="single" w:sz="4" w:space="0" w:color="000000"/>
            </w:tcBorders>
            <w:vAlign w:val="bottom"/>
          </w:tcPr>
          <w:p>
            <w:pPr>
              <w:pStyle w:val="Normal"/>
              <w:widowControl w:val="false"/>
              <w:jc w:val="right"/>
              <w:rPr>
                <w:sz w:val="20"/>
                <w:szCs w:val="20"/>
              </w:rPr>
            </w:pPr>
            <w:r>
              <w:rPr>
                <w:sz w:val="20"/>
                <w:szCs w:val="20"/>
              </w:rPr>
            </w:r>
          </w:p>
        </w:tc>
        <w:tc>
          <w:tcPr>
            <w:tcW w:w="60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5" w:type="dxa"/>
            <w:tcBorders>
              <w:bottom w:val="single" w:sz="4" w:space="0" w:color="000000"/>
            </w:tcBorders>
            <w:vAlign w:val="bottom"/>
          </w:tcPr>
          <w:p>
            <w:pPr>
              <w:pStyle w:val="Normal"/>
              <w:widowControl w:val="false"/>
              <w:jc w:val="right"/>
              <w:rPr>
                <w:sz w:val="20"/>
                <w:szCs w:val="20"/>
              </w:rPr>
            </w:pPr>
            <w:r>
              <w:rPr>
                <w:sz w:val="20"/>
                <w:szCs w:val="20"/>
              </w:rPr>
              <w:t>807</w:t>
            </w:r>
          </w:p>
        </w:tc>
        <w:tc>
          <w:tcPr>
            <w:tcW w:w="637" w:type="dxa"/>
            <w:tcBorders>
              <w:bottom w:val="single" w:sz="4" w:space="0" w:color="000000"/>
            </w:tcBorders>
            <w:vAlign w:val="bottom"/>
          </w:tcPr>
          <w:p>
            <w:pPr>
              <w:pStyle w:val="Normal"/>
              <w:widowControl w:val="false"/>
              <w:jc w:val="right"/>
              <w:rPr>
                <w:sz w:val="20"/>
                <w:szCs w:val="20"/>
              </w:rPr>
            </w:pPr>
            <w:r>
              <w:rPr>
                <w:sz w:val="20"/>
                <w:szCs w:val="20"/>
              </w:rPr>
              <w:t>635</w:t>
            </w:r>
          </w:p>
        </w:tc>
        <w:tc>
          <w:tcPr>
            <w:tcW w:w="628" w:type="dxa"/>
            <w:tcBorders>
              <w:bottom w:val="single" w:sz="4" w:space="0" w:color="000000"/>
            </w:tcBorders>
            <w:vAlign w:val="bottom"/>
          </w:tcPr>
          <w:p>
            <w:pPr>
              <w:pStyle w:val="Normal"/>
              <w:widowControl w:val="false"/>
              <w:jc w:val="right"/>
              <w:rPr>
                <w:sz w:val="20"/>
                <w:szCs w:val="20"/>
              </w:rPr>
            </w:pPr>
            <w:r>
              <w:rPr>
                <w:sz w:val="20"/>
                <w:szCs w:val="20"/>
              </w:rPr>
              <w:t>373</w:t>
            </w:r>
          </w:p>
        </w:tc>
        <w:tc>
          <w:tcPr>
            <w:tcW w:w="92" w:type="dxa"/>
            <w:tcBorders>
              <w:bottom w:val="single" w:sz="4" w:space="0" w:color="000000"/>
            </w:tcBorders>
            <w:vAlign w:val="bottom"/>
          </w:tcPr>
          <w:p>
            <w:pPr>
              <w:pStyle w:val="Normal"/>
              <w:widowControl w:val="false"/>
              <w:jc w:val="right"/>
              <w:rPr>
                <w:sz w:val="20"/>
                <w:szCs w:val="20"/>
              </w:rPr>
            </w:pPr>
            <w:r>
              <w:rPr>
                <w:sz w:val="20"/>
                <w:szCs w:val="20"/>
              </w:rPr>
            </w:r>
          </w:p>
        </w:tc>
        <w:tc>
          <w:tcPr>
            <w:tcW w:w="628" w:type="dxa"/>
            <w:tcBorders>
              <w:bottom w:val="single" w:sz="4" w:space="0" w:color="000000"/>
            </w:tcBorders>
            <w:vAlign w:val="bottom"/>
          </w:tcPr>
          <w:p>
            <w:pPr>
              <w:pStyle w:val="Normal"/>
              <w:widowControl w:val="false"/>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jc w:val="right"/>
              <w:rPr>
                <w:sz w:val="20"/>
                <w:szCs w:val="20"/>
              </w:rPr>
            </w:pPr>
            <w:r>
              <w:rPr>
                <w:sz w:val="20"/>
                <w:szCs w:val="20"/>
              </w:rPr>
              <w:t>658</w:t>
            </w:r>
          </w:p>
        </w:tc>
        <w:tc>
          <w:tcPr>
            <w:tcW w:w="631" w:type="dxa"/>
            <w:tcBorders>
              <w:bottom w:val="single" w:sz="4" w:space="0" w:color="000000"/>
            </w:tcBorders>
            <w:vAlign w:val="bottom"/>
          </w:tcPr>
          <w:p>
            <w:pPr>
              <w:pStyle w:val="Normal"/>
              <w:widowControl w:val="false"/>
              <w:jc w:val="right"/>
              <w:rPr>
                <w:sz w:val="20"/>
                <w:szCs w:val="20"/>
              </w:rPr>
            </w:pPr>
            <w:r>
              <w:rPr>
                <w:sz w:val="20"/>
                <w:szCs w:val="20"/>
              </w:rPr>
              <w:t>605</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29" w:type="dxa"/>
            <w:tcBorders>
              <w:bottom w:val="single" w:sz="4" w:space="0" w:color="000000"/>
            </w:tcBorders>
            <w:vAlign w:val="bottom"/>
          </w:tcPr>
          <w:p>
            <w:pPr>
              <w:pStyle w:val="Normal"/>
              <w:widowControl w:val="false"/>
              <w:jc w:val="right"/>
              <w:rPr>
                <w:sz w:val="20"/>
                <w:szCs w:val="20"/>
              </w:rPr>
            </w:pPr>
            <w:r>
              <w:rPr>
                <w:sz w:val="20"/>
                <w:szCs w:val="20"/>
              </w:rPr>
              <w:t>NA</w:t>
            </w:r>
          </w:p>
        </w:tc>
        <w:tc>
          <w:tcPr>
            <w:tcW w:w="634" w:type="dxa"/>
            <w:tcBorders>
              <w:bottom w:val="single" w:sz="4" w:space="0" w:color="000000"/>
            </w:tcBorders>
            <w:vAlign w:val="bottom"/>
          </w:tcPr>
          <w:p>
            <w:pPr>
              <w:pStyle w:val="Normal"/>
              <w:widowControl w:val="false"/>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jc w:val="right"/>
              <w:rPr>
                <w:sz w:val="20"/>
                <w:szCs w:val="20"/>
              </w:rPr>
            </w:pPr>
            <w:r>
              <w:rPr>
                <w:sz w:val="20"/>
                <w:szCs w:val="20"/>
              </w:rPr>
              <w:t>824</w:t>
            </w:r>
          </w:p>
        </w:tc>
        <w:tc>
          <w:tcPr>
            <w:tcW w:w="632" w:type="dxa"/>
            <w:tcBorders>
              <w:bottom w:val="single" w:sz="4" w:space="0" w:color="000000"/>
            </w:tcBorders>
            <w:vAlign w:val="bottom"/>
          </w:tcPr>
          <w:p>
            <w:pPr>
              <w:pStyle w:val="Normal"/>
              <w:widowControl w:val="false"/>
              <w:jc w:val="right"/>
              <w:rPr>
                <w:sz w:val="20"/>
                <w:szCs w:val="20"/>
              </w:rPr>
            </w:pPr>
            <w:r>
              <w:rPr>
                <w:sz w:val="20"/>
                <w:szCs w:val="20"/>
              </w:rPr>
              <w:t>663</w:t>
            </w:r>
          </w:p>
        </w:tc>
        <w:tc>
          <w:tcPr>
            <w:tcW w:w="91" w:type="dxa"/>
            <w:tcBorders>
              <w:bottom w:val="single" w:sz="4" w:space="0" w:color="000000"/>
            </w:tcBorders>
            <w:vAlign w:val="bottom"/>
          </w:tcPr>
          <w:p>
            <w:pPr>
              <w:pStyle w:val="Normal"/>
              <w:widowControl w:val="false"/>
              <w:jc w:val="right"/>
              <w:rPr>
                <w:sz w:val="20"/>
                <w:szCs w:val="20"/>
              </w:rPr>
            </w:pPr>
            <w:r>
              <w:rPr>
                <w:sz w:val="20"/>
                <w:szCs w:val="20"/>
              </w:rPr>
            </w:r>
          </w:p>
        </w:tc>
        <w:tc>
          <w:tcPr>
            <w:tcW w:w="628" w:type="dxa"/>
            <w:tcBorders>
              <w:bottom w:val="single" w:sz="4" w:space="0" w:color="000000"/>
            </w:tcBorders>
            <w:vAlign w:val="bottom"/>
          </w:tcPr>
          <w:p>
            <w:pPr>
              <w:pStyle w:val="Normal"/>
              <w:widowControl w:val="false"/>
              <w:jc w:val="right"/>
              <w:rPr>
                <w:sz w:val="20"/>
                <w:szCs w:val="20"/>
              </w:rPr>
            </w:pPr>
            <w:r>
              <w:rPr>
                <w:sz w:val="20"/>
                <w:szCs w:val="20"/>
              </w:rPr>
              <w:t>788</w:t>
            </w:r>
          </w:p>
        </w:tc>
        <w:tc>
          <w:tcPr>
            <w:tcW w:w="631" w:type="dxa"/>
            <w:tcBorders>
              <w:bottom w:val="single" w:sz="4" w:space="0" w:color="000000"/>
            </w:tcBorders>
            <w:vAlign w:val="bottom"/>
          </w:tcPr>
          <w:p>
            <w:pPr>
              <w:pStyle w:val="Normal"/>
              <w:widowControl w:val="false"/>
              <w:jc w:val="right"/>
              <w:rPr>
                <w:sz w:val="20"/>
                <w:szCs w:val="20"/>
              </w:rPr>
            </w:pPr>
            <w:r>
              <w:rPr>
                <w:sz w:val="20"/>
                <w:szCs w:val="20"/>
              </w:rPr>
              <w:t>NA</w:t>
            </w:r>
          </w:p>
        </w:tc>
        <w:tc>
          <w:tcPr>
            <w:tcW w:w="629" w:type="dxa"/>
            <w:tcBorders>
              <w:bottom w:val="single" w:sz="4" w:space="0" w:color="000000"/>
            </w:tcBorders>
            <w:vAlign w:val="bottom"/>
          </w:tcPr>
          <w:p>
            <w:pPr>
              <w:pStyle w:val="Normal"/>
              <w:widowControl w:val="false"/>
              <w:jc w:val="right"/>
              <w:rPr>
                <w:sz w:val="20"/>
                <w:szCs w:val="20"/>
              </w:rPr>
            </w:pPr>
            <w:r>
              <w:rPr>
                <w:sz w:val="20"/>
                <w:szCs w:val="20"/>
              </w:rPr>
              <w:t>366</w:t>
            </w:r>
          </w:p>
        </w:tc>
        <w:tc>
          <w:tcPr>
            <w:tcW w:w="692" w:type="dxa"/>
            <w:tcBorders>
              <w:bottom w:val="single" w:sz="4" w:space="0" w:color="000000"/>
            </w:tcBorders>
            <w:vAlign w:val="bottom"/>
          </w:tcPr>
          <w:p>
            <w:pPr>
              <w:pStyle w:val="Normal"/>
              <w:widowControl w:val="false"/>
              <w:jc w:val="right"/>
              <w:rPr>
                <w:sz w:val="20"/>
                <w:szCs w:val="20"/>
              </w:rPr>
            </w:pPr>
            <w:r>
              <w:rPr>
                <w:sz w:val="20"/>
                <w:szCs w:val="20"/>
              </w:rPr>
              <w:t>278</w:t>
            </w:r>
          </w:p>
        </w:tc>
      </w:tr>
      <w:tr>
        <w:trPr>
          <w:trHeight w:val="230" w:hRule="atLeast"/>
        </w:trPr>
        <w:tc>
          <w:tcPr>
            <w:tcW w:w="896" w:type="dxa"/>
            <w:vMerge w:val="restart"/>
            <w:tcBorders>
              <w:bottom w:val="single" w:sz="4" w:space="0" w:color="000000"/>
            </w:tcBorders>
            <w:vAlign w:val="bottom"/>
          </w:tcPr>
          <w:p>
            <w:pPr>
              <w:pStyle w:val="Normal"/>
              <w:widowControl w:val="false"/>
              <w:spacing w:lineRule="auto" w:line="240"/>
              <w:jc w:val="center"/>
              <w:rPr>
                <w:b/>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51" w:type="dxa"/>
            <w:tcBorders/>
          </w:tcPr>
          <w:p>
            <w:pPr>
              <w:pStyle w:val="Normal"/>
              <w:widowControl w:val="false"/>
              <w:rPr>
                <w:sz w:val="24"/>
                <w:szCs w:val="24"/>
              </w:rPr>
            </w:pPr>
            <w:r>
              <w:rPr>
                <w:sz w:val="24"/>
                <w:szCs w:val="24"/>
              </w:rPr>
            </w:r>
          </w:p>
        </w:tc>
        <w:tc>
          <w:tcPr>
            <w:tcW w:w="609"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60"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79" w:type="dxa"/>
            <w:tcBorders/>
          </w:tcPr>
          <w:p>
            <w:pPr>
              <w:pStyle w:val="Normal"/>
              <w:widowControl w:val="false"/>
              <w:rPr>
                <w:sz w:val="24"/>
                <w:szCs w:val="24"/>
              </w:rPr>
            </w:pPr>
            <w:r>
              <w:rPr>
                <w:sz w:val="24"/>
                <w:szCs w:val="24"/>
              </w:rPr>
            </w:r>
          </w:p>
        </w:tc>
        <w:tc>
          <w:tcPr>
            <w:tcW w:w="609" w:type="dxa"/>
            <w:tcBorders/>
          </w:tcPr>
          <w:p>
            <w:pPr>
              <w:pStyle w:val="Normal"/>
              <w:widowControl w:val="false"/>
              <w:rPr>
                <w:sz w:val="24"/>
                <w:szCs w:val="24"/>
              </w:rPr>
            </w:pPr>
            <w:r>
              <w:rPr>
                <w:sz w:val="24"/>
                <w:szCs w:val="24"/>
              </w:rPr>
            </w:r>
          </w:p>
        </w:tc>
        <w:tc>
          <w:tcPr>
            <w:tcW w:w="635" w:type="dxa"/>
            <w:tcBorders/>
          </w:tcPr>
          <w:p>
            <w:pPr>
              <w:pStyle w:val="Normal"/>
              <w:widowControl w:val="false"/>
              <w:rPr>
                <w:sz w:val="24"/>
                <w:szCs w:val="24"/>
              </w:rPr>
            </w:pPr>
            <w:r>
              <w:rPr>
                <w:sz w:val="24"/>
                <w:szCs w:val="24"/>
              </w:rPr>
            </w:r>
          </w:p>
        </w:tc>
        <w:tc>
          <w:tcPr>
            <w:tcW w:w="637"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92"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29" w:type="dxa"/>
            <w:tcBorders/>
          </w:tcPr>
          <w:p>
            <w:pPr>
              <w:pStyle w:val="Normal"/>
              <w:widowControl w:val="false"/>
              <w:rPr>
                <w:sz w:val="24"/>
                <w:szCs w:val="24"/>
              </w:rPr>
            </w:pPr>
            <w:r>
              <w:rPr>
                <w:sz w:val="24"/>
                <w:szCs w:val="24"/>
              </w:rPr>
            </w:r>
          </w:p>
        </w:tc>
        <w:tc>
          <w:tcPr>
            <w:tcW w:w="634"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29" w:type="dxa"/>
            <w:tcBorders/>
          </w:tcPr>
          <w:p>
            <w:pPr>
              <w:pStyle w:val="Normal"/>
              <w:widowControl w:val="false"/>
              <w:rPr>
                <w:sz w:val="24"/>
                <w:szCs w:val="24"/>
              </w:rPr>
            </w:pPr>
            <w:r>
              <w:rPr>
                <w:sz w:val="24"/>
                <w:szCs w:val="24"/>
              </w:rPr>
            </w:r>
          </w:p>
        </w:tc>
        <w:tc>
          <w:tcPr>
            <w:tcW w:w="692" w:type="dxa"/>
            <w:tcBorders/>
          </w:tcPr>
          <w:p>
            <w:pPr>
              <w:pStyle w:val="Normal"/>
              <w:widowControl w:val="false"/>
              <w:rPr>
                <w:sz w:val="24"/>
                <w:szCs w:val="24"/>
              </w:rPr>
            </w:pPr>
            <w:r>
              <w:rPr>
                <w:sz w:val="24"/>
                <w:szCs w:val="24"/>
              </w:rPr>
            </w:r>
          </w:p>
        </w:tc>
      </w:tr>
      <w:tr>
        <w:trPr>
          <w:trHeight w:val="126" w:hRule="atLeast"/>
        </w:trPr>
        <w:tc>
          <w:tcPr>
            <w:tcW w:w="896" w:type="dxa"/>
            <w:vMerge w:val="continue"/>
            <w:tcBorders/>
            <w:vAlign w:val="center"/>
          </w:tcPr>
          <w:p>
            <w:pPr>
              <w:pStyle w:val="Normal"/>
              <w:widowControl w:val="false"/>
              <w:spacing w:lineRule="auto" w:line="240"/>
              <w:jc w:val="center"/>
              <w:rPr>
                <w:sz w:val="20"/>
                <w:szCs w:val="20"/>
              </w:rPr>
            </w:pPr>
            <w:r>
              <w:rPr>
                <w:sz w:val="20"/>
                <w:szCs w:val="20"/>
              </w:rPr>
            </w:r>
          </w:p>
        </w:tc>
        <w:tc>
          <w:tcPr>
            <w:tcW w:w="751" w:type="dxa"/>
            <w:tcBorders/>
            <w:vAlign w:val="bottom"/>
          </w:tcPr>
          <w:p>
            <w:pPr>
              <w:pStyle w:val="Normal"/>
              <w:widowControl w:val="false"/>
              <w:spacing w:lineRule="auto" w:line="240"/>
              <w:rPr>
                <w:sz w:val="20"/>
                <w:szCs w:val="20"/>
              </w:rPr>
            </w:pPr>
            <w:r>
              <w:rPr>
                <w:sz w:val="20"/>
                <w:szCs w:val="20"/>
              </w:rPr>
            </w:r>
          </w:p>
          <w:p>
            <w:pPr>
              <w:pStyle w:val="Normal"/>
              <w:widowControl w:val="false"/>
              <w:spacing w:lineRule="auto" w:line="240"/>
              <w:rPr>
                <w:sz w:val="20"/>
                <w:szCs w:val="20"/>
              </w:rPr>
            </w:pPr>
            <w:r>
              <w:rPr>
                <w:sz w:val="20"/>
                <w:szCs w:val="20"/>
              </w:rPr>
              <w:t>mean</w:t>
            </w:r>
          </w:p>
        </w:tc>
        <w:tc>
          <w:tcPr>
            <w:tcW w:w="609" w:type="dxa"/>
            <w:tcBorders/>
            <w:vAlign w:val="bottom"/>
          </w:tcPr>
          <w:p>
            <w:pPr>
              <w:pStyle w:val="Normal"/>
              <w:widowControl w:val="false"/>
              <w:spacing w:lineRule="auto" w:line="240"/>
              <w:jc w:val="right"/>
              <w:rPr>
                <w:sz w:val="20"/>
                <w:szCs w:val="20"/>
              </w:rPr>
            </w:pPr>
            <w:r>
              <w:rPr>
                <w:sz w:val="20"/>
                <w:szCs w:val="20"/>
              </w:rPr>
              <w:t>NA</w:t>
            </w:r>
          </w:p>
        </w:tc>
        <w:tc>
          <w:tcPr>
            <w:tcW w:w="631" w:type="dxa"/>
            <w:tcBorders/>
            <w:vAlign w:val="bottom"/>
          </w:tcPr>
          <w:p>
            <w:pPr>
              <w:pStyle w:val="Normal"/>
              <w:widowControl w:val="false"/>
              <w:spacing w:lineRule="auto" w:line="240"/>
              <w:jc w:val="right"/>
              <w:rPr>
                <w:sz w:val="20"/>
                <w:szCs w:val="20"/>
              </w:rPr>
            </w:pPr>
            <w:r>
              <w:rPr>
                <w:sz w:val="20"/>
                <w:szCs w:val="20"/>
              </w:rPr>
              <w:t>4.7</w:t>
            </w:r>
          </w:p>
        </w:tc>
        <w:tc>
          <w:tcPr>
            <w:tcW w:w="660" w:type="dxa"/>
            <w:tcBorders/>
            <w:vAlign w:val="bottom"/>
          </w:tcPr>
          <w:p>
            <w:pPr>
              <w:pStyle w:val="Normal"/>
              <w:widowControl w:val="false"/>
              <w:spacing w:lineRule="auto" w:line="240"/>
              <w:jc w:val="right"/>
              <w:rPr>
                <w:sz w:val="20"/>
                <w:szCs w:val="20"/>
              </w:rPr>
            </w:pPr>
            <w:r>
              <w:rPr>
                <w:sz w:val="20"/>
                <w:szCs w:val="20"/>
              </w:rPr>
              <w:t>33.9</w:t>
            </w:r>
          </w:p>
        </w:tc>
        <w:tc>
          <w:tcPr>
            <w:tcW w:w="632" w:type="dxa"/>
            <w:tcBorders/>
            <w:vAlign w:val="bottom"/>
          </w:tcPr>
          <w:p>
            <w:pPr>
              <w:pStyle w:val="Normal"/>
              <w:widowControl w:val="false"/>
              <w:spacing w:lineRule="auto" w:line="240"/>
              <w:jc w:val="right"/>
              <w:rPr>
                <w:sz w:val="20"/>
                <w:szCs w:val="20"/>
              </w:rPr>
            </w:pPr>
            <w:r>
              <w:rPr>
                <w:sz w:val="20"/>
                <w:szCs w:val="20"/>
              </w:rPr>
              <w:t>33.3</w:t>
            </w:r>
          </w:p>
        </w:tc>
        <w:tc>
          <w:tcPr>
            <w:tcW w:w="79" w:type="dxa"/>
            <w:tcBorders/>
            <w:vAlign w:val="bottom"/>
          </w:tcPr>
          <w:p>
            <w:pPr>
              <w:pStyle w:val="Normal"/>
              <w:widowControl w:val="false"/>
              <w:spacing w:lineRule="auto" w:line="240"/>
              <w:jc w:val="right"/>
              <w:rPr>
                <w:sz w:val="20"/>
                <w:szCs w:val="20"/>
              </w:rPr>
            </w:pPr>
            <w:r>
              <w:rPr>
                <w:sz w:val="20"/>
                <w:szCs w:val="20"/>
              </w:rPr>
            </w:r>
          </w:p>
        </w:tc>
        <w:tc>
          <w:tcPr>
            <w:tcW w:w="609" w:type="dxa"/>
            <w:tcBorders/>
            <w:vAlign w:val="bottom"/>
          </w:tcPr>
          <w:p>
            <w:pPr>
              <w:pStyle w:val="Normal"/>
              <w:widowControl w:val="false"/>
              <w:spacing w:lineRule="auto" w:line="240"/>
              <w:jc w:val="right"/>
              <w:rPr>
                <w:sz w:val="20"/>
                <w:szCs w:val="20"/>
              </w:rPr>
            </w:pPr>
            <w:r>
              <w:rPr>
                <w:sz w:val="20"/>
                <w:szCs w:val="20"/>
              </w:rPr>
              <w:t>NA</w:t>
            </w:r>
          </w:p>
        </w:tc>
        <w:tc>
          <w:tcPr>
            <w:tcW w:w="635" w:type="dxa"/>
            <w:tcBorders/>
            <w:vAlign w:val="bottom"/>
          </w:tcPr>
          <w:p>
            <w:pPr>
              <w:pStyle w:val="Normal"/>
              <w:widowControl w:val="false"/>
              <w:spacing w:lineRule="auto" w:line="240"/>
              <w:jc w:val="right"/>
              <w:rPr>
                <w:sz w:val="20"/>
                <w:szCs w:val="20"/>
              </w:rPr>
            </w:pPr>
            <w:r>
              <w:rPr>
                <w:sz w:val="20"/>
                <w:szCs w:val="20"/>
              </w:rPr>
              <w:t>1.4</w:t>
            </w:r>
          </w:p>
        </w:tc>
        <w:tc>
          <w:tcPr>
            <w:tcW w:w="637" w:type="dxa"/>
            <w:tcBorders/>
            <w:vAlign w:val="bottom"/>
          </w:tcPr>
          <w:p>
            <w:pPr>
              <w:pStyle w:val="Normal"/>
              <w:widowControl w:val="false"/>
              <w:spacing w:lineRule="auto" w:line="240"/>
              <w:jc w:val="right"/>
              <w:rPr>
                <w:sz w:val="20"/>
                <w:szCs w:val="20"/>
              </w:rPr>
            </w:pPr>
            <w:r>
              <w:rPr>
                <w:sz w:val="20"/>
                <w:szCs w:val="20"/>
              </w:rPr>
              <w:t>30.6</w:t>
            </w:r>
          </w:p>
        </w:tc>
        <w:tc>
          <w:tcPr>
            <w:tcW w:w="628" w:type="dxa"/>
            <w:tcBorders/>
            <w:vAlign w:val="bottom"/>
          </w:tcPr>
          <w:p>
            <w:pPr>
              <w:pStyle w:val="Normal"/>
              <w:widowControl w:val="false"/>
              <w:spacing w:lineRule="auto" w:line="240"/>
              <w:jc w:val="right"/>
              <w:rPr>
                <w:sz w:val="20"/>
                <w:szCs w:val="20"/>
              </w:rPr>
            </w:pPr>
            <w:r>
              <w:rPr>
                <w:sz w:val="20"/>
                <w:szCs w:val="20"/>
              </w:rPr>
              <w:t>34.1</w:t>
            </w:r>
          </w:p>
        </w:tc>
        <w:tc>
          <w:tcPr>
            <w:tcW w:w="92" w:type="dxa"/>
            <w:tcBorders/>
            <w:vAlign w:val="bottom"/>
          </w:tcPr>
          <w:p>
            <w:pPr>
              <w:pStyle w:val="Normal"/>
              <w:widowControl w:val="false"/>
              <w:spacing w:lineRule="auto" w:line="240"/>
              <w:jc w:val="right"/>
              <w:rPr>
                <w:sz w:val="20"/>
                <w:szCs w:val="20"/>
              </w:rPr>
            </w:pPr>
            <w:r>
              <w:rPr>
                <w:sz w:val="20"/>
                <w:szCs w:val="20"/>
              </w:rPr>
            </w:r>
          </w:p>
        </w:tc>
        <w:tc>
          <w:tcPr>
            <w:tcW w:w="628" w:type="dxa"/>
            <w:tcBorders/>
            <w:vAlign w:val="bottom"/>
          </w:tcPr>
          <w:p>
            <w:pPr>
              <w:pStyle w:val="Normal"/>
              <w:widowControl w:val="false"/>
              <w:spacing w:lineRule="auto" w:line="240"/>
              <w:jc w:val="right"/>
              <w:rPr>
                <w:sz w:val="20"/>
                <w:szCs w:val="20"/>
              </w:rPr>
            </w:pPr>
            <w:r>
              <w:rPr>
                <w:sz w:val="20"/>
                <w:szCs w:val="20"/>
              </w:rPr>
              <w:t>NA</w:t>
            </w:r>
          </w:p>
        </w:tc>
        <w:tc>
          <w:tcPr>
            <w:tcW w:w="631" w:type="dxa"/>
            <w:tcBorders/>
            <w:vAlign w:val="bottom"/>
          </w:tcPr>
          <w:p>
            <w:pPr>
              <w:pStyle w:val="Normal"/>
              <w:widowControl w:val="false"/>
              <w:spacing w:lineRule="auto" w:line="240"/>
              <w:jc w:val="right"/>
              <w:rPr>
                <w:sz w:val="20"/>
                <w:szCs w:val="20"/>
              </w:rPr>
            </w:pPr>
            <w:r>
              <w:rPr>
                <w:sz w:val="20"/>
                <w:szCs w:val="20"/>
              </w:rPr>
              <w:t>NA</w:t>
            </w:r>
          </w:p>
        </w:tc>
        <w:tc>
          <w:tcPr>
            <w:tcW w:w="632" w:type="dxa"/>
            <w:tcBorders/>
            <w:vAlign w:val="bottom"/>
          </w:tcPr>
          <w:p>
            <w:pPr>
              <w:pStyle w:val="Normal"/>
              <w:widowControl w:val="false"/>
              <w:spacing w:lineRule="auto" w:line="240"/>
              <w:jc w:val="right"/>
              <w:rPr>
                <w:sz w:val="20"/>
                <w:szCs w:val="20"/>
              </w:rPr>
            </w:pPr>
            <w:r>
              <w:rPr>
                <w:sz w:val="20"/>
                <w:szCs w:val="20"/>
              </w:rPr>
              <w:t>10.8</w:t>
            </w:r>
          </w:p>
        </w:tc>
        <w:tc>
          <w:tcPr>
            <w:tcW w:w="631" w:type="dxa"/>
            <w:tcBorders/>
            <w:vAlign w:val="bottom"/>
          </w:tcPr>
          <w:p>
            <w:pPr>
              <w:pStyle w:val="Normal"/>
              <w:widowControl w:val="false"/>
              <w:spacing w:lineRule="auto" w:line="240"/>
              <w:jc w:val="right"/>
              <w:rPr>
                <w:sz w:val="20"/>
                <w:szCs w:val="20"/>
              </w:rPr>
            </w:pPr>
            <w:r>
              <w:rPr>
                <w:sz w:val="20"/>
                <w:szCs w:val="20"/>
              </w:rPr>
              <w:t>27.8</w:t>
            </w:r>
          </w:p>
        </w:tc>
        <w:tc>
          <w:tcPr>
            <w:tcW w:w="91" w:type="dxa"/>
            <w:tcBorders/>
            <w:vAlign w:val="bottom"/>
          </w:tcPr>
          <w:p>
            <w:pPr>
              <w:pStyle w:val="Normal"/>
              <w:widowControl w:val="false"/>
              <w:spacing w:lineRule="auto" w:line="240"/>
              <w:jc w:val="right"/>
              <w:rPr>
                <w:sz w:val="20"/>
                <w:szCs w:val="20"/>
              </w:rPr>
            </w:pPr>
            <w:r>
              <w:rPr>
                <w:sz w:val="20"/>
                <w:szCs w:val="20"/>
              </w:rPr>
            </w:r>
          </w:p>
        </w:tc>
        <w:tc>
          <w:tcPr>
            <w:tcW w:w="629" w:type="dxa"/>
            <w:tcBorders/>
            <w:vAlign w:val="bottom"/>
          </w:tcPr>
          <w:p>
            <w:pPr>
              <w:pStyle w:val="Normal"/>
              <w:widowControl w:val="false"/>
              <w:spacing w:lineRule="auto" w:line="240"/>
              <w:jc w:val="right"/>
              <w:rPr>
                <w:sz w:val="20"/>
                <w:szCs w:val="20"/>
              </w:rPr>
            </w:pPr>
            <w:r>
              <w:rPr>
                <w:sz w:val="20"/>
                <w:szCs w:val="20"/>
              </w:rPr>
              <w:t>NA</w:t>
            </w:r>
          </w:p>
        </w:tc>
        <w:tc>
          <w:tcPr>
            <w:tcW w:w="634" w:type="dxa"/>
            <w:tcBorders/>
            <w:vAlign w:val="bottom"/>
          </w:tcPr>
          <w:p>
            <w:pPr>
              <w:pStyle w:val="Normal"/>
              <w:widowControl w:val="false"/>
              <w:spacing w:lineRule="auto" w:line="240"/>
              <w:jc w:val="right"/>
              <w:rPr>
                <w:sz w:val="20"/>
                <w:szCs w:val="20"/>
              </w:rPr>
            </w:pPr>
            <w:r>
              <w:rPr>
                <w:sz w:val="20"/>
                <w:szCs w:val="20"/>
              </w:rPr>
              <w:t>NA</w:t>
            </w:r>
          </w:p>
        </w:tc>
        <w:tc>
          <w:tcPr>
            <w:tcW w:w="628" w:type="dxa"/>
            <w:tcBorders/>
            <w:vAlign w:val="bottom"/>
          </w:tcPr>
          <w:p>
            <w:pPr>
              <w:pStyle w:val="Normal"/>
              <w:widowControl w:val="false"/>
              <w:spacing w:lineRule="auto" w:line="240"/>
              <w:jc w:val="right"/>
              <w:rPr>
                <w:sz w:val="20"/>
                <w:szCs w:val="20"/>
              </w:rPr>
            </w:pPr>
            <w:r>
              <w:rPr>
                <w:sz w:val="20"/>
                <w:szCs w:val="20"/>
              </w:rPr>
              <w:t>7.9</w:t>
            </w:r>
          </w:p>
        </w:tc>
        <w:tc>
          <w:tcPr>
            <w:tcW w:w="632" w:type="dxa"/>
            <w:tcBorders/>
            <w:vAlign w:val="bottom"/>
          </w:tcPr>
          <w:p>
            <w:pPr>
              <w:pStyle w:val="Normal"/>
              <w:widowControl w:val="false"/>
              <w:spacing w:lineRule="auto" w:line="240"/>
              <w:jc w:val="right"/>
              <w:rPr>
                <w:sz w:val="20"/>
                <w:szCs w:val="20"/>
              </w:rPr>
            </w:pPr>
            <w:r>
              <w:rPr>
                <w:sz w:val="20"/>
                <w:szCs w:val="20"/>
              </w:rPr>
              <w:t>19.1</w:t>
            </w:r>
          </w:p>
        </w:tc>
        <w:tc>
          <w:tcPr>
            <w:tcW w:w="91" w:type="dxa"/>
            <w:tcBorders/>
            <w:vAlign w:val="bottom"/>
          </w:tcPr>
          <w:p>
            <w:pPr>
              <w:pStyle w:val="Normal"/>
              <w:widowControl w:val="false"/>
              <w:spacing w:lineRule="auto" w:line="240"/>
              <w:jc w:val="right"/>
              <w:rPr>
                <w:sz w:val="20"/>
                <w:szCs w:val="20"/>
              </w:rPr>
            </w:pPr>
            <w:r>
              <w:rPr>
                <w:sz w:val="20"/>
                <w:szCs w:val="20"/>
              </w:rPr>
            </w:r>
          </w:p>
        </w:tc>
        <w:tc>
          <w:tcPr>
            <w:tcW w:w="628" w:type="dxa"/>
            <w:tcBorders/>
            <w:vAlign w:val="bottom"/>
          </w:tcPr>
          <w:p>
            <w:pPr>
              <w:pStyle w:val="Normal"/>
              <w:widowControl w:val="false"/>
              <w:spacing w:lineRule="auto" w:line="240"/>
              <w:jc w:val="right"/>
              <w:rPr>
                <w:sz w:val="20"/>
                <w:szCs w:val="20"/>
              </w:rPr>
            </w:pPr>
            <w:r>
              <w:rPr>
                <w:sz w:val="20"/>
                <w:szCs w:val="20"/>
              </w:rPr>
              <w:t>8.1</w:t>
            </w:r>
          </w:p>
        </w:tc>
        <w:tc>
          <w:tcPr>
            <w:tcW w:w="631" w:type="dxa"/>
            <w:tcBorders/>
            <w:vAlign w:val="bottom"/>
          </w:tcPr>
          <w:p>
            <w:pPr>
              <w:pStyle w:val="Normal"/>
              <w:widowControl w:val="false"/>
              <w:spacing w:lineRule="auto" w:line="240"/>
              <w:jc w:val="right"/>
              <w:rPr>
                <w:sz w:val="20"/>
                <w:szCs w:val="20"/>
              </w:rPr>
            </w:pPr>
            <w:r>
              <w:rPr>
                <w:sz w:val="20"/>
                <w:szCs w:val="20"/>
              </w:rPr>
              <w:t>NA</w:t>
            </w:r>
          </w:p>
        </w:tc>
        <w:tc>
          <w:tcPr>
            <w:tcW w:w="629" w:type="dxa"/>
            <w:tcBorders/>
            <w:vAlign w:val="bottom"/>
          </w:tcPr>
          <w:p>
            <w:pPr>
              <w:pStyle w:val="Normal"/>
              <w:widowControl w:val="false"/>
              <w:spacing w:lineRule="auto" w:line="240"/>
              <w:jc w:val="right"/>
              <w:rPr>
                <w:sz w:val="20"/>
                <w:szCs w:val="20"/>
              </w:rPr>
            </w:pPr>
            <w:r>
              <w:rPr>
                <w:sz w:val="20"/>
                <w:szCs w:val="20"/>
              </w:rPr>
              <w:t>44.0</w:t>
            </w:r>
          </w:p>
        </w:tc>
        <w:tc>
          <w:tcPr>
            <w:tcW w:w="692" w:type="dxa"/>
            <w:tcBorders/>
            <w:vAlign w:val="bottom"/>
          </w:tcPr>
          <w:p>
            <w:pPr>
              <w:pStyle w:val="Normal"/>
              <w:widowControl w:val="false"/>
              <w:spacing w:lineRule="auto" w:line="240"/>
              <w:jc w:val="right"/>
              <w:rPr>
                <w:sz w:val="20"/>
                <w:szCs w:val="20"/>
              </w:rPr>
            </w:pPr>
            <w:r>
              <w:rPr>
                <w:sz w:val="20"/>
                <w:szCs w:val="20"/>
              </w:rPr>
              <w:t>46.4</w:t>
            </w:r>
          </w:p>
        </w:tc>
      </w:tr>
      <w:tr>
        <w:trPr>
          <w:trHeight w:val="70" w:hRule="atLeast"/>
        </w:trPr>
        <w:tc>
          <w:tcPr>
            <w:tcW w:w="896" w:type="dxa"/>
            <w:vMerge w:val="continue"/>
            <w:tcBorders>
              <w:bottom w:val="single" w:sz="4" w:space="0" w:color="000000"/>
            </w:tcBorders>
            <w:vAlign w:val="bottom"/>
          </w:tcPr>
          <w:p>
            <w:pPr>
              <w:pStyle w:val="Normal"/>
              <w:widowControl w:val="false"/>
              <w:spacing w:lineRule="auto" w:line="240"/>
              <w:rPr>
                <w:sz w:val="20"/>
                <w:szCs w:val="20"/>
              </w:rPr>
            </w:pPr>
            <w:r>
              <w:rPr>
                <w:sz w:val="20"/>
                <w:szCs w:val="20"/>
              </w:rPr>
            </w:r>
          </w:p>
        </w:tc>
        <w:tc>
          <w:tcPr>
            <w:tcW w:w="751" w:type="dxa"/>
            <w:tcBorders>
              <w:bottom w:val="single" w:sz="4" w:space="0" w:color="000000"/>
            </w:tcBorders>
            <w:vAlign w:val="bottom"/>
          </w:tcPr>
          <w:p>
            <w:pPr>
              <w:pStyle w:val="Normal"/>
              <w:widowControl w:val="false"/>
              <w:spacing w:lineRule="auto" w:line="240"/>
              <w:rPr>
                <w:sz w:val="20"/>
                <w:szCs w:val="20"/>
              </w:rPr>
            </w:pPr>
            <w:r>
              <w:rPr>
                <w:sz w:val="20"/>
                <w:szCs w:val="20"/>
              </w:rPr>
              <w:t>SE</w:t>
            </w:r>
          </w:p>
        </w:tc>
        <w:tc>
          <w:tcPr>
            <w:tcW w:w="609"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0.5</w:t>
            </w:r>
          </w:p>
        </w:tc>
        <w:tc>
          <w:tcPr>
            <w:tcW w:w="660" w:type="dxa"/>
            <w:tcBorders>
              <w:bottom w:val="single" w:sz="4" w:space="0" w:color="000000"/>
            </w:tcBorders>
            <w:vAlign w:val="bottom"/>
          </w:tcPr>
          <w:p>
            <w:pPr>
              <w:pStyle w:val="Normal"/>
              <w:widowControl w:val="false"/>
              <w:spacing w:lineRule="auto" w:line="240"/>
              <w:jc w:val="right"/>
              <w:rPr>
                <w:sz w:val="20"/>
                <w:szCs w:val="20"/>
              </w:rPr>
            </w:pPr>
            <w:r>
              <w:rPr>
                <w:sz w:val="20"/>
                <w:szCs w:val="20"/>
              </w:rPr>
              <w:t>2.2</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0.7</w:t>
            </w:r>
          </w:p>
        </w:tc>
        <w:tc>
          <w:tcPr>
            <w:tcW w:w="79"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09"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5" w:type="dxa"/>
            <w:tcBorders>
              <w:bottom w:val="single" w:sz="4" w:space="0" w:color="000000"/>
            </w:tcBorders>
            <w:vAlign w:val="bottom"/>
          </w:tcPr>
          <w:p>
            <w:pPr>
              <w:pStyle w:val="Normal"/>
              <w:widowControl w:val="false"/>
              <w:spacing w:lineRule="auto" w:line="240"/>
              <w:jc w:val="right"/>
              <w:rPr>
                <w:sz w:val="20"/>
                <w:szCs w:val="20"/>
              </w:rPr>
            </w:pPr>
            <w:r>
              <w:rPr>
                <w:sz w:val="20"/>
                <w:szCs w:val="20"/>
              </w:rPr>
              <w:t>0.3</w:t>
            </w:r>
          </w:p>
        </w:tc>
        <w:tc>
          <w:tcPr>
            <w:tcW w:w="637" w:type="dxa"/>
            <w:tcBorders>
              <w:bottom w:val="single" w:sz="4" w:space="0" w:color="000000"/>
            </w:tcBorders>
            <w:vAlign w:val="bottom"/>
          </w:tcPr>
          <w:p>
            <w:pPr>
              <w:pStyle w:val="Normal"/>
              <w:widowControl w:val="false"/>
              <w:spacing w:lineRule="auto" w:line="240"/>
              <w:jc w:val="right"/>
              <w:rPr>
                <w:sz w:val="20"/>
                <w:szCs w:val="20"/>
              </w:rPr>
            </w:pPr>
            <w:r>
              <w:rPr>
                <w:sz w:val="20"/>
                <w:szCs w:val="20"/>
              </w:rPr>
              <w:t>3.4</w:t>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4.3</w:t>
            </w:r>
          </w:p>
        </w:tc>
        <w:tc>
          <w:tcPr>
            <w:tcW w:w="92"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0.9</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1.8</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29"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34"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0.7</w:t>
            </w:r>
          </w:p>
        </w:tc>
        <w:tc>
          <w:tcPr>
            <w:tcW w:w="632" w:type="dxa"/>
            <w:tcBorders>
              <w:bottom w:val="single" w:sz="4" w:space="0" w:color="000000"/>
            </w:tcBorders>
            <w:vAlign w:val="bottom"/>
          </w:tcPr>
          <w:p>
            <w:pPr>
              <w:pStyle w:val="Normal"/>
              <w:widowControl w:val="false"/>
              <w:spacing w:lineRule="auto" w:line="240"/>
              <w:jc w:val="right"/>
              <w:rPr>
                <w:sz w:val="20"/>
                <w:szCs w:val="20"/>
              </w:rPr>
            </w:pPr>
            <w:r>
              <w:rPr>
                <w:sz w:val="20"/>
                <w:szCs w:val="20"/>
              </w:rPr>
              <w:t>1.5</w:t>
            </w:r>
          </w:p>
        </w:tc>
        <w:tc>
          <w:tcPr>
            <w:tcW w:w="91" w:type="dxa"/>
            <w:tcBorders>
              <w:bottom w:val="single" w:sz="4" w:space="0" w:color="000000"/>
            </w:tcBorders>
            <w:vAlign w:val="bottom"/>
          </w:tcPr>
          <w:p>
            <w:pPr>
              <w:pStyle w:val="Normal"/>
              <w:widowControl w:val="false"/>
              <w:spacing w:lineRule="auto" w:line="240"/>
              <w:jc w:val="right"/>
              <w:rPr>
                <w:sz w:val="20"/>
                <w:szCs w:val="20"/>
              </w:rPr>
            </w:pPr>
            <w:r>
              <w:rPr>
                <w:sz w:val="20"/>
                <w:szCs w:val="20"/>
              </w:rPr>
            </w:r>
          </w:p>
        </w:tc>
        <w:tc>
          <w:tcPr>
            <w:tcW w:w="628" w:type="dxa"/>
            <w:tcBorders>
              <w:bottom w:val="single" w:sz="4" w:space="0" w:color="000000"/>
            </w:tcBorders>
            <w:vAlign w:val="bottom"/>
          </w:tcPr>
          <w:p>
            <w:pPr>
              <w:pStyle w:val="Normal"/>
              <w:widowControl w:val="false"/>
              <w:spacing w:lineRule="auto" w:line="240"/>
              <w:jc w:val="right"/>
              <w:rPr>
                <w:sz w:val="20"/>
                <w:szCs w:val="20"/>
              </w:rPr>
            </w:pPr>
            <w:r>
              <w:rPr>
                <w:sz w:val="20"/>
                <w:szCs w:val="20"/>
              </w:rPr>
              <w:t>0.5</w:t>
            </w:r>
          </w:p>
        </w:tc>
        <w:tc>
          <w:tcPr>
            <w:tcW w:w="631" w:type="dxa"/>
            <w:tcBorders>
              <w:bottom w:val="single" w:sz="4" w:space="0" w:color="000000"/>
            </w:tcBorders>
            <w:vAlign w:val="bottom"/>
          </w:tcPr>
          <w:p>
            <w:pPr>
              <w:pStyle w:val="Normal"/>
              <w:widowControl w:val="false"/>
              <w:spacing w:lineRule="auto" w:line="240"/>
              <w:jc w:val="right"/>
              <w:rPr>
                <w:sz w:val="20"/>
                <w:szCs w:val="20"/>
              </w:rPr>
            </w:pPr>
            <w:r>
              <w:rPr>
                <w:sz w:val="20"/>
                <w:szCs w:val="20"/>
              </w:rPr>
              <w:t>NA</w:t>
            </w:r>
          </w:p>
        </w:tc>
        <w:tc>
          <w:tcPr>
            <w:tcW w:w="629" w:type="dxa"/>
            <w:tcBorders>
              <w:bottom w:val="single" w:sz="4" w:space="0" w:color="000000"/>
            </w:tcBorders>
            <w:vAlign w:val="bottom"/>
          </w:tcPr>
          <w:p>
            <w:pPr>
              <w:pStyle w:val="Normal"/>
              <w:widowControl w:val="false"/>
              <w:spacing w:lineRule="auto" w:line="240"/>
              <w:jc w:val="right"/>
              <w:rPr>
                <w:sz w:val="20"/>
                <w:szCs w:val="20"/>
              </w:rPr>
            </w:pPr>
            <w:r>
              <w:rPr>
                <w:sz w:val="20"/>
                <w:szCs w:val="20"/>
              </w:rPr>
              <w:t>3.1</w:t>
            </w:r>
          </w:p>
        </w:tc>
        <w:tc>
          <w:tcPr>
            <w:tcW w:w="692" w:type="dxa"/>
            <w:tcBorders>
              <w:bottom w:val="single" w:sz="4" w:space="0" w:color="000000"/>
            </w:tcBorders>
            <w:vAlign w:val="bottom"/>
          </w:tcPr>
          <w:p>
            <w:pPr>
              <w:pStyle w:val="Normal"/>
              <w:widowControl w:val="false"/>
              <w:spacing w:lineRule="auto" w:line="240"/>
              <w:jc w:val="right"/>
              <w:rPr>
                <w:sz w:val="20"/>
                <w:szCs w:val="20"/>
              </w:rPr>
            </w:pPr>
            <w:r>
              <w:rPr>
                <w:sz w:val="20"/>
                <w:szCs w:val="20"/>
              </w:rPr>
              <w:t>4.6</w:t>
            </w:r>
          </w:p>
        </w:tc>
      </w:tr>
      <w:tr>
        <w:trPr>
          <w:trHeight w:val="256" w:hRule="atLeast"/>
        </w:trPr>
        <w:tc>
          <w:tcPr>
            <w:tcW w:w="896" w:type="dxa"/>
            <w:tcBorders>
              <w:top w:val="single" w:sz="4" w:space="0" w:color="000000"/>
            </w:tcBorders>
            <w:vAlign w:val="bottom"/>
          </w:tcPr>
          <w:p>
            <w:pPr>
              <w:pStyle w:val="Normal"/>
              <w:widowControl w:val="false"/>
              <w:rPr>
                <w:sz w:val="20"/>
                <w:szCs w:val="20"/>
              </w:rPr>
            </w:pPr>
            <w:r>
              <w:rPr>
                <w:sz w:val="20"/>
                <w:szCs w:val="20"/>
              </w:rPr>
            </w:r>
          </w:p>
        </w:tc>
        <w:tc>
          <w:tcPr>
            <w:tcW w:w="751" w:type="dxa"/>
            <w:tcBorders>
              <w:top w:val="single" w:sz="4" w:space="0" w:color="000000"/>
            </w:tcBorders>
            <w:vAlign w:val="bottom"/>
          </w:tcPr>
          <w:p>
            <w:pPr>
              <w:pStyle w:val="Normal"/>
              <w:widowControl w:val="false"/>
              <w:rPr>
                <w:sz w:val="20"/>
                <w:szCs w:val="20"/>
              </w:rPr>
            </w:pPr>
            <w:r>
              <w:rPr>
                <w:sz w:val="20"/>
                <w:szCs w:val="20"/>
              </w:rPr>
            </w:r>
          </w:p>
        </w:tc>
        <w:tc>
          <w:tcPr>
            <w:tcW w:w="609"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r>
          </w:p>
        </w:tc>
        <w:tc>
          <w:tcPr>
            <w:tcW w:w="660" w:type="dxa"/>
            <w:tcBorders>
              <w:top w:val="single" w:sz="4" w:space="0" w:color="000000"/>
            </w:tcBorders>
            <w:vAlign w:val="bottom"/>
          </w:tcPr>
          <w:p>
            <w:pPr>
              <w:pStyle w:val="Normal"/>
              <w:widowControl w:val="false"/>
              <w:jc w:val="right"/>
              <w:rPr>
                <w:sz w:val="20"/>
                <w:szCs w:val="20"/>
              </w:rPr>
            </w:pPr>
            <w:r>
              <w:rPr>
                <w:sz w:val="20"/>
                <w:szCs w:val="20"/>
              </w:rPr>
            </w:r>
          </w:p>
        </w:tc>
        <w:tc>
          <w:tcPr>
            <w:tcW w:w="632" w:type="dxa"/>
            <w:tcBorders>
              <w:top w:val="single" w:sz="4" w:space="0" w:color="000000"/>
            </w:tcBorders>
            <w:vAlign w:val="bottom"/>
          </w:tcPr>
          <w:p>
            <w:pPr>
              <w:pStyle w:val="Normal"/>
              <w:widowControl w:val="false"/>
              <w:jc w:val="right"/>
              <w:rPr>
                <w:sz w:val="20"/>
                <w:szCs w:val="20"/>
              </w:rPr>
            </w:pPr>
            <w:r>
              <w:rPr>
                <w:sz w:val="20"/>
                <w:szCs w:val="20"/>
              </w:rPr>
            </w:r>
          </w:p>
        </w:tc>
        <w:tc>
          <w:tcPr>
            <w:tcW w:w="79" w:type="dxa"/>
            <w:tcBorders>
              <w:top w:val="single" w:sz="4" w:space="0" w:color="000000"/>
            </w:tcBorders>
            <w:vAlign w:val="bottom"/>
          </w:tcPr>
          <w:p>
            <w:pPr>
              <w:pStyle w:val="Normal"/>
              <w:widowControl w:val="false"/>
              <w:rPr>
                <w:sz w:val="20"/>
                <w:szCs w:val="20"/>
              </w:rPr>
            </w:pPr>
            <w:r>
              <w:rPr>
                <w:sz w:val="20"/>
                <w:szCs w:val="20"/>
              </w:rPr>
            </w:r>
          </w:p>
        </w:tc>
        <w:tc>
          <w:tcPr>
            <w:tcW w:w="609" w:type="dxa"/>
            <w:tcBorders>
              <w:top w:val="single" w:sz="4" w:space="0" w:color="000000"/>
            </w:tcBorders>
            <w:vAlign w:val="bottom"/>
          </w:tcPr>
          <w:p>
            <w:pPr>
              <w:pStyle w:val="Normal"/>
              <w:widowControl w:val="false"/>
              <w:rPr>
                <w:sz w:val="20"/>
                <w:szCs w:val="20"/>
              </w:rPr>
            </w:pPr>
            <w:r>
              <w:rPr>
                <w:sz w:val="20"/>
                <w:szCs w:val="20"/>
              </w:rPr>
            </w:r>
          </w:p>
        </w:tc>
        <w:tc>
          <w:tcPr>
            <w:tcW w:w="635" w:type="dxa"/>
            <w:tcBorders>
              <w:top w:val="single" w:sz="4" w:space="0" w:color="000000"/>
            </w:tcBorders>
            <w:vAlign w:val="bottom"/>
          </w:tcPr>
          <w:p>
            <w:pPr>
              <w:pStyle w:val="Normal"/>
              <w:widowControl w:val="false"/>
              <w:jc w:val="right"/>
              <w:rPr>
                <w:sz w:val="20"/>
                <w:szCs w:val="20"/>
              </w:rPr>
            </w:pPr>
            <w:r>
              <w:rPr>
                <w:sz w:val="20"/>
                <w:szCs w:val="20"/>
              </w:rPr>
            </w:r>
          </w:p>
        </w:tc>
        <w:tc>
          <w:tcPr>
            <w:tcW w:w="637" w:type="dxa"/>
            <w:tcBorders>
              <w:top w:val="single" w:sz="4" w:space="0" w:color="000000"/>
            </w:tcBorders>
            <w:vAlign w:val="bottom"/>
          </w:tcPr>
          <w:p>
            <w:pPr>
              <w:pStyle w:val="Normal"/>
              <w:widowControl w:val="false"/>
              <w:jc w:val="right"/>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r>
          </w:p>
        </w:tc>
        <w:tc>
          <w:tcPr>
            <w:tcW w:w="92" w:type="dxa"/>
            <w:tcBorders>
              <w:top w:val="single" w:sz="4" w:space="0" w:color="000000"/>
            </w:tcBorders>
            <w:vAlign w:val="bottom"/>
          </w:tcPr>
          <w:p>
            <w:pPr>
              <w:pStyle w:val="Normal"/>
              <w:widowControl w:val="false"/>
              <w:rPr>
                <w:sz w:val="20"/>
                <w:szCs w:val="20"/>
              </w:rPr>
            </w:pPr>
            <w:r>
              <w:rPr>
                <w:sz w:val="20"/>
                <w:szCs w:val="20"/>
              </w:rPr>
            </w:r>
          </w:p>
        </w:tc>
        <w:tc>
          <w:tcPr>
            <w:tcW w:w="628" w:type="dxa"/>
            <w:tcBorders>
              <w:top w:val="single" w:sz="4" w:space="0" w:color="000000"/>
            </w:tcBorders>
            <w:vAlign w:val="bottom"/>
          </w:tcPr>
          <w:p>
            <w:pPr>
              <w:pStyle w:val="Normal"/>
              <w:widowControl w:val="false"/>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632" w:type="dxa"/>
            <w:tcBorders>
              <w:top w:val="single" w:sz="4" w:space="0" w:color="000000"/>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jc w:val="right"/>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29" w:type="dxa"/>
            <w:tcBorders>
              <w:top w:val="single" w:sz="4" w:space="0" w:color="000000"/>
            </w:tcBorders>
            <w:vAlign w:val="bottom"/>
          </w:tcPr>
          <w:p>
            <w:pPr>
              <w:pStyle w:val="Normal"/>
              <w:widowControl w:val="false"/>
              <w:rPr>
                <w:sz w:val="20"/>
                <w:szCs w:val="20"/>
              </w:rPr>
            </w:pPr>
            <w:r>
              <w:rPr>
                <w:sz w:val="20"/>
                <w:szCs w:val="20"/>
              </w:rPr>
            </w:r>
          </w:p>
        </w:tc>
        <w:tc>
          <w:tcPr>
            <w:tcW w:w="634" w:type="dxa"/>
            <w:tcBorders>
              <w:top w:val="single" w:sz="4" w:space="0" w:color="000000"/>
            </w:tcBorders>
            <w:vAlign w:val="bottom"/>
          </w:tcPr>
          <w:p>
            <w:pPr>
              <w:pStyle w:val="Normal"/>
              <w:widowControl w:val="false"/>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r>
          </w:p>
        </w:tc>
        <w:tc>
          <w:tcPr>
            <w:tcW w:w="632" w:type="dxa"/>
            <w:tcBorders>
              <w:top w:val="single" w:sz="4" w:space="0" w:color="000000"/>
            </w:tcBorders>
            <w:vAlign w:val="bottom"/>
          </w:tcPr>
          <w:p>
            <w:pPr>
              <w:pStyle w:val="Normal"/>
              <w:widowControl w:val="false"/>
              <w:rPr>
                <w:sz w:val="20"/>
                <w:szCs w:val="20"/>
              </w:rPr>
            </w:pPr>
            <w:r>
              <w:rPr>
                <w:sz w:val="20"/>
                <w:szCs w:val="20"/>
              </w:rPr>
            </w:r>
          </w:p>
        </w:tc>
        <w:tc>
          <w:tcPr>
            <w:tcW w:w="91" w:type="dxa"/>
            <w:tcBorders>
              <w:top w:val="single" w:sz="4" w:space="0" w:color="000000"/>
            </w:tcBorders>
            <w:vAlign w:val="bottom"/>
          </w:tcPr>
          <w:p>
            <w:pPr>
              <w:pStyle w:val="Normal"/>
              <w:widowControl w:val="false"/>
              <w:rPr>
                <w:sz w:val="20"/>
                <w:szCs w:val="20"/>
              </w:rPr>
            </w:pPr>
            <w:r>
              <w:rPr>
                <w:sz w:val="20"/>
                <w:szCs w:val="20"/>
              </w:rPr>
            </w:r>
          </w:p>
        </w:tc>
        <w:tc>
          <w:tcPr>
            <w:tcW w:w="628" w:type="dxa"/>
            <w:tcBorders>
              <w:top w:val="single" w:sz="4" w:space="0" w:color="000000"/>
            </w:tcBorders>
            <w:vAlign w:val="bottom"/>
          </w:tcPr>
          <w:p>
            <w:pPr>
              <w:pStyle w:val="Normal"/>
              <w:widowControl w:val="false"/>
              <w:jc w:val="right"/>
              <w:rPr>
                <w:sz w:val="20"/>
                <w:szCs w:val="20"/>
              </w:rPr>
            </w:pPr>
            <w:r>
              <w:rPr>
                <w:sz w:val="20"/>
                <w:szCs w:val="20"/>
              </w:rPr>
            </w:r>
          </w:p>
        </w:tc>
        <w:tc>
          <w:tcPr>
            <w:tcW w:w="631" w:type="dxa"/>
            <w:tcBorders>
              <w:top w:val="single" w:sz="4" w:space="0" w:color="000000"/>
            </w:tcBorders>
            <w:vAlign w:val="bottom"/>
          </w:tcPr>
          <w:p>
            <w:pPr>
              <w:pStyle w:val="Normal"/>
              <w:widowControl w:val="false"/>
              <w:rPr>
                <w:sz w:val="20"/>
                <w:szCs w:val="20"/>
              </w:rPr>
            </w:pPr>
            <w:r>
              <w:rPr>
                <w:sz w:val="20"/>
                <w:szCs w:val="20"/>
              </w:rPr>
            </w:r>
          </w:p>
        </w:tc>
        <w:tc>
          <w:tcPr>
            <w:tcW w:w="629" w:type="dxa"/>
            <w:tcBorders>
              <w:top w:val="single" w:sz="4" w:space="0" w:color="000000"/>
            </w:tcBorders>
            <w:vAlign w:val="bottom"/>
          </w:tcPr>
          <w:p>
            <w:pPr>
              <w:pStyle w:val="Normal"/>
              <w:widowControl w:val="false"/>
              <w:jc w:val="right"/>
              <w:rPr>
                <w:sz w:val="20"/>
                <w:szCs w:val="20"/>
              </w:rPr>
            </w:pPr>
            <w:r>
              <w:rPr>
                <w:sz w:val="20"/>
                <w:szCs w:val="20"/>
              </w:rPr>
            </w:r>
          </w:p>
        </w:tc>
        <w:tc>
          <w:tcPr>
            <w:tcW w:w="692" w:type="dxa"/>
            <w:tcBorders>
              <w:top w:val="single" w:sz="4" w:space="0" w:color="000000"/>
            </w:tcBorders>
            <w:vAlign w:val="bottom"/>
          </w:tcPr>
          <w:p>
            <w:pPr>
              <w:pStyle w:val="Normal"/>
              <w:widowControl w:val="false"/>
              <w:jc w:val="right"/>
              <w:rPr>
                <w:sz w:val="20"/>
                <w:szCs w:val="20"/>
              </w:rPr>
            </w:pPr>
            <w:r>
              <w:rPr>
                <w:sz w:val="20"/>
                <w:szCs w:val="20"/>
              </w:rPr>
            </w:r>
          </w:p>
        </w:tc>
      </w:tr>
    </w:tbl>
    <w:p>
      <w:pPr>
        <w:sectPr>
          <w:headerReference w:type="default" r:id="rId30"/>
          <w:type w:val="nextPage"/>
          <w:pgSz w:orient="landscape" w:w="15840" w:h="12240"/>
          <w:pgMar w:left="864" w:right="2016" w:header="1440" w:top="1497" w:footer="0" w:bottom="1440" w:gutter="0"/>
          <w:lnNumType w:countBy="1" w:restart="continuous" w:distance="283"/>
          <w:pgNumType w:start="1" w:fmt="decimal"/>
          <w:formProt w:val="false"/>
          <w:textDirection w:val="lrTb"/>
          <w:docGrid w:type="default" w:linePitch="299" w:charSpace="32768"/>
        </w:sectPr>
      </w:pPr>
    </w:p>
    <w:p>
      <w:pPr>
        <w:pStyle w:val="Normal"/>
        <w:spacing w:lineRule="auto" w:line="480"/>
        <w:rPr>
          <w:sz w:val="24"/>
          <w:szCs w:val="24"/>
        </w:rPr>
      </w:pPr>
      <w:r>
        <w:rPr/>
        <w:drawing>
          <wp:inline distT="0" distB="0" distL="0" distR="0">
            <wp:extent cx="7439025" cy="4463415"/>
            <wp:effectExtent l="0" t="0" r="0" b="0"/>
            <wp:docPr id="11" name="Graphic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c 17" descr=""/>
                    <pic:cNvPicPr>
                      <a:picLocks noChangeAspect="1" noChangeArrowheads="1"/>
                    </pic:cNvPicPr>
                  </pic:nvPicPr>
                  <pic:blipFill>
                    <a:blip r:embed="rId31"/>
                    <a:stretch>
                      <a:fillRect/>
                    </a:stretch>
                  </pic:blipFill>
                  <pic:spPr bwMode="auto">
                    <a:xfrm>
                      <a:off x="0" y="0"/>
                      <a:ext cx="7439025" cy="4463415"/>
                    </a:xfrm>
                    <a:prstGeom prst="rect">
                      <a:avLst/>
                    </a:prstGeom>
                  </pic:spPr>
                </pic:pic>
              </a:graphicData>
            </a:graphic>
          </wp:inline>
        </w:drawing>
      </w:r>
    </w:p>
    <w:p>
      <w:pPr>
        <w:pStyle w:val="Normal"/>
        <w:spacing w:lineRule="auto" w:line="480"/>
        <w:rPr>
          <w:sz w:val="24"/>
          <w:szCs w:val="24"/>
        </w:rPr>
      </w:pPr>
      <w:r>
        <w:rPr>
          <w:b/>
          <w:sz w:val="24"/>
          <w:szCs w:val="24"/>
        </w:rPr>
        <w:t>Figure 4.</w:t>
      </w:r>
      <w:r>
        <w:rPr>
          <w:sz w:val="24"/>
          <w:szCs w:val="24"/>
        </w:rPr>
        <w:t xml:space="preserve"> Stand mean +/- 95% CI basal area (A) and cumulative proportion of mortality (B) by tree age and rotation treatment in the Apiary study. Purple, 12-year rotation with red alder before replanting Douglas-fir; Blue, 12-year rotation with western cottonwood before replanting with Douglas-fir;</w:t>
      </w:r>
      <w:r>
        <w:rPr>
          <w:iCs/>
          <w:sz w:val="24"/>
          <w:szCs w:val="24"/>
        </w:rPr>
        <w:t xml:space="preserve"> Aqua, immediate replanting of Douglas-fir; Green, 25-year red alder; Yellow, 25-year wester cottonwood.</w:t>
      </w:r>
      <w:r>
        <w:br w:type="page"/>
      </w:r>
    </w:p>
    <w:tbl>
      <w:tblPr>
        <w:tblW w:w="11160" w:type="dxa"/>
        <w:jc w:val="left"/>
        <w:tblInd w:w="-30" w:type="dxa"/>
        <w:tblLayout w:type="fixed"/>
        <w:tblCellMar>
          <w:top w:w="0" w:type="dxa"/>
          <w:left w:w="30" w:type="dxa"/>
          <w:bottom w:w="0" w:type="dxa"/>
          <w:right w:w="30" w:type="dxa"/>
        </w:tblCellMar>
        <w:tblLook w:firstRow="1" w:noVBand="1" w:lastRow="0" w:firstColumn="1" w:lastColumn="0" w:noHBand="0" w:val="04a0"/>
      </w:tblPr>
      <w:tblGrid>
        <w:gridCol w:w="2026"/>
        <w:gridCol w:w="503"/>
        <w:gridCol w:w="811"/>
        <w:gridCol w:w="811"/>
        <w:gridCol w:w="182"/>
        <w:gridCol w:w="358"/>
        <w:gridCol w:w="809"/>
        <w:gridCol w:w="903"/>
        <w:gridCol w:w="181"/>
        <w:gridCol w:w="449"/>
        <w:gridCol w:w="901"/>
        <w:gridCol w:w="901"/>
        <w:gridCol w:w="181"/>
        <w:gridCol w:w="360"/>
        <w:gridCol w:w="810"/>
        <w:gridCol w:w="971"/>
      </w:tblGrid>
      <w:tr>
        <w:trPr>
          <w:trHeight w:val="597" w:hRule="atLeast"/>
        </w:trPr>
        <w:tc>
          <w:tcPr>
            <w:tcW w:w="2026" w:type="dxa"/>
            <w:tcBorders/>
            <w:vAlign w:val="bottom"/>
          </w:tcPr>
          <w:p>
            <w:pPr>
              <w:pStyle w:val="Normal"/>
              <w:pageBreakBefore/>
              <w:widowControl w:val="false"/>
              <w:rPr>
                <w:sz w:val="24"/>
                <w:szCs w:val="24"/>
              </w:rPr>
            </w:pPr>
            <w:r>
              <w:rPr>
                <w:sz w:val="24"/>
                <w:szCs w:val="24"/>
              </w:rPr>
            </w:r>
          </w:p>
        </w:tc>
        <w:tc>
          <w:tcPr>
            <w:tcW w:w="2125" w:type="dxa"/>
            <w:gridSpan w:val="3"/>
            <w:tcBorders>
              <w:bottom w:val="single" w:sz="4" w:space="0" w:color="000000"/>
            </w:tcBorders>
            <w:tcMar>
              <w:top w:w="55" w:type="dxa"/>
              <w:left w:w="55" w:type="dxa"/>
              <w:bottom w:w="55" w:type="dxa"/>
              <w:right w:w="55" w:type="dxa"/>
            </w:tcMar>
            <w:vAlign w:val="bottom"/>
          </w:tcPr>
          <w:p>
            <w:pPr>
              <w:pStyle w:val="Normal"/>
              <w:widowControl w:val="false"/>
              <w:jc w:val="center"/>
              <w:rPr>
                <w:sz w:val="24"/>
                <w:szCs w:val="24"/>
              </w:rPr>
            </w:pPr>
            <w:r>
              <w:rPr/>
              <w:t>annual BA increment</w:t>
            </w:r>
          </w:p>
        </w:tc>
        <w:tc>
          <w:tcPr>
            <w:tcW w:w="182" w:type="dxa"/>
            <w:tcBorders/>
            <w:vAlign w:val="bottom"/>
          </w:tcPr>
          <w:p>
            <w:pPr>
              <w:pStyle w:val="Normal"/>
              <w:widowControl w:val="false"/>
              <w:rPr>
                <w:sz w:val="24"/>
                <w:szCs w:val="24"/>
              </w:rPr>
            </w:pPr>
            <w:r>
              <w:rPr>
                <w:sz w:val="24"/>
                <w:szCs w:val="24"/>
              </w:rPr>
            </w:r>
          </w:p>
        </w:tc>
        <w:tc>
          <w:tcPr>
            <w:tcW w:w="2070" w:type="dxa"/>
            <w:gridSpan w:val="3"/>
            <w:tcBorders>
              <w:bottom w:val="single" w:sz="4" w:space="0" w:color="000000"/>
            </w:tcBorders>
            <w:tcMar>
              <w:top w:w="55" w:type="dxa"/>
              <w:left w:w="55" w:type="dxa"/>
              <w:bottom w:w="55" w:type="dxa"/>
              <w:right w:w="55" w:type="dxa"/>
            </w:tcMar>
            <w:vAlign w:val="bottom"/>
          </w:tcPr>
          <w:p>
            <w:pPr>
              <w:pStyle w:val="Normal"/>
              <w:widowControl w:val="false"/>
              <w:jc w:val="center"/>
              <w:rPr>
                <w:sz w:val="24"/>
                <w:szCs w:val="24"/>
              </w:rPr>
            </w:pPr>
            <w:r>
              <w:rPr/>
              <w:t>annual total mortality</w:t>
            </w:r>
          </w:p>
        </w:tc>
        <w:tc>
          <w:tcPr>
            <w:tcW w:w="181" w:type="dxa"/>
            <w:tcBorders/>
            <w:vAlign w:val="bottom"/>
          </w:tcPr>
          <w:p>
            <w:pPr>
              <w:pStyle w:val="Normal"/>
              <w:widowControl w:val="false"/>
              <w:rPr>
                <w:sz w:val="24"/>
                <w:szCs w:val="24"/>
              </w:rPr>
            </w:pPr>
            <w:r>
              <w:rPr>
                <w:sz w:val="24"/>
                <w:szCs w:val="24"/>
              </w:rPr>
            </w:r>
          </w:p>
        </w:tc>
        <w:tc>
          <w:tcPr>
            <w:tcW w:w="2251" w:type="dxa"/>
            <w:gridSpan w:val="3"/>
            <w:tcBorders>
              <w:bottom w:val="single" w:sz="4" w:space="0" w:color="000000"/>
            </w:tcBorders>
            <w:tcMar>
              <w:top w:w="55" w:type="dxa"/>
              <w:left w:w="55" w:type="dxa"/>
              <w:bottom w:w="55" w:type="dxa"/>
              <w:right w:w="55" w:type="dxa"/>
            </w:tcMar>
            <w:vAlign w:val="bottom"/>
          </w:tcPr>
          <w:p>
            <w:pPr>
              <w:pStyle w:val="Normal"/>
              <w:widowControl w:val="false"/>
              <w:jc w:val="center"/>
              <w:rPr>
                <w:sz w:val="24"/>
                <w:szCs w:val="24"/>
              </w:rPr>
            </w:pPr>
            <w:r>
              <w:rPr/>
              <w:t xml:space="preserve">annual LRR </w:t>
              <w:br/>
              <w:t>Mortality</w:t>
            </w:r>
          </w:p>
        </w:tc>
        <w:tc>
          <w:tcPr>
            <w:tcW w:w="181" w:type="dxa"/>
            <w:tcBorders/>
            <w:vAlign w:val="bottom"/>
          </w:tcPr>
          <w:p>
            <w:pPr>
              <w:pStyle w:val="Normal"/>
              <w:widowControl w:val="false"/>
              <w:rPr>
                <w:sz w:val="24"/>
                <w:szCs w:val="24"/>
              </w:rPr>
            </w:pPr>
            <w:r>
              <w:rPr>
                <w:sz w:val="24"/>
                <w:szCs w:val="24"/>
              </w:rPr>
            </w:r>
          </w:p>
        </w:tc>
        <w:tc>
          <w:tcPr>
            <w:tcW w:w="2141" w:type="dxa"/>
            <w:gridSpan w:val="3"/>
            <w:tcBorders>
              <w:bottom w:val="single" w:sz="4" w:space="0" w:color="000000"/>
            </w:tcBorders>
            <w:tcMar>
              <w:top w:w="55" w:type="dxa"/>
              <w:left w:w="55" w:type="dxa"/>
              <w:bottom w:w="55" w:type="dxa"/>
              <w:right w:w="55" w:type="dxa"/>
            </w:tcMar>
            <w:vAlign w:val="bottom"/>
          </w:tcPr>
          <w:p>
            <w:pPr>
              <w:pStyle w:val="Normal"/>
              <w:widowControl w:val="false"/>
              <w:jc w:val="center"/>
              <w:rPr>
                <w:sz w:val="24"/>
                <w:szCs w:val="24"/>
              </w:rPr>
            </w:pPr>
            <w:r>
              <w:rPr/>
              <w:t>annual suppression mortality</w:t>
            </w:r>
          </w:p>
        </w:tc>
      </w:tr>
      <w:tr>
        <w:trPr>
          <w:trHeight w:val="611" w:hRule="atLeast"/>
        </w:trPr>
        <w:tc>
          <w:tcPr>
            <w:tcW w:w="2026"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Source</w:t>
            </w:r>
          </w:p>
        </w:tc>
        <w:tc>
          <w:tcPr>
            <w:tcW w:w="503"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df</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Test stat.*</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p</w:t>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8"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df</w:t>
            </w:r>
          </w:p>
        </w:tc>
        <w:tc>
          <w:tcPr>
            <w:tcW w:w="80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Test stat.*</w:t>
            </w:r>
          </w:p>
        </w:tc>
        <w:tc>
          <w:tcPr>
            <w:tcW w:w="903"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p</w:t>
            </w:r>
          </w:p>
        </w:tc>
        <w:tc>
          <w:tcPr>
            <w:tcW w:w="18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44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Df</w:t>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Test stat.*</w:t>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p</w:t>
            </w:r>
          </w:p>
        </w:tc>
        <w:tc>
          <w:tcPr>
            <w:tcW w:w="18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6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df</w:t>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Test stat.*</w:t>
            </w:r>
          </w:p>
        </w:tc>
        <w:tc>
          <w:tcPr>
            <w:tcW w:w="97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p</w:t>
            </w:r>
          </w:p>
        </w:tc>
      </w:tr>
      <w:tr>
        <w:trPr>
          <w:trHeight w:val="300" w:hRule="atLeast"/>
        </w:trPr>
        <w:tc>
          <w:tcPr>
            <w:tcW w:w="2026" w:type="dxa"/>
            <w:tcBorders/>
            <w:vAlign w:val="bottom"/>
          </w:tcPr>
          <w:p>
            <w:pPr>
              <w:pStyle w:val="Normal"/>
              <w:widowControl w:val="false"/>
              <w:rPr>
                <w:sz w:val="24"/>
                <w:szCs w:val="24"/>
              </w:rPr>
            </w:pPr>
            <w:r>
              <w:rPr>
                <w:b/>
              </w:rPr>
              <w:t>EARLY</w:t>
            </w:r>
          </w:p>
        </w:tc>
        <w:tc>
          <w:tcPr>
            <w:tcW w:w="503" w:type="dxa"/>
            <w:tcBorders/>
            <w:vAlign w:val="bottom"/>
          </w:tcPr>
          <w:p>
            <w:pPr>
              <w:pStyle w:val="Normal"/>
              <w:widowControl w:val="false"/>
              <w:rPr>
                <w:sz w:val="24"/>
                <w:szCs w:val="24"/>
              </w:rPr>
            </w:pPr>
            <w:r>
              <w:rPr>
                <w:sz w:val="24"/>
                <w:szCs w:val="24"/>
              </w:rPr>
            </w:r>
          </w:p>
        </w:tc>
        <w:tc>
          <w:tcPr>
            <w:tcW w:w="811" w:type="dxa"/>
            <w:tcBorders/>
            <w:vAlign w:val="bottom"/>
          </w:tcPr>
          <w:p>
            <w:pPr>
              <w:pStyle w:val="Normal"/>
              <w:widowControl w:val="false"/>
              <w:rPr>
                <w:sz w:val="24"/>
                <w:szCs w:val="24"/>
              </w:rPr>
            </w:pPr>
            <w:r>
              <w:rPr>
                <w:sz w:val="24"/>
                <w:szCs w:val="24"/>
              </w:rPr>
            </w:r>
          </w:p>
        </w:tc>
        <w:tc>
          <w:tcPr>
            <w:tcW w:w="811" w:type="dxa"/>
            <w:tcBorders/>
            <w:vAlign w:val="bottom"/>
          </w:tcPr>
          <w:p>
            <w:pPr>
              <w:pStyle w:val="Normal"/>
              <w:widowControl w:val="false"/>
              <w:rPr>
                <w:sz w:val="24"/>
                <w:szCs w:val="24"/>
              </w:rPr>
            </w:pPr>
            <w:r>
              <w:rPr>
                <w:sz w:val="24"/>
                <w:szCs w:val="24"/>
              </w:rPr>
            </w:r>
          </w:p>
        </w:tc>
        <w:tc>
          <w:tcPr>
            <w:tcW w:w="182" w:type="dxa"/>
            <w:tcBorders/>
            <w:vAlign w:val="bottom"/>
          </w:tcPr>
          <w:p>
            <w:pPr>
              <w:pStyle w:val="Normal"/>
              <w:widowControl w:val="false"/>
              <w:rPr>
                <w:sz w:val="24"/>
                <w:szCs w:val="24"/>
              </w:rPr>
            </w:pPr>
            <w:r>
              <w:rPr>
                <w:sz w:val="24"/>
                <w:szCs w:val="24"/>
              </w:rPr>
            </w:r>
          </w:p>
        </w:tc>
        <w:tc>
          <w:tcPr>
            <w:tcW w:w="358" w:type="dxa"/>
            <w:tcBorders/>
            <w:vAlign w:val="bottom"/>
          </w:tcPr>
          <w:p>
            <w:pPr>
              <w:pStyle w:val="Normal"/>
              <w:widowControl w:val="false"/>
              <w:rPr>
                <w:sz w:val="24"/>
                <w:szCs w:val="24"/>
              </w:rPr>
            </w:pPr>
            <w:r>
              <w:rPr>
                <w:sz w:val="24"/>
                <w:szCs w:val="24"/>
              </w:rPr>
            </w:r>
          </w:p>
        </w:tc>
        <w:tc>
          <w:tcPr>
            <w:tcW w:w="809" w:type="dxa"/>
            <w:tcBorders/>
            <w:vAlign w:val="bottom"/>
          </w:tcPr>
          <w:p>
            <w:pPr>
              <w:pStyle w:val="Normal"/>
              <w:widowControl w:val="false"/>
              <w:rPr>
                <w:sz w:val="24"/>
                <w:szCs w:val="24"/>
              </w:rPr>
            </w:pPr>
            <w:r>
              <w:rPr>
                <w:sz w:val="24"/>
                <w:szCs w:val="24"/>
              </w:rPr>
            </w:r>
          </w:p>
        </w:tc>
        <w:tc>
          <w:tcPr>
            <w:tcW w:w="903" w:type="dxa"/>
            <w:tcBorders/>
            <w:vAlign w:val="bottom"/>
          </w:tcPr>
          <w:p>
            <w:pPr>
              <w:pStyle w:val="Normal"/>
              <w:widowControl w:val="false"/>
              <w:rPr>
                <w:sz w:val="24"/>
                <w:szCs w:val="24"/>
              </w:rPr>
            </w:pPr>
            <w:r>
              <w:rPr>
                <w:sz w:val="24"/>
                <w:szCs w:val="24"/>
              </w:rPr>
            </w:r>
          </w:p>
        </w:tc>
        <w:tc>
          <w:tcPr>
            <w:tcW w:w="181" w:type="dxa"/>
            <w:tcBorders/>
            <w:vAlign w:val="bottom"/>
          </w:tcPr>
          <w:p>
            <w:pPr>
              <w:pStyle w:val="Normal"/>
              <w:widowControl w:val="false"/>
              <w:rPr>
                <w:sz w:val="24"/>
                <w:szCs w:val="24"/>
              </w:rPr>
            </w:pPr>
            <w:r>
              <w:rPr>
                <w:sz w:val="24"/>
                <w:szCs w:val="24"/>
              </w:rPr>
            </w:r>
          </w:p>
        </w:tc>
        <w:tc>
          <w:tcPr>
            <w:tcW w:w="449" w:type="dxa"/>
            <w:tcBorders/>
            <w:vAlign w:val="bottom"/>
          </w:tcPr>
          <w:p>
            <w:pPr>
              <w:pStyle w:val="Normal"/>
              <w:widowControl w:val="false"/>
              <w:rPr>
                <w:sz w:val="24"/>
                <w:szCs w:val="24"/>
              </w:rPr>
            </w:pPr>
            <w:r>
              <w:rPr>
                <w:sz w:val="24"/>
                <w:szCs w:val="24"/>
              </w:rPr>
            </w:r>
          </w:p>
        </w:tc>
        <w:tc>
          <w:tcPr>
            <w:tcW w:w="901" w:type="dxa"/>
            <w:tcBorders/>
            <w:vAlign w:val="bottom"/>
          </w:tcPr>
          <w:p>
            <w:pPr>
              <w:pStyle w:val="Normal"/>
              <w:widowControl w:val="false"/>
              <w:rPr>
                <w:sz w:val="24"/>
                <w:szCs w:val="24"/>
              </w:rPr>
            </w:pPr>
            <w:r>
              <w:rPr>
                <w:sz w:val="24"/>
                <w:szCs w:val="24"/>
              </w:rPr>
            </w:r>
          </w:p>
        </w:tc>
        <w:tc>
          <w:tcPr>
            <w:tcW w:w="901" w:type="dxa"/>
            <w:tcBorders/>
            <w:vAlign w:val="bottom"/>
          </w:tcPr>
          <w:p>
            <w:pPr>
              <w:pStyle w:val="Normal"/>
              <w:widowControl w:val="false"/>
              <w:rPr>
                <w:sz w:val="24"/>
                <w:szCs w:val="24"/>
              </w:rPr>
            </w:pPr>
            <w:r>
              <w:rPr>
                <w:sz w:val="24"/>
                <w:szCs w:val="24"/>
              </w:rPr>
            </w:r>
          </w:p>
        </w:tc>
        <w:tc>
          <w:tcPr>
            <w:tcW w:w="181" w:type="dxa"/>
            <w:tcBorders/>
            <w:vAlign w:val="bottom"/>
          </w:tcPr>
          <w:p>
            <w:pPr>
              <w:pStyle w:val="Normal"/>
              <w:widowControl w:val="false"/>
              <w:rPr>
                <w:sz w:val="24"/>
                <w:szCs w:val="24"/>
              </w:rPr>
            </w:pPr>
            <w:r>
              <w:rPr>
                <w:sz w:val="24"/>
                <w:szCs w:val="24"/>
              </w:rPr>
            </w:r>
          </w:p>
        </w:tc>
        <w:tc>
          <w:tcPr>
            <w:tcW w:w="360" w:type="dxa"/>
            <w:tcBorders/>
            <w:vAlign w:val="bottom"/>
          </w:tcPr>
          <w:p>
            <w:pPr>
              <w:pStyle w:val="Normal"/>
              <w:widowControl w:val="false"/>
              <w:rPr>
                <w:sz w:val="24"/>
                <w:szCs w:val="24"/>
              </w:rPr>
            </w:pPr>
            <w:r>
              <w:rPr>
                <w:sz w:val="24"/>
                <w:szCs w:val="24"/>
              </w:rPr>
            </w:r>
          </w:p>
        </w:tc>
        <w:tc>
          <w:tcPr>
            <w:tcW w:w="810" w:type="dxa"/>
            <w:tcBorders/>
            <w:vAlign w:val="bottom"/>
          </w:tcPr>
          <w:p>
            <w:pPr>
              <w:pStyle w:val="Normal"/>
              <w:widowControl w:val="false"/>
              <w:rPr>
                <w:sz w:val="24"/>
                <w:szCs w:val="24"/>
              </w:rPr>
            </w:pPr>
            <w:r>
              <w:rPr>
                <w:sz w:val="24"/>
                <w:szCs w:val="24"/>
              </w:rPr>
            </w:r>
          </w:p>
        </w:tc>
        <w:tc>
          <w:tcPr>
            <w:tcW w:w="971" w:type="dxa"/>
            <w:tcBorders/>
            <w:vAlign w:val="bottom"/>
          </w:tcPr>
          <w:p>
            <w:pPr>
              <w:pStyle w:val="Normal"/>
              <w:widowControl w:val="false"/>
              <w:rPr>
                <w:sz w:val="24"/>
                <w:szCs w:val="24"/>
              </w:rPr>
            </w:pPr>
            <w:r>
              <w:rPr>
                <w:sz w:val="24"/>
                <w:szCs w:val="24"/>
              </w:rPr>
            </w:r>
          </w:p>
        </w:tc>
      </w:tr>
      <w:tr>
        <w:trPr>
          <w:trHeight w:val="276" w:hRule="atLeast"/>
        </w:trPr>
        <w:tc>
          <w:tcPr>
            <w:tcW w:w="2026" w:type="dxa"/>
            <w:tcBorders/>
            <w:vAlign w:val="bottom"/>
          </w:tcPr>
          <w:p>
            <w:pPr>
              <w:pStyle w:val="Normal"/>
              <w:widowControl w:val="false"/>
              <w:rPr>
                <w:sz w:val="24"/>
                <w:szCs w:val="24"/>
              </w:rPr>
            </w:pPr>
            <w:r>
              <w:rPr/>
              <w:t>Block</w:t>
            </w:r>
          </w:p>
        </w:tc>
        <w:tc>
          <w:tcPr>
            <w:tcW w:w="503" w:type="dxa"/>
            <w:tcBorders/>
            <w:vAlign w:val="bottom"/>
          </w:tcPr>
          <w:p>
            <w:pPr>
              <w:pStyle w:val="Normal"/>
              <w:widowControl w:val="false"/>
              <w:jc w:val="right"/>
              <w:rPr>
                <w:sz w:val="24"/>
                <w:szCs w:val="24"/>
              </w:rPr>
            </w:pPr>
            <w:r>
              <w:rPr/>
              <w:t>1</w:t>
            </w:r>
          </w:p>
        </w:tc>
        <w:tc>
          <w:tcPr>
            <w:tcW w:w="811" w:type="dxa"/>
            <w:tcBorders/>
            <w:vAlign w:val="bottom"/>
          </w:tcPr>
          <w:p>
            <w:pPr>
              <w:pStyle w:val="Normal"/>
              <w:widowControl w:val="false"/>
              <w:jc w:val="right"/>
              <w:rPr>
                <w:sz w:val="24"/>
                <w:szCs w:val="24"/>
              </w:rPr>
            </w:pPr>
            <w:r>
              <w:rPr/>
              <w:t>1.1120</w:t>
            </w:r>
          </w:p>
        </w:tc>
        <w:tc>
          <w:tcPr>
            <w:tcW w:w="811" w:type="dxa"/>
            <w:tcBorders/>
            <w:vAlign w:val="bottom"/>
          </w:tcPr>
          <w:p>
            <w:pPr>
              <w:pStyle w:val="Normal"/>
              <w:widowControl w:val="false"/>
              <w:jc w:val="right"/>
              <w:rPr>
                <w:sz w:val="24"/>
                <w:szCs w:val="24"/>
              </w:rPr>
            </w:pPr>
            <w:r>
              <w:rPr/>
              <w:t>0.2916</w:t>
            </w:r>
          </w:p>
        </w:tc>
        <w:tc>
          <w:tcPr>
            <w:tcW w:w="182" w:type="dxa"/>
            <w:tcBorders/>
            <w:vAlign w:val="bottom"/>
          </w:tcPr>
          <w:p>
            <w:pPr>
              <w:pStyle w:val="Normal"/>
              <w:widowControl w:val="false"/>
              <w:rPr>
                <w:sz w:val="24"/>
                <w:szCs w:val="24"/>
              </w:rPr>
            </w:pPr>
            <w:r>
              <w:rPr>
                <w:sz w:val="24"/>
                <w:szCs w:val="24"/>
              </w:rPr>
            </w:r>
          </w:p>
        </w:tc>
        <w:tc>
          <w:tcPr>
            <w:tcW w:w="358" w:type="dxa"/>
            <w:tcBorders/>
            <w:vAlign w:val="bottom"/>
          </w:tcPr>
          <w:p>
            <w:pPr>
              <w:pStyle w:val="Normal"/>
              <w:widowControl w:val="false"/>
              <w:rPr>
                <w:sz w:val="24"/>
                <w:szCs w:val="24"/>
              </w:rPr>
            </w:pPr>
            <w:r>
              <w:rPr>
                <w:sz w:val="24"/>
                <w:szCs w:val="24"/>
              </w:rPr>
            </w:r>
          </w:p>
        </w:tc>
        <w:tc>
          <w:tcPr>
            <w:tcW w:w="809" w:type="dxa"/>
            <w:tcBorders/>
            <w:vAlign w:val="bottom"/>
          </w:tcPr>
          <w:p>
            <w:pPr>
              <w:pStyle w:val="Normal"/>
              <w:widowControl w:val="false"/>
              <w:jc w:val="right"/>
              <w:rPr>
                <w:sz w:val="24"/>
                <w:szCs w:val="24"/>
              </w:rPr>
            </w:pPr>
            <w:r>
              <w:rPr/>
              <w:t>NA</w:t>
            </w:r>
          </w:p>
        </w:tc>
        <w:tc>
          <w:tcPr>
            <w:tcW w:w="903" w:type="dxa"/>
            <w:tcBorders/>
            <w:vAlign w:val="bottom"/>
          </w:tcPr>
          <w:p>
            <w:pPr>
              <w:pStyle w:val="Normal"/>
              <w:widowControl w:val="false"/>
              <w:jc w:val="right"/>
              <w:rPr>
                <w:sz w:val="24"/>
                <w:szCs w:val="24"/>
              </w:rPr>
            </w:pPr>
            <w:r>
              <w:rPr/>
              <w:t>NA</w:t>
            </w:r>
          </w:p>
        </w:tc>
        <w:tc>
          <w:tcPr>
            <w:tcW w:w="181" w:type="dxa"/>
            <w:tcBorders/>
            <w:vAlign w:val="bottom"/>
          </w:tcPr>
          <w:p>
            <w:pPr>
              <w:pStyle w:val="Normal"/>
              <w:widowControl w:val="false"/>
              <w:rPr>
                <w:sz w:val="24"/>
                <w:szCs w:val="24"/>
              </w:rPr>
            </w:pPr>
            <w:r>
              <w:rPr>
                <w:sz w:val="24"/>
                <w:szCs w:val="24"/>
              </w:rPr>
            </w:r>
          </w:p>
        </w:tc>
        <w:tc>
          <w:tcPr>
            <w:tcW w:w="449" w:type="dxa"/>
            <w:tcBorders/>
            <w:vAlign w:val="bottom"/>
          </w:tcPr>
          <w:p>
            <w:pPr>
              <w:pStyle w:val="Normal"/>
              <w:widowControl w:val="false"/>
              <w:jc w:val="right"/>
              <w:rPr>
                <w:sz w:val="24"/>
                <w:szCs w:val="24"/>
              </w:rPr>
            </w:pPr>
            <w:r>
              <w:rPr/>
              <w:t>1</w:t>
            </w:r>
          </w:p>
        </w:tc>
        <w:tc>
          <w:tcPr>
            <w:tcW w:w="901" w:type="dxa"/>
            <w:tcBorders/>
            <w:vAlign w:val="bottom"/>
          </w:tcPr>
          <w:p>
            <w:pPr>
              <w:pStyle w:val="Normal"/>
              <w:widowControl w:val="false"/>
              <w:jc w:val="right"/>
              <w:rPr>
                <w:sz w:val="24"/>
                <w:szCs w:val="24"/>
              </w:rPr>
            </w:pPr>
            <w:r>
              <w:rPr/>
              <w:t>6.492</w:t>
            </w:r>
          </w:p>
        </w:tc>
        <w:tc>
          <w:tcPr>
            <w:tcW w:w="901" w:type="dxa"/>
            <w:tcBorders/>
            <w:vAlign w:val="bottom"/>
          </w:tcPr>
          <w:p>
            <w:pPr>
              <w:pStyle w:val="Normal"/>
              <w:widowControl w:val="false"/>
              <w:jc w:val="right"/>
              <w:rPr>
                <w:sz w:val="24"/>
                <w:szCs w:val="24"/>
              </w:rPr>
            </w:pPr>
            <w:r>
              <w:rPr>
                <w:b/>
              </w:rPr>
              <w:t>0.0108</w:t>
            </w:r>
          </w:p>
        </w:tc>
        <w:tc>
          <w:tcPr>
            <w:tcW w:w="181" w:type="dxa"/>
            <w:tcBorders/>
            <w:vAlign w:val="bottom"/>
          </w:tcPr>
          <w:p>
            <w:pPr>
              <w:pStyle w:val="Normal"/>
              <w:widowControl w:val="false"/>
              <w:rPr>
                <w:sz w:val="24"/>
                <w:szCs w:val="24"/>
              </w:rPr>
            </w:pPr>
            <w:r>
              <w:rPr>
                <w:sz w:val="24"/>
                <w:szCs w:val="24"/>
              </w:rPr>
            </w:r>
          </w:p>
        </w:tc>
        <w:tc>
          <w:tcPr>
            <w:tcW w:w="360" w:type="dxa"/>
            <w:tcBorders/>
            <w:vAlign w:val="bottom"/>
          </w:tcPr>
          <w:p>
            <w:pPr>
              <w:pStyle w:val="Normal"/>
              <w:widowControl w:val="false"/>
              <w:jc w:val="right"/>
              <w:rPr>
                <w:sz w:val="24"/>
                <w:szCs w:val="24"/>
              </w:rPr>
            </w:pPr>
            <w:r>
              <w:rPr/>
              <w:t>1</w:t>
            </w:r>
          </w:p>
        </w:tc>
        <w:tc>
          <w:tcPr>
            <w:tcW w:w="810" w:type="dxa"/>
            <w:tcBorders/>
            <w:vAlign w:val="bottom"/>
          </w:tcPr>
          <w:p>
            <w:pPr>
              <w:pStyle w:val="Normal"/>
              <w:widowControl w:val="false"/>
              <w:jc w:val="right"/>
              <w:rPr>
                <w:sz w:val="24"/>
                <w:szCs w:val="24"/>
              </w:rPr>
            </w:pPr>
            <w:r>
              <w:rPr/>
              <w:t>3.0168</w:t>
            </w:r>
          </w:p>
        </w:tc>
        <w:tc>
          <w:tcPr>
            <w:tcW w:w="971" w:type="dxa"/>
            <w:tcBorders/>
            <w:vAlign w:val="bottom"/>
          </w:tcPr>
          <w:p>
            <w:pPr>
              <w:pStyle w:val="Normal"/>
              <w:widowControl w:val="false"/>
              <w:jc w:val="right"/>
              <w:rPr>
                <w:sz w:val="24"/>
                <w:szCs w:val="24"/>
              </w:rPr>
            </w:pPr>
            <w:r>
              <w:rPr/>
              <w:t>0.0824</w:t>
            </w:r>
          </w:p>
        </w:tc>
      </w:tr>
      <w:tr>
        <w:trPr>
          <w:trHeight w:val="300" w:hRule="atLeast"/>
        </w:trPr>
        <w:tc>
          <w:tcPr>
            <w:tcW w:w="2026" w:type="dxa"/>
            <w:tcBorders/>
            <w:vAlign w:val="bottom"/>
          </w:tcPr>
          <w:p>
            <w:pPr>
              <w:pStyle w:val="Normal"/>
              <w:widowControl w:val="false"/>
              <w:rPr>
                <w:sz w:val="24"/>
                <w:szCs w:val="24"/>
              </w:rPr>
            </w:pPr>
            <w:r>
              <w:rPr/>
              <w:t>Treatment (A,B,D,E)</w:t>
            </w:r>
          </w:p>
        </w:tc>
        <w:tc>
          <w:tcPr>
            <w:tcW w:w="503" w:type="dxa"/>
            <w:tcBorders/>
            <w:vAlign w:val="bottom"/>
          </w:tcPr>
          <w:p>
            <w:pPr>
              <w:pStyle w:val="Normal"/>
              <w:widowControl w:val="false"/>
              <w:jc w:val="right"/>
              <w:rPr>
                <w:sz w:val="24"/>
                <w:szCs w:val="24"/>
              </w:rPr>
            </w:pPr>
            <w:r>
              <w:rPr/>
              <w:t>3</w:t>
            </w:r>
          </w:p>
        </w:tc>
        <w:tc>
          <w:tcPr>
            <w:tcW w:w="811" w:type="dxa"/>
            <w:tcBorders/>
            <w:vAlign w:val="bottom"/>
          </w:tcPr>
          <w:p>
            <w:pPr>
              <w:pStyle w:val="Normal"/>
              <w:widowControl w:val="false"/>
              <w:jc w:val="right"/>
              <w:rPr>
                <w:sz w:val="24"/>
                <w:szCs w:val="24"/>
              </w:rPr>
            </w:pPr>
            <w:r>
              <w:rPr/>
              <w:t>6.0979</w:t>
            </w:r>
          </w:p>
        </w:tc>
        <w:tc>
          <w:tcPr>
            <w:tcW w:w="811" w:type="dxa"/>
            <w:tcBorders/>
            <w:vAlign w:val="bottom"/>
          </w:tcPr>
          <w:p>
            <w:pPr>
              <w:pStyle w:val="Normal"/>
              <w:widowControl w:val="false"/>
              <w:jc w:val="right"/>
              <w:rPr>
                <w:sz w:val="24"/>
                <w:szCs w:val="24"/>
              </w:rPr>
            </w:pPr>
            <w:r>
              <w:rPr>
                <w:b/>
              </w:rPr>
              <w:t>0.0080</w:t>
            </w:r>
          </w:p>
        </w:tc>
        <w:tc>
          <w:tcPr>
            <w:tcW w:w="182" w:type="dxa"/>
            <w:tcBorders/>
            <w:vAlign w:val="bottom"/>
          </w:tcPr>
          <w:p>
            <w:pPr>
              <w:pStyle w:val="Normal"/>
              <w:widowControl w:val="false"/>
              <w:rPr>
                <w:sz w:val="24"/>
                <w:szCs w:val="24"/>
              </w:rPr>
            </w:pPr>
            <w:r>
              <w:rPr>
                <w:sz w:val="24"/>
                <w:szCs w:val="24"/>
              </w:rPr>
            </w:r>
          </w:p>
        </w:tc>
        <w:tc>
          <w:tcPr>
            <w:tcW w:w="358" w:type="dxa"/>
            <w:tcBorders/>
            <w:vAlign w:val="bottom"/>
          </w:tcPr>
          <w:p>
            <w:pPr>
              <w:pStyle w:val="Normal"/>
              <w:widowControl w:val="false"/>
              <w:jc w:val="right"/>
              <w:rPr>
                <w:sz w:val="24"/>
                <w:szCs w:val="24"/>
              </w:rPr>
            </w:pPr>
            <w:r>
              <w:rPr/>
              <w:t>3</w:t>
            </w:r>
          </w:p>
        </w:tc>
        <w:tc>
          <w:tcPr>
            <w:tcW w:w="809" w:type="dxa"/>
            <w:tcBorders/>
            <w:vAlign w:val="bottom"/>
          </w:tcPr>
          <w:p>
            <w:pPr>
              <w:pStyle w:val="Normal"/>
              <w:widowControl w:val="false"/>
              <w:jc w:val="right"/>
              <w:rPr>
                <w:sz w:val="24"/>
                <w:szCs w:val="24"/>
              </w:rPr>
            </w:pPr>
            <w:r>
              <w:rPr/>
              <w:t>3.7098</w:t>
            </w:r>
          </w:p>
        </w:tc>
        <w:tc>
          <w:tcPr>
            <w:tcW w:w="903" w:type="dxa"/>
            <w:tcBorders/>
            <w:vAlign w:val="bottom"/>
          </w:tcPr>
          <w:p>
            <w:pPr>
              <w:pStyle w:val="Normal"/>
              <w:widowControl w:val="false"/>
              <w:jc w:val="right"/>
              <w:rPr>
                <w:sz w:val="24"/>
                <w:szCs w:val="24"/>
              </w:rPr>
            </w:pPr>
            <w:r>
              <w:rPr>
                <w:b/>
              </w:rPr>
              <w:t>0.0374</w:t>
            </w:r>
          </w:p>
        </w:tc>
        <w:tc>
          <w:tcPr>
            <w:tcW w:w="181" w:type="dxa"/>
            <w:tcBorders/>
            <w:vAlign w:val="bottom"/>
          </w:tcPr>
          <w:p>
            <w:pPr>
              <w:pStyle w:val="Normal"/>
              <w:widowControl w:val="false"/>
              <w:rPr>
                <w:sz w:val="24"/>
                <w:szCs w:val="24"/>
              </w:rPr>
            </w:pPr>
            <w:r>
              <w:rPr>
                <w:sz w:val="24"/>
                <w:szCs w:val="24"/>
              </w:rPr>
            </w:r>
          </w:p>
        </w:tc>
        <w:tc>
          <w:tcPr>
            <w:tcW w:w="449" w:type="dxa"/>
            <w:tcBorders/>
            <w:vAlign w:val="bottom"/>
          </w:tcPr>
          <w:p>
            <w:pPr>
              <w:pStyle w:val="Normal"/>
              <w:widowControl w:val="false"/>
              <w:jc w:val="right"/>
              <w:rPr>
                <w:sz w:val="24"/>
                <w:szCs w:val="24"/>
              </w:rPr>
            </w:pPr>
            <w:r>
              <w:rPr/>
              <w:t>3</w:t>
            </w:r>
          </w:p>
        </w:tc>
        <w:tc>
          <w:tcPr>
            <w:tcW w:w="901" w:type="dxa"/>
            <w:tcBorders/>
            <w:vAlign w:val="bottom"/>
          </w:tcPr>
          <w:p>
            <w:pPr>
              <w:pStyle w:val="Normal"/>
              <w:widowControl w:val="false"/>
              <w:jc w:val="right"/>
              <w:rPr>
                <w:sz w:val="24"/>
                <w:szCs w:val="24"/>
              </w:rPr>
            </w:pPr>
            <w:r>
              <w:rPr/>
              <w:t>5.8110</w:t>
            </w:r>
          </w:p>
        </w:tc>
        <w:tc>
          <w:tcPr>
            <w:tcW w:w="901" w:type="dxa"/>
            <w:tcBorders/>
            <w:vAlign w:val="bottom"/>
          </w:tcPr>
          <w:p>
            <w:pPr>
              <w:pStyle w:val="Normal"/>
              <w:widowControl w:val="false"/>
              <w:jc w:val="right"/>
              <w:rPr>
                <w:sz w:val="24"/>
                <w:szCs w:val="24"/>
              </w:rPr>
            </w:pPr>
            <w:r>
              <w:rPr>
                <w:b/>
              </w:rPr>
              <w:t>0.0093</w:t>
            </w:r>
          </w:p>
        </w:tc>
        <w:tc>
          <w:tcPr>
            <w:tcW w:w="181" w:type="dxa"/>
            <w:tcBorders/>
            <w:vAlign w:val="bottom"/>
          </w:tcPr>
          <w:p>
            <w:pPr>
              <w:pStyle w:val="Normal"/>
              <w:widowControl w:val="false"/>
              <w:rPr>
                <w:sz w:val="24"/>
                <w:szCs w:val="24"/>
              </w:rPr>
            </w:pPr>
            <w:r>
              <w:rPr>
                <w:sz w:val="24"/>
                <w:szCs w:val="24"/>
              </w:rPr>
            </w:r>
          </w:p>
        </w:tc>
        <w:tc>
          <w:tcPr>
            <w:tcW w:w="360" w:type="dxa"/>
            <w:tcBorders/>
            <w:vAlign w:val="bottom"/>
          </w:tcPr>
          <w:p>
            <w:pPr>
              <w:pStyle w:val="Normal"/>
              <w:widowControl w:val="false"/>
              <w:jc w:val="right"/>
              <w:rPr>
                <w:sz w:val="24"/>
                <w:szCs w:val="24"/>
              </w:rPr>
            </w:pPr>
            <w:r>
              <w:rPr/>
              <w:t>3</w:t>
            </w:r>
          </w:p>
        </w:tc>
        <w:tc>
          <w:tcPr>
            <w:tcW w:w="810" w:type="dxa"/>
            <w:tcBorders/>
            <w:vAlign w:val="bottom"/>
          </w:tcPr>
          <w:p>
            <w:pPr>
              <w:pStyle w:val="Normal"/>
              <w:widowControl w:val="false"/>
              <w:jc w:val="right"/>
              <w:rPr>
                <w:sz w:val="24"/>
                <w:szCs w:val="24"/>
              </w:rPr>
            </w:pPr>
            <w:r>
              <w:rPr/>
              <w:t>9.2687</w:t>
            </w:r>
          </w:p>
        </w:tc>
        <w:tc>
          <w:tcPr>
            <w:tcW w:w="971" w:type="dxa"/>
            <w:tcBorders/>
            <w:vAlign w:val="bottom"/>
          </w:tcPr>
          <w:p>
            <w:pPr>
              <w:pStyle w:val="Normal"/>
              <w:widowControl w:val="false"/>
              <w:jc w:val="right"/>
              <w:rPr>
                <w:sz w:val="24"/>
                <w:szCs w:val="24"/>
              </w:rPr>
            </w:pPr>
            <w:r>
              <w:rPr>
                <w:b/>
              </w:rPr>
              <w:t>0.0014</w:t>
            </w:r>
          </w:p>
        </w:tc>
      </w:tr>
      <w:tr>
        <w:trPr>
          <w:trHeight w:val="300" w:hRule="atLeast"/>
        </w:trPr>
        <w:tc>
          <w:tcPr>
            <w:tcW w:w="2026"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Error</w:t>
            </w:r>
          </w:p>
        </w:tc>
        <w:tc>
          <w:tcPr>
            <w:tcW w:w="503"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13</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8"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13</w:t>
            </w:r>
          </w:p>
        </w:tc>
        <w:tc>
          <w:tcPr>
            <w:tcW w:w="80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03"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449"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13</w:t>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60"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13</w:t>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7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r>
      <w:tr>
        <w:trPr>
          <w:trHeight w:val="300" w:hRule="atLeast"/>
        </w:trPr>
        <w:tc>
          <w:tcPr>
            <w:tcW w:w="2026" w:type="dxa"/>
            <w:tcBorders/>
            <w:vAlign w:val="bottom"/>
          </w:tcPr>
          <w:p>
            <w:pPr>
              <w:pStyle w:val="Normal"/>
              <w:widowControl w:val="false"/>
              <w:rPr>
                <w:sz w:val="24"/>
                <w:szCs w:val="24"/>
              </w:rPr>
            </w:pPr>
            <w:r>
              <w:rPr>
                <w:b/>
              </w:rPr>
              <w:t>MIDDLE</w:t>
            </w:r>
          </w:p>
        </w:tc>
        <w:tc>
          <w:tcPr>
            <w:tcW w:w="503" w:type="dxa"/>
            <w:tcBorders/>
            <w:vAlign w:val="bottom"/>
          </w:tcPr>
          <w:p>
            <w:pPr>
              <w:pStyle w:val="Normal"/>
              <w:widowControl w:val="false"/>
              <w:rPr>
                <w:sz w:val="24"/>
                <w:szCs w:val="24"/>
              </w:rPr>
            </w:pPr>
            <w:r>
              <w:rPr>
                <w:sz w:val="24"/>
                <w:szCs w:val="24"/>
              </w:rPr>
            </w:r>
          </w:p>
        </w:tc>
        <w:tc>
          <w:tcPr>
            <w:tcW w:w="811" w:type="dxa"/>
            <w:tcBorders/>
            <w:vAlign w:val="bottom"/>
          </w:tcPr>
          <w:p>
            <w:pPr>
              <w:pStyle w:val="Normal"/>
              <w:widowControl w:val="false"/>
              <w:rPr>
                <w:sz w:val="24"/>
                <w:szCs w:val="24"/>
              </w:rPr>
            </w:pPr>
            <w:r>
              <w:rPr>
                <w:sz w:val="24"/>
                <w:szCs w:val="24"/>
              </w:rPr>
            </w:r>
          </w:p>
        </w:tc>
        <w:tc>
          <w:tcPr>
            <w:tcW w:w="811" w:type="dxa"/>
            <w:tcBorders/>
            <w:vAlign w:val="bottom"/>
          </w:tcPr>
          <w:p>
            <w:pPr>
              <w:pStyle w:val="Normal"/>
              <w:widowControl w:val="false"/>
              <w:rPr>
                <w:sz w:val="24"/>
                <w:szCs w:val="24"/>
              </w:rPr>
            </w:pPr>
            <w:r>
              <w:rPr>
                <w:sz w:val="24"/>
                <w:szCs w:val="24"/>
              </w:rPr>
            </w:r>
          </w:p>
        </w:tc>
        <w:tc>
          <w:tcPr>
            <w:tcW w:w="182" w:type="dxa"/>
            <w:tcBorders/>
            <w:vAlign w:val="bottom"/>
          </w:tcPr>
          <w:p>
            <w:pPr>
              <w:pStyle w:val="Normal"/>
              <w:widowControl w:val="false"/>
              <w:rPr>
                <w:sz w:val="24"/>
                <w:szCs w:val="24"/>
              </w:rPr>
            </w:pPr>
            <w:r>
              <w:rPr>
                <w:sz w:val="24"/>
                <w:szCs w:val="24"/>
              </w:rPr>
            </w:r>
          </w:p>
        </w:tc>
        <w:tc>
          <w:tcPr>
            <w:tcW w:w="358" w:type="dxa"/>
            <w:tcBorders/>
            <w:vAlign w:val="bottom"/>
          </w:tcPr>
          <w:p>
            <w:pPr>
              <w:pStyle w:val="Normal"/>
              <w:widowControl w:val="false"/>
              <w:rPr>
                <w:sz w:val="24"/>
                <w:szCs w:val="24"/>
              </w:rPr>
            </w:pPr>
            <w:r>
              <w:rPr>
                <w:sz w:val="24"/>
                <w:szCs w:val="24"/>
              </w:rPr>
            </w:r>
          </w:p>
        </w:tc>
        <w:tc>
          <w:tcPr>
            <w:tcW w:w="809" w:type="dxa"/>
            <w:tcBorders/>
            <w:vAlign w:val="bottom"/>
          </w:tcPr>
          <w:p>
            <w:pPr>
              <w:pStyle w:val="Normal"/>
              <w:widowControl w:val="false"/>
              <w:rPr>
                <w:sz w:val="24"/>
                <w:szCs w:val="24"/>
              </w:rPr>
            </w:pPr>
            <w:r>
              <w:rPr>
                <w:sz w:val="24"/>
                <w:szCs w:val="24"/>
              </w:rPr>
            </w:r>
          </w:p>
        </w:tc>
        <w:tc>
          <w:tcPr>
            <w:tcW w:w="903" w:type="dxa"/>
            <w:tcBorders/>
            <w:vAlign w:val="bottom"/>
          </w:tcPr>
          <w:p>
            <w:pPr>
              <w:pStyle w:val="Normal"/>
              <w:widowControl w:val="false"/>
              <w:rPr>
                <w:sz w:val="24"/>
                <w:szCs w:val="24"/>
              </w:rPr>
            </w:pPr>
            <w:r>
              <w:rPr>
                <w:sz w:val="24"/>
                <w:szCs w:val="24"/>
              </w:rPr>
            </w:r>
          </w:p>
        </w:tc>
        <w:tc>
          <w:tcPr>
            <w:tcW w:w="181" w:type="dxa"/>
            <w:tcBorders/>
            <w:vAlign w:val="bottom"/>
          </w:tcPr>
          <w:p>
            <w:pPr>
              <w:pStyle w:val="Normal"/>
              <w:widowControl w:val="false"/>
              <w:rPr>
                <w:sz w:val="24"/>
                <w:szCs w:val="24"/>
              </w:rPr>
            </w:pPr>
            <w:r>
              <w:rPr>
                <w:sz w:val="24"/>
                <w:szCs w:val="24"/>
              </w:rPr>
            </w:r>
          </w:p>
        </w:tc>
        <w:tc>
          <w:tcPr>
            <w:tcW w:w="449" w:type="dxa"/>
            <w:tcBorders/>
            <w:vAlign w:val="bottom"/>
          </w:tcPr>
          <w:p>
            <w:pPr>
              <w:pStyle w:val="Normal"/>
              <w:widowControl w:val="false"/>
              <w:rPr>
                <w:sz w:val="24"/>
                <w:szCs w:val="24"/>
              </w:rPr>
            </w:pPr>
            <w:r>
              <w:rPr>
                <w:sz w:val="24"/>
                <w:szCs w:val="24"/>
              </w:rPr>
            </w:r>
          </w:p>
        </w:tc>
        <w:tc>
          <w:tcPr>
            <w:tcW w:w="901" w:type="dxa"/>
            <w:tcBorders/>
            <w:vAlign w:val="bottom"/>
          </w:tcPr>
          <w:p>
            <w:pPr>
              <w:pStyle w:val="Normal"/>
              <w:widowControl w:val="false"/>
              <w:rPr>
                <w:sz w:val="24"/>
                <w:szCs w:val="24"/>
              </w:rPr>
            </w:pPr>
            <w:r>
              <w:rPr>
                <w:sz w:val="24"/>
                <w:szCs w:val="24"/>
              </w:rPr>
            </w:r>
          </w:p>
        </w:tc>
        <w:tc>
          <w:tcPr>
            <w:tcW w:w="901" w:type="dxa"/>
            <w:tcBorders/>
            <w:vAlign w:val="bottom"/>
          </w:tcPr>
          <w:p>
            <w:pPr>
              <w:pStyle w:val="Normal"/>
              <w:widowControl w:val="false"/>
              <w:rPr>
                <w:sz w:val="24"/>
                <w:szCs w:val="24"/>
              </w:rPr>
            </w:pPr>
            <w:r>
              <w:rPr>
                <w:sz w:val="24"/>
                <w:szCs w:val="24"/>
              </w:rPr>
            </w:r>
          </w:p>
        </w:tc>
        <w:tc>
          <w:tcPr>
            <w:tcW w:w="181" w:type="dxa"/>
            <w:tcBorders/>
            <w:vAlign w:val="bottom"/>
          </w:tcPr>
          <w:p>
            <w:pPr>
              <w:pStyle w:val="Normal"/>
              <w:widowControl w:val="false"/>
              <w:rPr>
                <w:sz w:val="24"/>
                <w:szCs w:val="24"/>
              </w:rPr>
            </w:pPr>
            <w:r>
              <w:rPr>
                <w:sz w:val="24"/>
                <w:szCs w:val="24"/>
              </w:rPr>
            </w:r>
          </w:p>
        </w:tc>
        <w:tc>
          <w:tcPr>
            <w:tcW w:w="360" w:type="dxa"/>
            <w:tcBorders/>
            <w:vAlign w:val="bottom"/>
          </w:tcPr>
          <w:p>
            <w:pPr>
              <w:pStyle w:val="Normal"/>
              <w:widowControl w:val="false"/>
              <w:rPr>
                <w:sz w:val="24"/>
                <w:szCs w:val="24"/>
              </w:rPr>
            </w:pPr>
            <w:r>
              <w:rPr>
                <w:sz w:val="24"/>
                <w:szCs w:val="24"/>
              </w:rPr>
            </w:r>
          </w:p>
        </w:tc>
        <w:tc>
          <w:tcPr>
            <w:tcW w:w="810" w:type="dxa"/>
            <w:tcBorders/>
            <w:vAlign w:val="bottom"/>
          </w:tcPr>
          <w:p>
            <w:pPr>
              <w:pStyle w:val="Normal"/>
              <w:widowControl w:val="false"/>
              <w:rPr>
                <w:sz w:val="24"/>
                <w:szCs w:val="24"/>
              </w:rPr>
            </w:pPr>
            <w:r>
              <w:rPr>
                <w:sz w:val="24"/>
                <w:szCs w:val="24"/>
              </w:rPr>
            </w:r>
          </w:p>
        </w:tc>
        <w:tc>
          <w:tcPr>
            <w:tcW w:w="971" w:type="dxa"/>
            <w:tcBorders/>
            <w:vAlign w:val="bottom"/>
          </w:tcPr>
          <w:p>
            <w:pPr>
              <w:pStyle w:val="Normal"/>
              <w:widowControl w:val="false"/>
              <w:rPr>
                <w:sz w:val="24"/>
                <w:szCs w:val="24"/>
              </w:rPr>
            </w:pPr>
            <w:r>
              <w:rPr>
                <w:sz w:val="24"/>
                <w:szCs w:val="24"/>
              </w:rPr>
            </w:r>
          </w:p>
        </w:tc>
      </w:tr>
      <w:tr>
        <w:trPr>
          <w:trHeight w:val="276" w:hRule="atLeast"/>
        </w:trPr>
        <w:tc>
          <w:tcPr>
            <w:tcW w:w="2026" w:type="dxa"/>
            <w:tcBorders/>
            <w:vAlign w:val="bottom"/>
          </w:tcPr>
          <w:p>
            <w:pPr>
              <w:pStyle w:val="Normal"/>
              <w:widowControl w:val="false"/>
              <w:rPr>
                <w:sz w:val="24"/>
                <w:szCs w:val="24"/>
              </w:rPr>
            </w:pPr>
            <w:r>
              <w:rPr/>
              <w:t>Block</w:t>
            </w:r>
          </w:p>
        </w:tc>
        <w:tc>
          <w:tcPr>
            <w:tcW w:w="503" w:type="dxa"/>
            <w:tcBorders/>
            <w:vAlign w:val="bottom"/>
          </w:tcPr>
          <w:p>
            <w:pPr>
              <w:pStyle w:val="Normal"/>
              <w:widowControl w:val="false"/>
              <w:jc w:val="right"/>
              <w:rPr>
                <w:sz w:val="24"/>
                <w:szCs w:val="24"/>
              </w:rPr>
            </w:pPr>
            <w:r>
              <w:rPr/>
              <w:t>1</w:t>
            </w:r>
          </w:p>
        </w:tc>
        <w:tc>
          <w:tcPr>
            <w:tcW w:w="811" w:type="dxa"/>
            <w:tcBorders/>
            <w:vAlign w:val="bottom"/>
          </w:tcPr>
          <w:p>
            <w:pPr>
              <w:pStyle w:val="Normal"/>
              <w:widowControl w:val="false"/>
              <w:jc w:val="right"/>
              <w:rPr>
                <w:sz w:val="24"/>
                <w:szCs w:val="24"/>
              </w:rPr>
            </w:pPr>
            <w:r>
              <w:rPr/>
              <w:t>0.6195</w:t>
            </w:r>
          </w:p>
        </w:tc>
        <w:tc>
          <w:tcPr>
            <w:tcW w:w="811" w:type="dxa"/>
            <w:tcBorders/>
            <w:vAlign w:val="bottom"/>
          </w:tcPr>
          <w:p>
            <w:pPr>
              <w:pStyle w:val="Normal"/>
              <w:widowControl w:val="false"/>
              <w:jc w:val="right"/>
              <w:rPr>
                <w:sz w:val="24"/>
                <w:szCs w:val="24"/>
              </w:rPr>
            </w:pPr>
            <w:r>
              <w:rPr/>
              <w:t>0.4312</w:t>
            </w:r>
          </w:p>
        </w:tc>
        <w:tc>
          <w:tcPr>
            <w:tcW w:w="182" w:type="dxa"/>
            <w:tcBorders/>
            <w:vAlign w:val="bottom"/>
          </w:tcPr>
          <w:p>
            <w:pPr>
              <w:pStyle w:val="Normal"/>
              <w:widowControl w:val="false"/>
              <w:rPr>
                <w:sz w:val="24"/>
                <w:szCs w:val="24"/>
              </w:rPr>
            </w:pPr>
            <w:r>
              <w:rPr>
                <w:sz w:val="24"/>
                <w:szCs w:val="24"/>
              </w:rPr>
            </w:r>
          </w:p>
        </w:tc>
        <w:tc>
          <w:tcPr>
            <w:tcW w:w="358" w:type="dxa"/>
            <w:tcBorders/>
            <w:vAlign w:val="bottom"/>
          </w:tcPr>
          <w:p>
            <w:pPr>
              <w:pStyle w:val="Normal"/>
              <w:widowControl w:val="false"/>
              <w:rPr>
                <w:sz w:val="24"/>
                <w:szCs w:val="24"/>
              </w:rPr>
            </w:pPr>
            <w:r>
              <w:rPr>
                <w:sz w:val="24"/>
                <w:szCs w:val="24"/>
              </w:rPr>
            </w:r>
          </w:p>
        </w:tc>
        <w:tc>
          <w:tcPr>
            <w:tcW w:w="809" w:type="dxa"/>
            <w:tcBorders/>
            <w:vAlign w:val="bottom"/>
          </w:tcPr>
          <w:p>
            <w:pPr>
              <w:pStyle w:val="Normal"/>
              <w:widowControl w:val="false"/>
              <w:jc w:val="right"/>
              <w:rPr>
                <w:sz w:val="24"/>
                <w:szCs w:val="24"/>
              </w:rPr>
            </w:pPr>
            <w:r>
              <w:rPr/>
              <w:t>NA</w:t>
            </w:r>
          </w:p>
        </w:tc>
        <w:tc>
          <w:tcPr>
            <w:tcW w:w="903" w:type="dxa"/>
            <w:tcBorders/>
            <w:vAlign w:val="bottom"/>
          </w:tcPr>
          <w:p>
            <w:pPr>
              <w:pStyle w:val="Normal"/>
              <w:widowControl w:val="false"/>
              <w:jc w:val="right"/>
              <w:rPr>
                <w:sz w:val="24"/>
                <w:szCs w:val="24"/>
              </w:rPr>
            </w:pPr>
            <w:r>
              <w:rPr/>
              <w:t>NA</w:t>
            </w:r>
          </w:p>
        </w:tc>
        <w:tc>
          <w:tcPr>
            <w:tcW w:w="181" w:type="dxa"/>
            <w:tcBorders/>
            <w:vAlign w:val="bottom"/>
          </w:tcPr>
          <w:p>
            <w:pPr>
              <w:pStyle w:val="Normal"/>
              <w:widowControl w:val="false"/>
              <w:rPr>
                <w:sz w:val="24"/>
                <w:szCs w:val="24"/>
              </w:rPr>
            </w:pPr>
            <w:r>
              <w:rPr>
                <w:sz w:val="24"/>
                <w:szCs w:val="24"/>
              </w:rPr>
            </w:r>
          </w:p>
        </w:tc>
        <w:tc>
          <w:tcPr>
            <w:tcW w:w="449" w:type="dxa"/>
            <w:tcBorders/>
            <w:vAlign w:val="bottom"/>
          </w:tcPr>
          <w:p>
            <w:pPr>
              <w:pStyle w:val="Normal"/>
              <w:widowControl w:val="false"/>
              <w:jc w:val="right"/>
              <w:rPr>
                <w:sz w:val="24"/>
                <w:szCs w:val="24"/>
              </w:rPr>
            </w:pPr>
            <w:r>
              <w:rPr/>
              <w:t>1</w:t>
            </w:r>
          </w:p>
        </w:tc>
        <w:tc>
          <w:tcPr>
            <w:tcW w:w="901" w:type="dxa"/>
            <w:tcBorders/>
            <w:vAlign w:val="bottom"/>
          </w:tcPr>
          <w:p>
            <w:pPr>
              <w:pStyle w:val="Normal"/>
              <w:widowControl w:val="false"/>
              <w:jc w:val="right"/>
              <w:rPr>
                <w:sz w:val="24"/>
                <w:szCs w:val="24"/>
              </w:rPr>
            </w:pPr>
            <w:r>
              <w:rPr/>
              <w:t>10.287</w:t>
            </w:r>
          </w:p>
        </w:tc>
        <w:tc>
          <w:tcPr>
            <w:tcW w:w="901" w:type="dxa"/>
            <w:tcBorders/>
            <w:vAlign w:val="bottom"/>
          </w:tcPr>
          <w:p>
            <w:pPr>
              <w:pStyle w:val="Normal"/>
              <w:widowControl w:val="false"/>
              <w:jc w:val="right"/>
              <w:rPr>
                <w:sz w:val="24"/>
                <w:szCs w:val="24"/>
              </w:rPr>
            </w:pPr>
            <w:r>
              <w:rPr>
                <w:b/>
              </w:rPr>
              <w:t>0.00134</w:t>
            </w:r>
          </w:p>
        </w:tc>
        <w:tc>
          <w:tcPr>
            <w:tcW w:w="181" w:type="dxa"/>
            <w:tcBorders/>
            <w:vAlign w:val="bottom"/>
          </w:tcPr>
          <w:p>
            <w:pPr>
              <w:pStyle w:val="Normal"/>
              <w:widowControl w:val="false"/>
              <w:rPr>
                <w:sz w:val="24"/>
                <w:szCs w:val="24"/>
              </w:rPr>
            </w:pPr>
            <w:r>
              <w:rPr>
                <w:sz w:val="24"/>
                <w:szCs w:val="24"/>
              </w:rPr>
            </w:r>
          </w:p>
        </w:tc>
        <w:tc>
          <w:tcPr>
            <w:tcW w:w="360" w:type="dxa"/>
            <w:tcBorders/>
            <w:vAlign w:val="bottom"/>
          </w:tcPr>
          <w:p>
            <w:pPr>
              <w:pStyle w:val="Normal"/>
              <w:widowControl w:val="false"/>
              <w:rPr>
                <w:sz w:val="24"/>
                <w:szCs w:val="24"/>
              </w:rPr>
            </w:pPr>
            <w:r>
              <w:rPr>
                <w:sz w:val="24"/>
                <w:szCs w:val="24"/>
              </w:rPr>
            </w:r>
          </w:p>
        </w:tc>
        <w:tc>
          <w:tcPr>
            <w:tcW w:w="810" w:type="dxa"/>
            <w:tcBorders/>
            <w:vAlign w:val="bottom"/>
          </w:tcPr>
          <w:p>
            <w:pPr>
              <w:pStyle w:val="Normal"/>
              <w:widowControl w:val="false"/>
              <w:jc w:val="right"/>
              <w:rPr>
                <w:sz w:val="24"/>
                <w:szCs w:val="24"/>
              </w:rPr>
            </w:pPr>
            <w:r>
              <w:rPr/>
              <w:t>NA</w:t>
            </w:r>
          </w:p>
        </w:tc>
        <w:tc>
          <w:tcPr>
            <w:tcW w:w="971" w:type="dxa"/>
            <w:tcBorders/>
            <w:vAlign w:val="bottom"/>
          </w:tcPr>
          <w:p>
            <w:pPr>
              <w:pStyle w:val="Normal"/>
              <w:widowControl w:val="false"/>
              <w:jc w:val="right"/>
              <w:rPr>
                <w:sz w:val="24"/>
                <w:szCs w:val="24"/>
              </w:rPr>
            </w:pPr>
            <w:r>
              <w:rPr/>
              <w:t>NA</w:t>
            </w:r>
          </w:p>
        </w:tc>
      </w:tr>
      <w:tr>
        <w:trPr>
          <w:trHeight w:val="300" w:hRule="atLeast"/>
        </w:trPr>
        <w:tc>
          <w:tcPr>
            <w:tcW w:w="2026" w:type="dxa"/>
            <w:tcBorders/>
            <w:vAlign w:val="bottom"/>
          </w:tcPr>
          <w:p>
            <w:pPr>
              <w:pStyle w:val="Normal"/>
              <w:widowControl w:val="false"/>
              <w:rPr>
                <w:sz w:val="24"/>
                <w:szCs w:val="24"/>
              </w:rPr>
            </w:pPr>
            <w:r>
              <w:rPr/>
              <w:t>Treatment (A,B,C)</w:t>
            </w:r>
          </w:p>
        </w:tc>
        <w:tc>
          <w:tcPr>
            <w:tcW w:w="503" w:type="dxa"/>
            <w:tcBorders/>
            <w:vAlign w:val="bottom"/>
          </w:tcPr>
          <w:p>
            <w:pPr>
              <w:pStyle w:val="Normal"/>
              <w:widowControl w:val="false"/>
              <w:jc w:val="right"/>
              <w:rPr>
                <w:sz w:val="24"/>
                <w:szCs w:val="24"/>
              </w:rPr>
            </w:pPr>
            <w:r>
              <w:rPr/>
              <w:t>2</w:t>
            </w:r>
          </w:p>
        </w:tc>
        <w:tc>
          <w:tcPr>
            <w:tcW w:w="811" w:type="dxa"/>
            <w:tcBorders/>
            <w:vAlign w:val="bottom"/>
          </w:tcPr>
          <w:p>
            <w:pPr>
              <w:pStyle w:val="Normal"/>
              <w:widowControl w:val="false"/>
              <w:jc w:val="right"/>
              <w:rPr>
                <w:sz w:val="24"/>
                <w:szCs w:val="24"/>
              </w:rPr>
            </w:pPr>
            <w:r>
              <w:rPr/>
              <w:t>1.6408</w:t>
            </w:r>
          </w:p>
        </w:tc>
        <w:tc>
          <w:tcPr>
            <w:tcW w:w="811" w:type="dxa"/>
            <w:tcBorders/>
            <w:vAlign w:val="bottom"/>
          </w:tcPr>
          <w:p>
            <w:pPr>
              <w:pStyle w:val="Normal"/>
              <w:widowControl w:val="false"/>
              <w:jc w:val="right"/>
              <w:rPr>
                <w:sz w:val="24"/>
                <w:szCs w:val="24"/>
              </w:rPr>
            </w:pPr>
            <w:r>
              <w:rPr/>
              <w:t>0.2530</w:t>
            </w:r>
          </w:p>
        </w:tc>
        <w:tc>
          <w:tcPr>
            <w:tcW w:w="182" w:type="dxa"/>
            <w:tcBorders/>
            <w:vAlign w:val="bottom"/>
          </w:tcPr>
          <w:p>
            <w:pPr>
              <w:pStyle w:val="Normal"/>
              <w:widowControl w:val="false"/>
              <w:rPr>
                <w:sz w:val="24"/>
                <w:szCs w:val="24"/>
              </w:rPr>
            </w:pPr>
            <w:r>
              <w:rPr>
                <w:sz w:val="24"/>
                <w:szCs w:val="24"/>
              </w:rPr>
            </w:r>
          </w:p>
        </w:tc>
        <w:tc>
          <w:tcPr>
            <w:tcW w:w="358" w:type="dxa"/>
            <w:tcBorders/>
            <w:vAlign w:val="bottom"/>
          </w:tcPr>
          <w:p>
            <w:pPr>
              <w:pStyle w:val="Normal"/>
              <w:widowControl w:val="false"/>
              <w:jc w:val="right"/>
              <w:rPr>
                <w:sz w:val="24"/>
                <w:szCs w:val="24"/>
              </w:rPr>
            </w:pPr>
            <w:r>
              <w:rPr/>
              <w:t>2</w:t>
            </w:r>
          </w:p>
        </w:tc>
        <w:tc>
          <w:tcPr>
            <w:tcW w:w="809" w:type="dxa"/>
            <w:tcBorders/>
            <w:vAlign w:val="bottom"/>
          </w:tcPr>
          <w:p>
            <w:pPr>
              <w:pStyle w:val="Normal"/>
              <w:widowControl w:val="false"/>
              <w:jc w:val="right"/>
              <w:rPr>
                <w:sz w:val="24"/>
                <w:szCs w:val="24"/>
              </w:rPr>
            </w:pPr>
            <w:r>
              <w:rPr/>
              <w:t>2.1129</w:t>
            </w:r>
          </w:p>
        </w:tc>
        <w:tc>
          <w:tcPr>
            <w:tcW w:w="903" w:type="dxa"/>
            <w:tcBorders/>
            <w:vAlign w:val="bottom"/>
          </w:tcPr>
          <w:p>
            <w:pPr>
              <w:pStyle w:val="Normal"/>
              <w:widowControl w:val="false"/>
              <w:jc w:val="right"/>
              <w:rPr>
                <w:sz w:val="24"/>
                <w:szCs w:val="24"/>
              </w:rPr>
            </w:pPr>
            <w:r>
              <w:rPr/>
              <w:t>0.1</w:t>
            </w:r>
            <w:r>
              <w:rPr>
                <w:sz w:val="24"/>
                <w:szCs w:val="24"/>
              </w:rPr>
              <w:t>716</w:t>
            </w:r>
          </w:p>
        </w:tc>
        <w:tc>
          <w:tcPr>
            <w:tcW w:w="181" w:type="dxa"/>
            <w:tcBorders/>
            <w:vAlign w:val="bottom"/>
          </w:tcPr>
          <w:p>
            <w:pPr>
              <w:pStyle w:val="Normal"/>
              <w:widowControl w:val="false"/>
              <w:rPr>
                <w:sz w:val="24"/>
                <w:szCs w:val="24"/>
              </w:rPr>
            </w:pPr>
            <w:r>
              <w:rPr>
                <w:sz w:val="24"/>
                <w:szCs w:val="24"/>
              </w:rPr>
            </w:r>
          </w:p>
        </w:tc>
        <w:tc>
          <w:tcPr>
            <w:tcW w:w="449" w:type="dxa"/>
            <w:tcBorders/>
            <w:vAlign w:val="bottom"/>
          </w:tcPr>
          <w:p>
            <w:pPr>
              <w:pStyle w:val="Normal"/>
              <w:widowControl w:val="false"/>
              <w:jc w:val="right"/>
              <w:rPr>
                <w:sz w:val="24"/>
                <w:szCs w:val="24"/>
              </w:rPr>
            </w:pPr>
            <w:r>
              <w:rPr/>
              <w:t>2</w:t>
            </w:r>
          </w:p>
        </w:tc>
        <w:tc>
          <w:tcPr>
            <w:tcW w:w="901" w:type="dxa"/>
            <w:tcBorders/>
            <w:vAlign w:val="bottom"/>
          </w:tcPr>
          <w:p>
            <w:pPr>
              <w:pStyle w:val="Normal"/>
              <w:widowControl w:val="false"/>
              <w:jc w:val="right"/>
              <w:rPr>
                <w:sz w:val="24"/>
                <w:szCs w:val="24"/>
              </w:rPr>
            </w:pPr>
            <w:r>
              <w:rPr/>
              <w:t>1.9691</w:t>
            </w:r>
          </w:p>
        </w:tc>
        <w:tc>
          <w:tcPr>
            <w:tcW w:w="901" w:type="dxa"/>
            <w:tcBorders/>
            <w:vAlign w:val="bottom"/>
          </w:tcPr>
          <w:p>
            <w:pPr>
              <w:pStyle w:val="Normal"/>
              <w:widowControl w:val="false"/>
              <w:jc w:val="right"/>
              <w:rPr>
                <w:sz w:val="24"/>
                <w:szCs w:val="24"/>
              </w:rPr>
            </w:pPr>
            <w:r>
              <w:rPr/>
              <w:t>0.2004</w:t>
            </w:r>
          </w:p>
        </w:tc>
        <w:tc>
          <w:tcPr>
            <w:tcW w:w="181" w:type="dxa"/>
            <w:tcBorders/>
            <w:vAlign w:val="bottom"/>
          </w:tcPr>
          <w:p>
            <w:pPr>
              <w:pStyle w:val="Normal"/>
              <w:widowControl w:val="false"/>
              <w:rPr>
                <w:sz w:val="24"/>
                <w:szCs w:val="24"/>
              </w:rPr>
            </w:pPr>
            <w:r>
              <w:rPr>
                <w:sz w:val="24"/>
                <w:szCs w:val="24"/>
              </w:rPr>
            </w:r>
          </w:p>
        </w:tc>
        <w:tc>
          <w:tcPr>
            <w:tcW w:w="360" w:type="dxa"/>
            <w:tcBorders/>
            <w:vAlign w:val="bottom"/>
          </w:tcPr>
          <w:p>
            <w:pPr>
              <w:pStyle w:val="Normal"/>
              <w:widowControl w:val="false"/>
              <w:jc w:val="right"/>
              <w:rPr>
                <w:sz w:val="24"/>
                <w:szCs w:val="24"/>
              </w:rPr>
            </w:pPr>
            <w:r>
              <w:rPr/>
              <w:t>2</w:t>
            </w:r>
          </w:p>
        </w:tc>
        <w:tc>
          <w:tcPr>
            <w:tcW w:w="810" w:type="dxa"/>
            <w:tcBorders/>
            <w:vAlign w:val="bottom"/>
          </w:tcPr>
          <w:p>
            <w:pPr>
              <w:pStyle w:val="Normal"/>
              <w:widowControl w:val="false"/>
              <w:jc w:val="right"/>
              <w:rPr>
                <w:sz w:val="24"/>
                <w:szCs w:val="24"/>
              </w:rPr>
            </w:pPr>
            <w:r>
              <w:rPr/>
              <w:t>2.1071</w:t>
            </w:r>
          </w:p>
        </w:tc>
        <w:tc>
          <w:tcPr>
            <w:tcW w:w="971" w:type="dxa"/>
            <w:tcBorders/>
            <w:vAlign w:val="bottom"/>
          </w:tcPr>
          <w:p>
            <w:pPr>
              <w:pStyle w:val="Normal"/>
              <w:widowControl w:val="false"/>
              <w:jc w:val="right"/>
              <w:rPr>
                <w:sz w:val="24"/>
                <w:szCs w:val="24"/>
              </w:rPr>
            </w:pPr>
            <w:r>
              <w:rPr/>
              <w:t>0.1723</w:t>
            </w:r>
          </w:p>
        </w:tc>
      </w:tr>
      <w:tr>
        <w:trPr>
          <w:trHeight w:val="300" w:hRule="atLeast"/>
        </w:trPr>
        <w:tc>
          <w:tcPr>
            <w:tcW w:w="2026"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t>Error</w:t>
            </w:r>
          </w:p>
        </w:tc>
        <w:tc>
          <w:tcPr>
            <w:tcW w:w="503"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8</w:t>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81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2"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58"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10</w:t>
            </w:r>
          </w:p>
        </w:tc>
        <w:tc>
          <w:tcPr>
            <w:tcW w:w="809"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03"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449"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8</w:t>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0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18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360" w:type="dxa"/>
            <w:tcBorders>
              <w:bottom w:val="single" w:sz="4" w:space="0" w:color="000000"/>
            </w:tcBorders>
            <w:tcMar>
              <w:top w:w="55" w:type="dxa"/>
              <w:left w:w="55" w:type="dxa"/>
              <w:bottom w:w="55" w:type="dxa"/>
              <w:right w:w="55" w:type="dxa"/>
            </w:tcMar>
            <w:vAlign w:val="bottom"/>
          </w:tcPr>
          <w:p>
            <w:pPr>
              <w:pStyle w:val="Normal"/>
              <w:widowControl w:val="false"/>
              <w:jc w:val="right"/>
              <w:rPr>
                <w:sz w:val="24"/>
                <w:szCs w:val="24"/>
              </w:rPr>
            </w:pPr>
            <w:r>
              <w:rPr/>
              <w:t>10</w:t>
            </w:r>
          </w:p>
        </w:tc>
        <w:tc>
          <w:tcPr>
            <w:tcW w:w="810"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c>
          <w:tcPr>
            <w:tcW w:w="971" w:type="dxa"/>
            <w:tcBorders>
              <w:bottom w:val="single" w:sz="4" w:space="0" w:color="000000"/>
            </w:tcBorders>
            <w:tcMar>
              <w:top w:w="55" w:type="dxa"/>
              <w:left w:w="55" w:type="dxa"/>
              <w:bottom w:w="55" w:type="dxa"/>
              <w:right w:w="55" w:type="dxa"/>
            </w:tcMar>
            <w:vAlign w:val="bottom"/>
          </w:tcPr>
          <w:p>
            <w:pPr>
              <w:pStyle w:val="Normal"/>
              <w:widowControl w:val="false"/>
              <w:rPr>
                <w:sz w:val="24"/>
                <w:szCs w:val="24"/>
              </w:rPr>
            </w:pPr>
            <w:r>
              <w:rPr>
                <w:sz w:val="24"/>
                <w:szCs w:val="24"/>
              </w:rPr>
            </w:r>
          </w:p>
        </w:tc>
      </w:tr>
    </w:tbl>
    <w:p>
      <w:pPr>
        <w:pStyle w:val="Normal"/>
        <w:rPr>
          <w:sz w:val="24"/>
          <w:szCs w:val="24"/>
        </w:rPr>
      </w:pPr>
      <w:r>
        <w:rPr>
          <w:sz w:val="24"/>
          <w:szCs w:val="24"/>
        </w:rPr>
      </w:r>
    </w:p>
    <w:p>
      <w:pPr>
        <w:pStyle w:val="Normal"/>
        <w:spacing w:lineRule="auto" w:line="480"/>
        <w:rPr>
          <w:sz w:val="24"/>
          <w:szCs w:val="24"/>
        </w:rPr>
      </w:pPr>
      <w:r>
        <w:rPr>
          <w:b/>
          <w:iCs/>
          <w:sz w:val="24"/>
          <w:szCs w:val="24"/>
        </w:rPr>
        <w:t>Table 4.</w:t>
      </w:r>
      <w:r>
        <w:rPr>
          <w:iCs/>
          <w:sz w:val="24"/>
          <w:szCs w:val="24"/>
        </w:rPr>
        <w:t xml:space="preserve"> ANOVA and likelihood ratio test statistics and probabilities for linear (mixed) models of block and treatment effects on  annual basal area growth (m</w:t>
      </w:r>
      <w:r>
        <w:rPr>
          <w:iCs/>
          <w:sz w:val="24"/>
          <w:szCs w:val="24"/>
          <w:vertAlign w:val="superscript"/>
        </w:rPr>
        <w:t>2</w:t>
      </w:r>
      <w:r>
        <w:rPr>
          <w:iCs/>
          <w:sz w:val="24"/>
          <w:szCs w:val="24"/>
        </w:rPr>
        <w:t>ha</w:t>
      </w:r>
      <w:r>
        <w:rPr>
          <w:iCs/>
          <w:sz w:val="24"/>
          <w:szCs w:val="24"/>
          <w:vertAlign w:val="superscript"/>
        </w:rPr>
        <w:t>-1</w:t>
      </w:r>
      <w:r>
        <w:rPr>
          <w:iCs/>
          <w:sz w:val="24"/>
          <w:szCs w:val="24"/>
        </w:rPr>
        <w:t>year</w:t>
      </w:r>
      <w:r>
        <w:rPr>
          <w:iCs/>
          <w:sz w:val="24"/>
          <w:szCs w:val="24"/>
          <w:vertAlign w:val="superscript"/>
        </w:rPr>
        <w:t>-1</w:t>
      </w:r>
      <w:r>
        <w:rPr>
          <w:iCs/>
          <w:sz w:val="24"/>
          <w:szCs w:val="24"/>
        </w:rPr>
        <w:t>), total proportional mortality, and cause specific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r>
        <w:br w:type="page"/>
      </w:r>
    </w:p>
    <w:p>
      <w:pPr>
        <w:pStyle w:val="Normal"/>
        <w:spacing w:lineRule="auto" w:line="480"/>
        <w:rPr>
          <w:sz w:val="24"/>
          <w:szCs w:val="24"/>
        </w:rPr>
      </w:pPr>
      <w:r>
        <w:rPr>
          <w:sz w:val="24"/>
          <w:szCs w:val="24"/>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7458710" cy="4474845"/>
            <wp:effectExtent l="0" t="0" r="0" b="0"/>
            <wp:wrapSquare wrapText="largest"/>
            <wp:docPr id="1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descr=""/>
                    <pic:cNvPicPr>
                      <a:picLocks noChangeAspect="1" noChangeArrowheads="1"/>
                    </pic:cNvPicPr>
                  </pic:nvPicPr>
                  <pic:blipFill>
                    <a:blip r:embed="rId32"/>
                    <a:stretch>
                      <a:fillRect/>
                    </a:stretch>
                  </pic:blipFill>
                  <pic:spPr bwMode="auto">
                    <a:xfrm>
                      <a:off x="0" y="0"/>
                      <a:ext cx="7458710" cy="4474845"/>
                    </a:xfrm>
                    <a:prstGeom prst="rect">
                      <a:avLst/>
                    </a:prstGeom>
                  </pic:spPr>
                </pic:pic>
              </a:graphicData>
            </a:graphic>
          </wp:anchor>
        </w:drawing>
      </w:r>
    </w:p>
    <w:p>
      <w:pPr>
        <w:pStyle w:val="Normal"/>
        <w:spacing w:lineRule="auto" w:line="480"/>
        <w:rPr>
          <w:sz w:val="24"/>
          <w:szCs w:val="24"/>
        </w:rPr>
      </w:pPr>
      <w:r>
        <w:rPr>
          <w:b/>
          <w:sz w:val="24"/>
          <w:szCs w:val="24"/>
        </w:rPr>
        <w:t>Figure 5.</w:t>
      </w:r>
      <w:r>
        <w:rPr>
          <w:sz w:val="24"/>
          <w:szCs w:val="24"/>
        </w:rPr>
        <w:t xml:space="preserve"> Stand mean </w:t>
      </w:r>
      <w:commentRangeStart w:id="7"/>
      <w:r>
        <w:rPr>
          <w:sz w:val="24"/>
          <w:szCs w:val="24"/>
        </w:rPr>
        <w:t xml:space="preserve">(+/- SE) </w:t>
      </w:r>
      <w:r>
        <w:rPr>
          <w:sz w:val="24"/>
          <w:szCs w:val="24"/>
        </w:rPr>
      </w:r>
      <w:commentRangeEnd w:id="7"/>
      <w:r>
        <w:commentReference w:id="7"/>
      </w:r>
      <w:r>
        <w:rPr>
          <w:sz w:val="24"/>
          <w:szCs w:val="24"/>
        </w:rPr>
        <w:t xml:space="preserve">annual live basal area increments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immediate replanting of Douglas-fir; Green, 25-year red alder; Yellow, 25-year wester cottonwood. </w:t>
      </w:r>
      <w:r>
        <w:rPr>
          <w:sz w:val="24"/>
          <w:szCs w:val="24"/>
        </w:rPr>
        <w:t>Treatment bars with different letters within a panel indicate significant differences by Tukey’s HSD post-hoc test.</w:t>
      </w:r>
      <w:r>
        <w:br w:type="page"/>
      </w:r>
    </w:p>
    <w:p>
      <w:pPr>
        <w:pStyle w:val="Normal"/>
        <w:spacing w:lineRule="auto" w:line="480"/>
        <w:rPr>
          <w:sz w:val="24"/>
          <w:szCs w:val="24"/>
        </w:rPr>
      </w:pPr>
      <w:r>
        <w:rPr>
          <w:sz w:val="24"/>
          <w:szCs w:val="24"/>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6958965" cy="4114800"/>
            <wp:effectExtent l="0" t="0" r="0" b="0"/>
            <wp:wrapSquare wrapText="largest"/>
            <wp:docPr id="13"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descr=""/>
                    <pic:cNvPicPr>
                      <a:picLocks noChangeAspect="1" noChangeArrowheads="1"/>
                    </pic:cNvPicPr>
                  </pic:nvPicPr>
                  <pic:blipFill>
                    <a:blip r:embed="rId33"/>
                    <a:stretch>
                      <a:fillRect/>
                    </a:stretch>
                  </pic:blipFill>
                  <pic:spPr bwMode="auto">
                    <a:xfrm>
                      <a:off x="0" y="0"/>
                      <a:ext cx="6958965" cy="4114800"/>
                    </a:xfrm>
                    <a:prstGeom prst="rect">
                      <a:avLst/>
                    </a:prstGeom>
                  </pic:spPr>
                </pic:pic>
              </a:graphicData>
            </a:graphic>
          </wp:anchor>
        </w:drawing>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Figure 6.</w:t>
      </w:r>
      <w:r>
        <w:rPr>
          <w:sz w:val="24"/>
          <w:szCs w:val="24"/>
        </w:rPr>
        <w:t xml:space="preserve"> Stand mean (+/- 95% CI) annual mortality proportion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 </w:t>
      </w:r>
      <w:r>
        <w:br w:type="page"/>
      </w:r>
    </w:p>
    <w:p>
      <w:pPr>
        <w:pStyle w:val="Normal"/>
        <w:spacing w:lineRule="auto" w:line="480"/>
        <w:rPr>
          <w:sz w:val="24"/>
          <w:szCs w:val="24"/>
        </w:rPr>
      </w:pPr>
      <w:r>
        <w:rPr>
          <w:sz w:val="24"/>
          <w:szCs w:val="24"/>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7468235" cy="4480560"/>
            <wp:effectExtent l="0" t="0" r="0" b="0"/>
            <wp:wrapSquare wrapText="largest"/>
            <wp:docPr id="14"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5" descr=""/>
                    <pic:cNvPicPr>
                      <a:picLocks noChangeAspect="1" noChangeArrowheads="1"/>
                    </pic:cNvPicPr>
                  </pic:nvPicPr>
                  <pic:blipFill>
                    <a:blip r:embed="rId34"/>
                    <a:stretch>
                      <a:fillRect/>
                    </a:stretch>
                  </pic:blipFill>
                  <pic:spPr bwMode="auto">
                    <a:xfrm>
                      <a:off x="0" y="0"/>
                      <a:ext cx="7468235" cy="4480560"/>
                    </a:xfrm>
                    <a:prstGeom prst="rect">
                      <a:avLst/>
                    </a:prstGeom>
                  </pic:spPr>
                </pic:pic>
              </a:graphicData>
            </a:graphic>
          </wp:anchor>
        </w:drawing>
      </w:r>
    </w:p>
    <w:p>
      <w:pPr>
        <w:pStyle w:val="Normal"/>
        <w:spacing w:lineRule="auto" w:line="480"/>
        <w:rPr>
          <w:sz w:val="24"/>
          <w:szCs w:val="24"/>
        </w:rPr>
      </w:pPr>
      <w:r>
        <w:rPr>
          <w:b/>
          <w:sz w:val="24"/>
          <w:szCs w:val="24"/>
        </w:rPr>
        <w:t>Figure 7.</w:t>
      </w:r>
      <w:r>
        <w:rPr>
          <w:sz w:val="24"/>
          <w:szCs w:val="24"/>
        </w:rPr>
        <w:t xml:space="preserve"> Stand mean (+/- 95% CI) annual mortality proportion attributed to laminated root rot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pPr>
        <w:pStyle w:val="Normal"/>
        <w:spacing w:lineRule="auto" w:line="480"/>
        <w:rPr>
          <w:sz w:val="24"/>
          <w:szCs w:val="24"/>
        </w:rPr>
      </w:pPr>
      <w:r>
        <w:rPr>
          <w:sz w:val="24"/>
          <w:szCs w:val="24"/>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7420610" cy="4451985"/>
            <wp:effectExtent l="0" t="0" r="0" b="0"/>
            <wp:wrapSquare wrapText="largest"/>
            <wp:docPr id="1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descr=""/>
                    <pic:cNvPicPr>
                      <a:picLocks noChangeAspect="1" noChangeArrowheads="1"/>
                    </pic:cNvPicPr>
                  </pic:nvPicPr>
                  <pic:blipFill>
                    <a:blip r:embed="rId35"/>
                    <a:stretch>
                      <a:fillRect/>
                    </a:stretch>
                  </pic:blipFill>
                  <pic:spPr bwMode="auto">
                    <a:xfrm>
                      <a:off x="0" y="0"/>
                      <a:ext cx="7420610" cy="4451985"/>
                    </a:xfrm>
                    <a:prstGeom prst="rect">
                      <a:avLst/>
                    </a:prstGeom>
                  </pic:spPr>
                </pic:pic>
              </a:graphicData>
            </a:graphic>
          </wp:anchor>
        </w:drawing>
      </w:r>
    </w:p>
    <w:p>
      <w:pPr>
        <w:pStyle w:val="Normal"/>
        <w:spacing w:lineRule="auto" w:line="480"/>
        <w:rPr>
          <w:sz w:val="24"/>
          <w:szCs w:val="24"/>
        </w:rPr>
      </w:pPr>
      <w:r>
        <w:rPr>
          <w:b/>
          <w:sz w:val="24"/>
          <w:szCs w:val="24"/>
        </w:rPr>
        <w:t>Figure 8.</w:t>
      </w:r>
      <w:r>
        <w:rPr>
          <w:sz w:val="24"/>
          <w:szCs w:val="24"/>
        </w:rPr>
        <w:t xml:space="preserve"> Stand mean (+/- 95% CI) annual mortality proportion attributed to suppression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pPr>
        <w:pStyle w:val="Normal"/>
        <w:spacing w:lineRule="auto" w:line="480"/>
        <w:rPr>
          <w:sz w:val="24"/>
          <w:szCs w:val="24"/>
        </w:rPr>
      </w:pPr>
      <w:r>
        <w:rPr>
          <w:sz w:val="24"/>
          <w:szCs w:val="24"/>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7315200" cy="3657600"/>
            <wp:effectExtent l="0" t="0" r="0" b="0"/>
            <wp:wrapSquare wrapText="largest"/>
            <wp:docPr id="16"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descr=""/>
                    <pic:cNvPicPr>
                      <a:picLocks noChangeAspect="1" noChangeArrowheads="1"/>
                    </pic:cNvPicPr>
                  </pic:nvPicPr>
                  <pic:blipFill>
                    <a:blip r:embed="rId36"/>
                    <a:stretch>
                      <a:fillRect/>
                    </a:stretch>
                  </pic:blipFill>
                  <pic:spPr bwMode="auto">
                    <a:xfrm>
                      <a:off x="0" y="0"/>
                      <a:ext cx="7315200" cy="3657600"/>
                    </a:xfrm>
                    <a:prstGeom prst="rect">
                      <a:avLst/>
                    </a:prstGeom>
                  </pic:spPr>
                </pic:pic>
              </a:graphicData>
            </a:graphic>
          </wp:anchor>
        </w:drawing>
      </w:r>
    </w:p>
    <w:p>
      <w:pPr>
        <w:pStyle w:val="Normal"/>
        <w:spacing w:lineRule="auto" w:line="480"/>
        <w:rPr>
          <w:sz w:val="24"/>
          <w:szCs w:val="24"/>
        </w:rPr>
      </w:pPr>
      <w:r>
        <w:rPr>
          <w:b/>
          <w:sz w:val="24"/>
          <w:szCs w:val="24"/>
        </w:rPr>
        <w:t>Figure 9.</w:t>
      </w:r>
      <w:r>
        <w:rPr>
          <w:sz w:val="24"/>
          <w:szCs w:val="24"/>
        </w:rPr>
        <w:t xml:space="preserve"> Diameter growth of live Douglas-fir over time in continuous Douglas-fir treatment vs 12-year rotation treatments in the middle time period of the Apiary study. Linear regressions are fitted to trees grouped by damage notes recorded at any point during the study.</w:t>
      </w:r>
      <w:r>
        <w:br w:type="page"/>
      </w:r>
    </w:p>
    <w:p>
      <w:pPr>
        <w:pStyle w:val="Normal"/>
        <w:spacing w:lineRule="auto" w:line="480"/>
        <w:rPr>
          <w:sz w:val="24"/>
          <w:szCs w:val="24"/>
        </w:rPr>
      </w:pPr>
      <w:commentRangeStart w:id="8"/>
      <w:r>
        <w:rPr>
          <w:sz w:val="24"/>
          <w:szCs w:val="24"/>
        </w:rPr>
      </w:r>
    </w:p>
    <w:p>
      <w:pPr>
        <w:pStyle w:val="Normal"/>
        <w:spacing w:lineRule="auto" w:line="480"/>
        <w:rPr>
          <w:sz w:val="24"/>
          <w:szCs w:val="24"/>
        </w:rPr>
      </w:pPr>
      <w:r>
        <w:rPr/>
        <w:drawing>
          <wp:inline distT="0" distB="0" distL="0" distR="0">
            <wp:extent cx="7865745" cy="4719320"/>
            <wp:effectExtent l="0" t="0" r="0" b="0"/>
            <wp:docPr id="17" name="Graphic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aphic 3" descr=""/>
                    <pic:cNvPicPr>
                      <a:picLocks noChangeAspect="1" noChangeArrowheads="1"/>
                    </pic:cNvPicPr>
                  </pic:nvPicPr>
                  <pic:blipFill>
                    <a:blip r:embed="rId37"/>
                    <a:stretch>
                      <a:fillRect/>
                    </a:stretch>
                  </pic:blipFill>
                  <pic:spPr bwMode="auto">
                    <a:xfrm>
                      <a:off x="0" y="0"/>
                      <a:ext cx="7865745" cy="4719320"/>
                    </a:xfrm>
                    <a:prstGeom prst="rect">
                      <a:avLst/>
                    </a:prstGeom>
                  </pic:spPr>
                </pic:pic>
              </a:graphicData>
            </a:graphic>
          </wp:inline>
        </w:drawing>
      </w:r>
    </w:p>
    <w:p>
      <w:pPr>
        <w:pStyle w:val="Normal"/>
        <w:spacing w:lineRule="auto" w:line="480"/>
        <w:rPr>
          <w:sz w:val="24"/>
          <w:szCs w:val="24"/>
        </w:rPr>
      </w:pPr>
      <w:r>
        <w:rPr>
          <w:b/>
          <w:sz w:val="24"/>
          <w:szCs w:val="24"/>
        </w:rPr>
        <w:t>Figure 10.</w:t>
      </w:r>
      <w:r>
        <w:rPr>
          <w:sz w:val="24"/>
          <w:szCs w:val="24"/>
        </w:rPr>
        <w:t xml:space="preserve"> Douglas-fir survival over time (+/- 95% CI) in immediate Douglas-fir treatment vs 12-year hardwood rotation treatments. in the Apiary study.</w:t>
      </w:r>
      <w:commentRangeEnd w:id="8"/>
      <w:r>
        <w:commentReference w:id="8"/>
      </w:r>
      <w:r>
        <w:rPr>
          <w:sz w:val="24"/>
          <w:szCs w:val="24"/>
        </w:rPr>
      </w:r>
    </w:p>
    <w:p>
      <w:pPr>
        <w:pStyle w:val="Normal"/>
        <w:spacing w:lineRule="auto" w:line="480"/>
        <w:rPr>
          <w:sz w:val="24"/>
          <w:szCs w:val="24"/>
        </w:rPr>
      </w:pPr>
      <w:r>
        <w:rPr/>
        <w:drawing>
          <wp:inline distT="0" distB="0" distL="0" distR="0">
            <wp:extent cx="7865745" cy="4719320"/>
            <wp:effectExtent l="0" t="0" r="0" b="0"/>
            <wp:docPr id="18" name="Graphic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aphic 4" descr=""/>
                    <pic:cNvPicPr>
                      <a:picLocks noChangeAspect="1" noChangeArrowheads="1"/>
                    </pic:cNvPicPr>
                  </pic:nvPicPr>
                  <pic:blipFill>
                    <a:blip r:embed="rId38"/>
                    <a:stretch>
                      <a:fillRect/>
                    </a:stretch>
                  </pic:blipFill>
                  <pic:spPr bwMode="auto">
                    <a:xfrm>
                      <a:off x="0" y="0"/>
                      <a:ext cx="7865745" cy="4719320"/>
                    </a:xfrm>
                    <a:prstGeom prst="rect">
                      <a:avLst/>
                    </a:prstGeom>
                  </pic:spPr>
                </pic:pic>
              </a:graphicData>
            </a:graphic>
          </wp:inline>
        </w:drawing>
      </w:r>
      <w:r>
        <w:rPr/>
        <w:commentReference w:id="9"/>
      </w:r>
    </w:p>
    <w:p>
      <w:pPr>
        <w:sectPr>
          <w:headerReference w:type="default" r:id="rId39"/>
          <w:type w:val="nextPage"/>
          <w:pgSz w:orient="landscape" w:w="15840" w:h="12240"/>
          <w:pgMar w:left="1440" w:right="2013" w:header="1440" w:top="1497" w:footer="0" w:bottom="1440" w:gutter="0"/>
          <w:lnNumType w:countBy="1" w:restart="continuous" w:distance="283"/>
          <w:pgNumType w:start="1" w:fmt="decimal"/>
          <w:formProt w:val="false"/>
          <w:textDirection w:val="lrTb"/>
          <w:docGrid w:type="default" w:linePitch="299" w:charSpace="32768"/>
        </w:sectPr>
        <w:pStyle w:val="Normal"/>
        <w:spacing w:lineRule="auto" w:line="480"/>
        <w:rPr>
          <w:sz w:val="24"/>
          <w:szCs w:val="24"/>
        </w:rPr>
      </w:pPr>
      <w:r>
        <w:rPr>
          <w:b/>
          <w:sz w:val="24"/>
          <w:szCs w:val="24"/>
        </w:rPr>
        <w:t>Figure 11.</w:t>
      </w:r>
      <w:r>
        <w:rPr>
          <w:sz w:val="24"/>
          <w:szCs w:val="24"/>
        </w:rPr>
        <w:t xml:space="preserve"> Douglas-fir survival (+/- 95% CI) over time in continuous DF treatment vs 12-year rotation treatments. in the Apiary study. Mortality is divided by suspected cause (LRR= laminated root rot, SUP= suppression)</w:t>
      </w:r>
    </w:p>
    <w:p>
      <w:pPr>
        <w:pStyle w:val="Normal"/>
        <w:spacing w:lineRule="auto" w:line="480"/>
        <w:rPr>
          <w:sz w:val="24"/>
          <w:szCs w:val="24"/>
        </w:rPr>
      </w:pPr>
      <w:r>
        <w:rPr>
          <w:b/>
          <w:sz w:val="28"/>
          <w:szCs w:val="28"/>
        </w:rPr>
        <w:t xml:space="preserve">4. Conclusions and discussion </w:t>
      </w:r>
    </w:p>
    <w:p>
      <w:pPr>
        <w:pStyle w:val="Normal"/>
        <w:spacing w:lineRule="auto" w:line="480"/>
        <w:ind w:firstLine="720"/>
        <w:rPr>
          <w:sz w:val="24"/>
          <w:szCs w:val="24"/>
        </w:rPr>
      </w:pPr>
      <w:r>
        <w:rPr>
          <w:sz w:val="24"/>
          <w:szCs w:val="24"/>
        </w:rPr>
        <w:t xml:space="preserve">From the results of these two studies, two important conclusions were made. First, the effects of the thinning did not seem to have a statistically significant difference with respect to increasing basal area or tree mortality caused by </w:t>
      </w:r>
      <w:r>
        <w:rPr>
          <w:i/>
          <w:iCs/>
          <w:sz w:val="24"/>
          <w:szCs w:val="24"/>
        </w:rPr>
        <w:t>C. sulphurascens</w:t>
      </w:r>
      <w:r>
        <w:rPr>
          <w:sz w:val="24"/>
          <w:szCs w:val="24"/>
        </w:rPr>
        <w:t xml:space="preserve">. Secondly, the use of non-host rotations did not have a statistically significant effect on increasing growth and yield or reducing tree mortality caused by </w:t>
      </w:r>
      <w:r>
        <w:rPr>
          <w:i/>
          <w:iCs/>
          <w:sz w:val="24"/>
          <w:szCs w:val="24"/>
        </w:rPr>
        <w:t>C. sulphurascens</w:t>
      </w:r>
      <w:r>
        <w:rPr>
          <w:sz w:val="24"/>
          <w:szCs w:val="24"/>
        </w:rPr>
        <w:t xml:space="preserve">. The results of these two studies do not suggest that thinning treatments or alternate host rotations are viable control alternatives for </w:t>
      </w:r>
      <w:r>
        <w:rPr>
          <w:i/>
          <w:iCs/>
          <w:sz w:val="24"/>
          <w:szCs w:val="24"/>
        </w:rPr>
        <w:t>C. sulphurascens</w:t>
      </w:r>
      <w:r>
        <w:rPr>
          <w:sz w:val="24"/>
          <w:szCs w:val="24"/>
        </w:rPr>
        <w:t xml:space="preserve">. The mechanical thinning treatments did not change the characteristics of the site. As a result, </w:t>
      </w:r>
      <w:r>
        <w:rPr>
          <w:i/>
          <w:iCs/>
          <w:sz w:val="24"/>
          <w:szCs w:val="24"/>
        </w:rPr>
        <w:t>C. sulphurascens</w:t>
      </w:r>
      <w:r>
        <w:rPr>
          <w:sz w:val="24"/>
          <w:szCs w:val="24"/>
        </w:rPr>
        <w:t xml:space="preserve"> was able to cause reinfection. There was no evidence found to show that the hardwood trees that are most resistant to </w:t>
      </w:r>
      <w:r>
        <w:rPr>
          <w:i/>
          <w:iCs/>
          <w:sz w:val="24"/>
          <w:szCs w:val="24"/>
        </w:rPr>
        <w:t>C. sulphurascens</w:t>
      </w:r>
      <w:r>
        <w:rPr>
          <w:sz w:val="24"/>
          <w:szCs w:val="24"/>
        </w:rPr>
        <w:t xml:space="preserve"> reduced the amount of inoculum within the forest stands. Additionally, the alternate hosts had a negative impact on Douglas-fir growth and yield through suppression.</w:t>
      </w:r>
    </w:p>
    <w:p>
      <w:pPr>
        <w:pStyle w:val="Normal"/>
        <w:spacing w:lineRule="auto" w:line="480"/>
        <w:rPr>
          <w:b/>
          <w:b/>
          <w:sz w:val="24"/>
          <w:szCs w:val="24"/>
        </w:rPr>
      </w:pPr>
      <w:r>
        <w:rPr>
          <w:b/>
          <w:sz w:val="24"/>
          <w:szCs w:val="24"/>
        </w:rPr>
      </w:r>
    </w:p>
    <w:p>
      <w:pPr>
        <w:pStyle w:val="Normal"/>
        <w:spacing w:lineRule="auto" w:line="480"/>
        <w:rPr>
          <w:b/>
          <w:b/>
          <w:sz w:val="24"/>
          <w:szCs w:val="24"/>
        </w:rPr>
      </w:pPr>
      <w:r>
        <w:rPr>
          <w:b/>
          <w:sz w:val="24"/>
          <w:szCs w:val="24"/>
        </w:rPr>
        <w:t>4.1 Thinning study, cumulative proportional mortality to LRR</w:t>
      </w:r>
    </w:p>
    <w:p>
      <w:pPr>
        <w:pStyle w:val="Normal"/>
        <w:spacing w:lineRule="auto" w:line="480"/>
        <w:ind w:firstLine="720"/>
        <w:rPr>
          <w:sz w:val="24"/>
          <w:szCs w:val="24"/>
        </w:rPr>
      </w:pPr>
      <w:r>
        <w:rPr>
          <w:sz w:val="24"/>
          <w:szCs w:val="24"/>
        </w:rPr>
        <w:t xml:space="preserve">The one-way analysis of variance showed no significant of effect of treatment on (arcsine square root transformed) proportion of mortality (F2,12 = 0.484, p = 0.628). There was also no significance found when the two thinned treatment areas were combined and compared against the control stands (F1,13 = 0.295, p = 0.596). Within the two-way analysis of variance, no significant was found from tree mortality induced by C. sulphurascens across treatment areas (Table 2). </w:t>
      </w:r>
    </w:p>
    <w:p>
      <w:pPr>
        <w:pStyle w:val="Normal"/>
        <w:spacing w:lineRule="auto" w:line="480"/>
        <w:ind w:firstLine="720"/>
        <w:rPr>
          <w:sz w:val="24"/>
          <w:szCs w:val="24"/>
        </w:rPr>
      </w:pPr>
      <w:r>
        <w:rPr>
          <w:sz w:val="24"/>
          <w:szCs w:val="24"/>
        </w:rPr>
        <w:t xml:space="preserve">The results of the Woods Creek study showed that the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fill="FFFFFF" w:val="clear"/>
        </w:rPr>
        <w:t> </w:t>
      </w:r>
      <w:r>
        <w:rPr>
          <w:sz w:val="24"/>
          <w:szCs w:val="24"/>
        </w:rPr>
        <w:t xml:space="preserve">that </w:t>
      </w:r>
      <w:r>
        <w:rPr>
          <w:color w:val="000000"/>
          <w:sz w:val="24"/>
          <w:szCs w:val="24"/>
          <w:shd w:fill="FFFFFF" w:val="clear"/>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fill="FFFFFF" w:val="clear"/>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p>
    <w:p>
      <w:pPr>
        <w:pStyle w:val="Normal"/>
        <w:spacing w:lineRule="auto" w:line="480"/>
        <w:ind w:firstLine="720"/>
        <w:rPr>
          <w:sz w:val="24"/>
          <w:szCs w:val="24"/>
        </w:rPr>
      </w:pPr>
      <w:r>
        <w:rPr>
          <w:sz w:val="24"/>
          <w:szCs w:val="24"/>
        </w:rPr>
        <w:t xml:space="preserve">At the beginning of the study Douglas-fir trees accounted for 82% of all live trees. By the conclusion of the study this percentage had been reduced to 77% (Table X). Of the ~20% of species that were not Douglas-fir there were six trees that were recorded as having mortality from LRR. This included six western hemlock and 1 western red cedar. The reported western red cedar is a curious result as western red cedar has been shown to be resistant to </w:t>
      </w:r>
      <w:r>
        <w:rPr>
          <w:i/>
          <w:iCs/>
          <w:sz w:val="24"/>
          <w:szCs w:val="24"/>
        </w:rPr>
        <w:t>C. sulphurascens</w:t>
      </w:r>
      <w:r>
        <w:rPr>
          <w:sz w:val="24"/>
          <w:szCs w:val="24"/>
        </w:rPr>
        <w:t xml:space="preserve"> (Lim et al., 2005). Western red cedar is however highly susceptible to the closely related Coniferiporia weirii (McMurtrey et al., 2022). The Woods Creek study area is beyond the range that </w:t>
      </w:r>
      <w:r>
        <w:rPr>
          <w:i/>
          <w:iCs/>
          <w:sz w:val="24"/>
          <w:szCs w:val="24"/>
        </w:rPr>
        <w:t>C. weirii</w:t>
      </w:r>
      <w:r>
        <w:rPr>
          <w:sz w:val="24"/>
          <w:szCs w:val="24"/>
        </w:rPr>
        <w:t xml:space="preserve"> has been reported at despite the main host species being present and the habitat being suitable for </w:t>
      </w:r>
      <w:r>
        <w:rPr>
          <w:i/>
          <w:iCs/>
          <w:sz w:val="24"/>
          <w:szCs w:val="24"/>
        </w:rPr>
        <w:t>C. weirii</w:t>
      </w:r>
      <w:r>
        <w:rPr>
          <w:sz w:val="24"/>
          <w:szCs w:val="24"/>
        </w:rPr>
        <w:t xml:space="preserve"> survival.  </w:t>
      </w:r>
    </w:p>
    <w:p>
      <w:pPr>
        <w:pStyle w:val="Normal"/>
        <w:spacing w:lineRule="auto" w:line="480"/>
        <w:ind w:firstLine="720"/>
        <w:rPr>
          <w:sz w:val="24"/>
          <w:szCs w:val="24"/>
        </w:rPr>
      </w:pPr>
      <w:r>
        <w:rPr>
          <w:sz w:val="24"/>
          <w:szCs w:val="24"/>
        </w:rPr>
        <w:t xml:space="preserve">The impact that </w:t>
      </w:r>
      <w:r>
        <w:rPr>
          <w:i/>
          <w:iCs/>
          <w:sz w:val="24"/>
          <w:szCs w:val="24"/>
        </w:rPr>
        <w:t xml:space="preserve">C. sulphurascens </w:t>
      </w:r>
      <w:r>
        <w:rPr>
          <w:sz w:val="24"/>
          <w:szCs w:val="24"/>
        </w:rPr>
        <w:t xml:space="preserve">had on overall growth and yield could not be reliably concluded without records of the salvage operations. If the thinning treatment was a commercial thin, it likely would have resulted in higher overall timber production. Timber would be harvest between 1985 and 1990 and the thinned areas had a higher percentage of growth and yield by 2020 when compared to the control. </w:t>
      </w:r>
    </w:p>
    <w:p>
      <w:pPr>
        <w:pStyle w:val="Normal"/>
        <w:spacing w:lineRule="auto" w:line="480"/>
        <w:ind w:firstLine="720"/>
        <w:rPr>
          <w:sz w:val="24"/>
          <w:szCs w:val="24"/>
        </w:rPr>
      </w:pPr>
      <w:r>
        <w:rPr>
          <w:sz w:val="24"/>
          <w:szCs w:val="24"/>
        </w:rPr>
      </w:r>
    </w:p>
    <w:p>
      <w:pPr>
        <w:pStyle w:val="Normal"/>
        <w:spacing w:lineRule="auto" w:line="480"/>
        <w:ind w:firstLine="720"/>
        <w:rPr>
          <w:sz w:val="24"/>
          <w:szCs w:val="24"/>
        </w:rPr>
      </w:pPr>
      <w:r>
        <w:rPr>
          <w:sz w:val="24"/>
          <w:szCs w:val="24"/>
        </w:rPr>
      </w:r>
    </w:p>
    <w:p>
      <w:pPr>
        <w:pStyle w:val="Normal"/>
        <w:spacing w:lineRule="auto" w:line="480"/>
        <w:rPr>
          <w:b/>
          <w:b/>
          <w:sz w:val="24"/>
          <w:szCs w:val="24"/>
        </w:rPr>
      </w:pPr>
      <w:r>
        <w:rPr>
          <w:b/>
          <w:sz w:val="24"/>
          <w:szCs w:val="24"/>
        </w:rPr>
        <w:t>4.2 Alternate host Study, Cumulative proportional mortality to LRR</w:t>
      </w:r>
    </w:p>
    <w:p>
      <w:pPr>
        <w:pStyle w:val="Normal"/>
        <w:spacing w:lineRule="auto" w:line="480"/>
        <w:ind w:firstLine="720"/>
        <w:rPr>
          <w:sz w:val="24"/>
          <w:szCs w:val="24"/>
        </w:rPr>
      </w:pPr>
      <w:r>
        <w:rPr>
          <w:sz w:val="24"/>
          <w:szCs w:val="24"/>
        </w:rPr>
        <w:t>The Apiary hardwood rotation study illustrated a challenge associated with forest management, which is potential tradeoffs between effectiveness and cost of interventions. Several plots of the hardwood rotation treatments experience high levels of hardwood resprouting following harvest and establishment of Douglas-fir seedlings.  Periodic mechanical and chemical removal of these resprouts was required and even these interventions did not completely control all suppressive effects of the hardwood resprouts.  So, while hardwood rotation sometimes resulted in modest reduction of Douglas-fir mortality caused by laminated root rot in this study, it was accompanied by Douglas-fir mortality resulting from suppression. Additionally, trees that are most resistance to C. sulphurascens such as hardwoods, pines, and western redcedar are often not viable alternatives for stands in this region in terms of adaptability and value (Trappe, 1972).</w:t>
      </w:r>
    </w:p>
    <w:p>
      <w:pPr>
        <w:pStyle w:val="Normal"/>
        <w:spacing w:lineRule="auto" w:line="480"/>
        <w:ind w:firstLine="720"/>
        <w:rPr>
          <w:sz w:val="24"/>
          <w:szCs w:val="24"/>
        </w:rPr>
      </w:pPr>
      <w:r>
        <w:rPr>
          <w:sz w:val="24"/>
          <w:szCs w:val="24"/>
        </w:rPr>
        <w:t>In the late measurement period of this study (36–45-year-old Douglas-fir) the rates of mortality and basal area were diverging across blocks, with the highest initial incidence blocks suffering the greatest losses. Also, the rotation treatments were not allowed to reach this level of maturity. It is possible that rotation effects on basal area and LRR mortality may have been more pronounced if the slow-developing disease had been observed for a longer time. Together, these observations suggest that hardwood rotations for short rotation forestry (&lt;40 years) may not be recommended, given potential costs associated with vegetation management, and the delayed expression of the disease. This comes with the caveat that the effect of heart and but rot on merchantable timber in this study could not be determined and may be significant.</w:t>
      </w:r>
    </w:p>
    <w:p>
      <w:pPr>
        <w:pStyle w:val="Normal"/>
        <w:spacing w:lineRule="auto" w:line="480"/>
        <w:ind w:firstLine="720"/>
        <w:rPr>
          <w:sz w:val="24"/>
          <w:szCs w:val="24"/>
        </w:rPr>
      </w:pPr>
      <w:r>
        <w:rPr>
          <w:sz w:val="24"/>
          <w:szCs w:val="24"/>
        </w:rPr>
      </w:r>
    </w:p>
    <w:p>
      <w:pPr>
        <w:pStyle w:val="Normal"/>
        <w:spacing w:lineRule="auto" w:line="480"/>
        <w:pPrChange w:id="0" w:author="Shawn McMurtrey" w:date="2022-10-15T14:14:00Z">
          <w:pPr>
            <w:ind w:firstLine="720"/>
            <w:spacing w:lineRule="auto" w:line="480"/>
          </w:pPr>
        </w:pPrChange>
        <w:rPr>
          <w:sz w:val="24"/>
          <w:szCs w:val="24"/>
        </w:rPr>
      </w:pPr>
      <w:r>
        <w:rPr>
          <w:b/>
          <w:sz w:val="24"/>
          <w:szCs w:val="24"/>
        </w:rPr>
        <w:t xml:space="preserve">4.3 Forest vegetation simulator </w:t>
      </w:r>
    </w:p>
    <w:p>
      <w:pPr>
        <w:pStyle w:val="Normal"/>
        <w:spacing w:lineRule="auto" w:line="480"/>
        <w:ind w:firstLine="720"/>
        <w:rPr>
          <w:sz w:val="24"/>
          <w:szCs w:val="24"/>
        </w:rPr>
      </w:pPr>
      <w:r>
        <w:rPr>
          <w:sz w:val="24"/>
          <w:szCs w:val="24"/>
        </w:rPr>
        <w:t>Woods Creek modelled predictions</w:t>
      </w:r>
      <w:ins w:id="27" w:author="Shawn McMurtrey" w:date="2022-10-08T19:57:00Z">
        <w:r>
          <w:rPr/>
          <w:t xml:space="preserve"> </w:t>
        </w:r>
      </w:ins>
      <w:r>
        <w:rPr/>
        <w:t xml:space="preserve">were more highly correlated with the measured changes when the </w:t>
      </w:r>
      <w:r>
        <w:rPr>
          <w:sz w:val="24"/>
          <w:szCs w:val="24"/>
        </w:rPr>
        <w:t>WRDM was used along with the FVS model. Using the FVS model alone tended to underpredict the impact of LRR. This in turn caused an overprediction of growth and yield for the stands. This finding was consistent with the findings from Maffei et al., 2008.</w:t>
      </w:r>
      <w:r>
        <w:rPr>
          <w:rFonts w:eastAsia="Times New Roman"/>
          <w:sz w:val="24"/>
          <w:szCs w:val="24"/>
        </w:rPr>
        <w:t xml:space="preserve"> It</w:t>
      </w:r>
      <w:r>
        <w:rPr/>
        <w:t xml:space="preserve"> </w:t>
      </w:r>
      <w:r>
        <w:rPr>
          <w:sz w:val="24"/>
          <w:szCs w:val="24"/>
        </w:rPr>
        <w:t>is worth noting that accuracy would likely continue to decrease over longer time periods. The time span of 30 years is arguably a relatively short time in terms of a timber rotations and forest ecosystems. Varying results are also expected to occur dependent upon more or less stringent root disease settings used to initialize the WRDM (i.e., hectares of root disease area or number of infected trees). It should also be taken into consideration that larger stand sizes might decrease the accuracy of the models.</w:t>
      </w:r>
    </w:p>
    <w:p>
      <w:pPr>
        <w:pStyle w:val="Normal"/>
        <w:tabs>
          <w:tab w:val="clear" w:pos="720"/>
          <w:tab w:val="left" w:pos="2520" w:leader="none"/>
        </w:tabs>
        <w:spacing w:lineRule="auto" w:line="480"/>
        <w:ind w:firstLine="720"/>
        <w:rPr>
          <w:sz w:val="24"/>
          <w:szCs w:val="24"/>
        </w:rPr>
      </w:pPr>
      <w:r>
        <w:rPr>
          <w:sz w:val="24"/>
          <w:szCs w:val="24"/>
        </w:rPr>
        <w:t xml:space="preserve">The results from the WRDM within the Woods Creek study produced the most optimistic results. There have been other studies conducted that have analyzed different forest models that have similarly predicted relatively optimistic trends (Canavan and Ramm, 2000; Woods and Watts, 2019). The Apiary modelled forecasts did not show a strong correlation with measured changes. It should be noted that the seed source was unknown for the Apiary site and that this could have influenced growth and yield at the site. Additionally, models don’t always account for amounts of inoculum within the soil, rate of disease spread, or expected tree loss. There are also many alternate compounding variables that influence forest health, disease spread, such as temperature, soil moisture, and pH levels (Lattin 1998; Angwin, 1985; Hansen et al.,1983). These variables have not been adequately accounted for within this study. Further reproducible studies are needed to better understand FVS and WRDM calibrations, and to assist with refining parameterization and initializing the models for similar forest stands (Maffei et al., 2008).  </w:t>
      </w:r>
    </w:p>
    <w:p>
      <w:pPr>
        <w:pStyle w:val="Normal"/>
        <w:tabs>
          <w:tab w:val="clear" w:pos="720"/>
          <w:tab w:val="left" w:pos="2520" w:leader="none"/>
        </w:tabs>
        <w:spacing w:lineRule="auto" w:line="480"/>
        <w:ind w:firstLine="720"/>
        <w:rPr>
          <w:sz w:val="24"/>
          <w:szCs w:val="24"/>
        </w:rPr>
      </w:pPr>
      <w:r>
        <w:rPr>
          <w:sz w:val="24"/>
          <w:szCs w:val="24"/>
        </w:rPr>
      </w:r>
    </w:p>
    <w:p>
      <w:pPr>
        <w:pStyle w:val="Normal"/>
        <w:tabs>
          <w:tab w:val="clear" w:pos="720"/>
          <w:tab w:val="left" w:pos="2520" w:leader="none"/>
        </w:tabs>
        <w:spacing w:lineRule="auto" w:line="480"/>
        <w:rPr>
          <w:b/>
          <w:b/>
          <w:bCs/>
          <w:sz w:val="24"/>
          <w:szCs w:val="24"/>
        </w:rPr>
      </w:pPr>
      <w:r>
        <w:rPr>
          <w:b/>
          <w:bCs/>
          <w:sz w:val="24"/>
          <w:szCs w:val="24"/>
        </w:rPr>
        <w:t>4.4 Management Strategies for LRR</w:t>
      </w:r>
    </w:p>
    <w:p>
      <w:pPr>
        <w:pStyle w:val="Normal"/>
        <w:spacing w:lineRule="auto" w:line="480"/>
        <w:ind w:firstLine="720"/>
        <w:rPr>
          <w:sz w:val="24"/>
          <w:szCs w:val="24"/>
        </w:rPr>
      </w:pPr>
      <w:r>
        <w:rPr>
          <w:sz w:val="24"/>
          <w:szCs w:val="24"/>
        </w:rPr>
        <w:t xml:space="preserve">Managing for LRR has been a long-standing dilemma that has frustrated land managers and forest pathologists for many decades. This disease can be hard to detect and monitor as it primarily occurs under the ground. Mechanical management options such as thinning, trenching, or removing stumps from the soil are time consuming and costly. Removing all of the inoculum source from the soil of a stie is going to be nearly impossible. Harvesting Douglas-fir and planting alternate hosts might not be effective or economically feasible in some areas. From the results of this paper, mechanical thinning and alternate host rotations do not seem to be viable management options for LRR. Potential future solutions might be modifying the genome of Douglas-fir through a customized transcription activator-like effector (TALE) protein that has been used with success for resistance in crops and livestock (Cook et al., 2013). More high-resolution genomic data from both C. sulphurascens and the Douglas-fir will allow for better understanding of the interactions and infection mechanisms. Until the breeding or development of Douglas-fir resistance to C. sulphurascens, replacing infected sites with only Douglas-fir is going to continue the cycle of mortality from LRR and reduced yields. </w:t>
      </w:r>
    </w:p>
    <w:p>
      <w:pPr>
        <w:pStyle w:val="Normal"/>
        <w:spacing w:lineRule="auto" w:line="480"/>
        <w:ind w:firstLine="720"/>
        <w:rPr>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 Adaptations will also need to be made to deviations of what was once considered more consistent management.</w:t>
      </w:r>
    </w:p>
    <w:p>
      <w:pPr>
        <w:pStyle w:val="Normal"/>
        <w:spacing w:lineRule="auto" w:line="480"/>
        <w:ind w:firstLine="720"/>
        <w:rPr>
          <w:sz w:val="24"/>
          <w:szCs w:val="24"/>
        </w:rPr>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and reduce the risk of fire.</w:t>
      </w:r>
      <w:ins w:id="28" w:author="Shawn McMurtrey" w:date="2022-10-17T14:01:00Z">
        <w:r>
          <w:rPr>
            <w:sz w:val="24"/>
            <w:szCs w:val="24"/>
          </w:rPr>
          <w:t xml:space="preserve"> </w:t>
        </w:r>
      </w:ins>
      <w:r>
        <w:rPr>
          <w:sz w:val="24"/>
          <w:szCs w:val="24"/>
        </w:rPr>
        <w:t xml:space="preserve">Through this study, new insight was gained on LRR incidence with respect to thinning for drought and fire suppression. An increased knowledge was also gained concerning alternate host rotations for forest management strategies. </w:t>
      </w:r>
      <w:ins w:id="29" w:author="Shawn McMurtrey" w:date="2022-08-14T14:53:00Z">
        <w:r>
          <w:rPr>
            <w:sz w:val="24"/>
            <w:szCs w:val="24"/>
          </w:rPr>
          <w:t xml:space="preserve"> </w:t>
        </w:r>
      </w:ins>
    </w:p>
    <w:p>
      <w:pPr>
        <w:pStyle w:val="Normal"/>
        <w:spacing w:lineRule="auto" w:line="480"/>
        <w:rPr>
          <w:sz w:val="24"/>
          <w:szCs w:val="24"/>
        </w:rPr>
      </w:pPr>
      <w:r>
        <w:rPr>
          <w:sz w:val="24"/>
          <w:szCs w:val="24"/>
        </w:rPr>
      </w:r>
    </w:p>
    <w:p>
      <w:pPr>
        <w:pStyle w:val="Normal"/>
        <w:spacing w:lineRule="auto" w:line="480"/>
        <w:rPr>
          <w:b/>
          <w:b/>
          <w:sz w:val="28"/>
          <w:szCs w:val="28"/>
        </w:rPr>
      </w:pPr>
      <w:r>
        <w:rPr>
          <w:b/>
          <w:sz w:val="28"/>
          <w:szCs w:val="28"/>
        </w:rPr>
        <w:t>Data Availability Statement</w:t>
      </w:r>
    </w:p>
    <w:p>
      <w:pPr>
        <w:pStyle w:val="Normal"/>
        <w:spacing w:lineRule="auto" w:line="480"/>
        <w:rPr>
          <w:sz w:val="24"/>
          <w:szCs w:val="24"/>
        </w:rPr>
      </w:pPr>
      <w:r>
        <w:rPr>
          <w:sz w:val="24"/>
          <w:szCs w:val="24"/>
        </w:rPr>
        <w:t xml:space="preserve">Raw data files cleaned data files, and detailed data cleaning methods for the Woods Creek study can be found at the following Github repository: </w:t>
      </w:r>
      <w:hyperlink r:id="rId40">
        <w:r>
          <w:rPr>
            <w:rStyle w:val="InternetLink"/>
            <w:sz w:val="24"/>
            <w:szCs w:val="24"/>
          </w:rPr>
          <w:t>https://github.com/mcmurtrs/WoodsCreek</w:t>
        </w:r>
      </w:hyperlink>
      <w:r>
        <w:rPr>
          <w:sz w:val="24"/>
          <w:szCs w:val="24"/>
        </w:rPr>
        <w:t xml:space="preserve">. All details and files used for FVS and WRDM (parameters used, input files, output files, and log files) can be found at the same Github repository. Additional data will be made available upon request.   </w:t>
      </w:r>
    </w:p>
    <w:p>
      <w:pPr>
        <w:pStyle w:val="Normal"/>
        <w:spacing w:lineRule="auto" w:line="480"/>
        <w:rPr>
          <w:sz w:val="24"/>
          <w:szCs w:val="24"/>
        </w:rPr>
      </w:pPr>
      <w:r>
        <w:rPr>
          <w:sz w:val="24"/>
          <w:szCs w:val="24"/>
        </w:rPr>
      </w:r>
    </w:p>
    <w:p>
      <w:pPr>
        <w:pStyle w:val="Normal"/>
        <w:spacing w:lineRule="auto" w:line="480"/>
        <w:rPr>
          <w:sz w:val="24"/>
          <w:szCs w:val="24"/>
        </w:rPr>
      </w:pPr>
      <w:r>
        <w:rPr>
          <w:b/>
          <w:sz w:val="28"/>
          <w:szCs w:val="28"/>
        </w:rPr>
        <w:t>Acknowledgements</w:t>
        <w:br/>
      </w:r>
      <w:r>
        <w:rPr/>
        <w:t xml:space="preserve">Funding was provided by __________. For these two studies funding was also provided by the Agricultural Research Foundation at Oregon State University and USFS grant ___________. The Weyerhaeuser Co. provided ___________. Logging, regeneration, data collection, and funding was provided by the International Paper Co.. The authors would like to thank Wendy Sutton, Paul Reeser, and all others responsible for establishing the plot networks and helping to collect data over the years. We also would like to thank Katherine Tallan and James Molyneux for statistical recommendations and consultation. The authors also extend their gratitude to Patrick Bennett, Lance David, and the FVS staff for guidance on FVS and WRDM modeling.   </w:t>
      </w:r>
    </w:p>
    <w:p>
      <w:pPr>
        <w:pStyle w:val="Normal"/>
        <w:spacing w:lineRule="auto" w:line="480"/>
        <w:rPr>
          <w:b/>
          <w:b/>
          <w:sz w:val="28"/>
          <w:szCs w:val="28"/>
        </w:rPr>
      </w:pPr>
      <w:r>
        <w:rPr>
          <w:b/>
          <w:sz w:val="28"/>
          <w:szCs w:val="28"/>
        </w:rPr>
      </w:r>
    </w:p>
    <w:p>
      <w:pPr>
        <w:pStyle w:val="Normal"/>
        <w:spacing w:lineRule="auto" w:line="480"/>
        <w:rPr>
          <w:sz w:val="24"/>
          <w:szCs w:val="24"/>
        </w:rPr>
      </w:pPr>
      <w:r>
        <w:rPr>
          <w:b/>
          <w:sz w:val="28"/>
          <w:szCs w:val="28"/>
        </w:rPr>
        <w:t>References</w:t>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"https://www.sciencedirect.com/science/article/pii/S0378112717321321" \l "bb0010"</w:instrText>
      </w:r>
      <w:r>
        <w:rPr>
          <w:sz w:val="24"/>
          <w:szCs w:val="24"/>
          <w:rFonts w:eastAsia="Times New Roman"/>
        </w:rPr>
        <w:fldChar w:fldCharType="separate"/>
      </w:r>
      <w:r>
        <w:rPr>
          <w:rFonts w:eastAsia="Times New Roman"/>
          <w:sz w:val="24"/>
          <w:szCs w:val="24"/>
        </w:rPr>
        <w:t>Agee J.K, and Skinner C.N. (2005</w:t>
      </w:r>
      <w:r>
        <w:rPr>
          <w:sz w:val="24"/>
          <w:szCs w:val="24"/>
          <w:rFonts w:eastAsia="Times New Roman"/>
        </w:rPr>
        <w:fldChar w:fldCharType="end"/>
      </w:r>
      <w:r>
        <w:rPr>
          <w:rFonts w:eastAsia="Times New Roman"/>
          <w:sz w:val="24"/>
          <w:szCs w:val="24"/>
        </w:rPr>
        <w:t xml:space="preserve">). Basic principles of forest fuel reduction treatments. </w:t>
        <w:br/>
        <w:t xml:space="preserve">For. Ecol. Manage., 211 (1) , pp. 83-96. </w:t>
      </w:r>
      <w:hyperlink r:id="rId41" w:tgtFrame="Persistent link using digital object identifier">
        <w:r>
          <w:rPr>
            <w:rStyle w:val="InternetLink"/>
            <w:rFonts w:cs="Open Sans" w:ascii="Open Sans" w:hAnsi="Open Sans"/>
            <w:color w:val="000000"/>
            <w:sz w:val="21"/>
            <w:szCs w:val="21"/>
            <w:shd w:fill="FFFFFF" w:val="clear"/>
          </w:rPr>
          <w:t>https://doi.org/10.1016/j.foreco.2005.01.034</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Angwin, P. A. (1985). Environmental factors influencing the rate of spread of Phellinus weirii(Murr.) Gilbertson in young-growth Douglas-fir. Oregon State University, Corvallis, Oregon, master’s thesis. 107 p., </w:t>
      </w:r>
      <w:hyperlink r:id="rId42">
        <w:r>
          <w:rPr>
            <w:rStyle w:val="InternetLink"/>
            <w:rFonts w:cs="Open Sans" w:ascii="Open Sans" w:hAnsi="Open Sans"/>
            <w:color w:val="000000"/>
            <w:sz w:val="21"/>
            <w:szCs w:val="21"/>
            <w:shd w:fill="FFFFFF" w:val="clear"/>
          </w:rPr>
          <w:t>https://ir.library.oregonstate.edu/concern/graduate_thesis_or_dissertations/k930c098s</w:t>
        </w:r>
      </w:hyperlink>
    </w:p>
    <w:p>
      <w:pPr>
        <w:pStyle w:val="Normal"/>
        <w:spacing w:lineRule="auto" w:line="480"/>
        <w:ind w:left="720" w:hanging="720"/>
        <w:rPr>
          <w:b/>
          <w:b/>
          <w:sz w:val="28"/>
          <w:szCs w:val="28"/>
        </w:rPr>
      </w:pPr>
      <w:r>
        <w:rPr>
          <w:b/>
          <w:sz w:val="28"/>
          <w:szCs w:val="28"/>
        </w:rPr>
      </w:r>
    </w:p>
    <w:p>
      <w:pPr>
        <w:pStyle w:val="Normal"/>
        <w:spacing w:lineRule="auto" w:line="480"/>
        <w:ind w:left="720" w:hanging="720"/>
        <w:rPr>
          <w:sz w:val="24"/>
          <w:szCs w:val="24"/>
        </w:rPr>
      </w:pPr>
      <w:r>
        <w:rPr>
          <w:rFonts w:eastAsia="Times New Roman"/>
          <w:sz w:val="24"/>
          <w:szCs w:val="24"/>
        </w:rPr>
        <w:t xml:space="preserve">  </w:t>
      </w:r>
      <w:r>
        <w:rPr>
          <w:rFonts w:eastAsia="Times New Roman"/>
          <w:sz w:val="24"/>
          <w:szCs w:val="24"/>
        </w:rPr>
        <w:t>Douglas Bates, Martin Maechler, Ben Bolker, Steve Walker (2015). Fitting Linear Mixed-Effects Models Using lme4. Journal of</w:t>
      </w:r>
    </w:p>
    <w:p>
      <w:pPr>
        <w:pStyle w:val="Normal"/>
        <w:spacing w:lineRule="auto" w:line="480"/>
        <w:ind w:left="720" w:hanging="720"/>
        <w:rPr>
          <w:sz w:val="24"/>
          <w:szCs w:val="24"/>
        </w:rPr>
      </w:pPr>
      <w:r>
        <w:rPr>
          <w:rFonts w:eastAsia="Times New Roman"/>
          <w:sz w:val="24"/>
          <w:szCs w:val="24"/>
        </w:rPr>
        <w:t xml:space="preserve">  </w:t>
      </w:r>
      <w:r>
        <w:rPr>
          <w:rFonts w:eastAsia="Times New Roman"/>
          <w:sz w:val="24"/>
          <w:szCs w:val="24"/>
        </w:rPr>
        <w:t>Statistical Software, 67(1), 1-48. doi:10.18637/jss.v067.i01.</w:t>
      </w:r>
    </w:p>
    <w:p>
      <w:pPr>
        <w:pStyle w:val="Normal"/>
        <w:spacing w:lineRule="auto" w:line="480"/>
        <w:ind w:left="720" w:hanging="720"/>
        <w:rPr>
          <w:sz w:val="24"/>
          <w:szCs w:val="24"/>
        </w:rPr>
      </w:pPr>
      <w:r>
        <w:rPr>
          <w:sz w:val="24"/>
          <w:szCs w:val="24"/>
        </w:rPr>
      </w:r>
    </w:p>
    <w:p>
      <w:pPr>
        <w:pStyle w:val="Normal"/>
        <w:spacing w:lineRule="auto" w:line="480"/>
        <w:ind w:left="720" w:hanging="720"/>
        <w:rPr>
          <w:sz w:val="24"/>
          <w:szCs w:val="24"/>
        </w:rPr>
      </w:pPr>
      <w:r>
        <w:rPr>
          <w:rFonts w:eastAsia="Times New Roman"/>
          <w:sz w:val="24"/>
          <w:szCs w:val="24"/>
        </w:rPr>
        <w:t xml:space="preserve">Bennett, P.I., Tabima, J.F., Leon A.L., Browning J., Wingfield M.J. and LeBoldus J.M. (2021). Spatial Genetic Structure of the Insect-Vectored Conifer Pathogen Leptographium wageneri Suggests Long Distance Gene Flow Among Douglas-fir Plantations in Western Oregon. Front. For. Glob. Change 4:695981. </w:t>
      </w:r>
      <w:hyperlink r:id="rId43">
        <w:r>
          <w:rPr>
            <w:rStyle w:val="InternetLink"/>
            <w:rFonts w:cs="Open Sans" w:ascii="Open Sans" w:hAnsi="Open Sans"/>
            <w:color w:val="000000"/>
            <w:sz w:val="21"/>
            <w:szCs w:val="21"/>
            <w:shd w:fill="FFFFFF" w:val="clear"/>
          </w:rPr>
          <w:t>https://doi.org/10.3389/ffgc.2021.695981</w:t>
        </w:r>
      </w:hyperlink>
    </w:p>
    <w:p>
      <w:pPr>
        <w:pStyle w:val="Normal"/>
        <w:spacing w:lineRule="auto" w:line="480"/>
        <w:rPr>
          <w:b/>
          <w:b/>
          <w:sz w:val="28"/>
          <w:szCs w:val="28"/>
        </w:rPr>
      </w:pPr>
      <w:r>
        <w:rPr>
          <w:b/>
          <w:sz w:val="28"/>
          <w:szCs w:val="28"/>
        </w:rPr>
      </w:r>
    </w:p>
    <w:p>
      <w:pPr>
        <w:pStyle w:val="Normal"/>
        <w:spacing w:lineRule="auto" w:line="480"/>
        <w:ind w:left="720" w:hanging="720"/>
        <w:rPr>
          <w:sz w:val="24"/>
          <w:szCs w:val="24"/>
        </w:rPr>
      </w:pPr>
      <w:r>
        <w:rPr>
          <w:rFonts w:eastAsia="Times New Roman"/>
          <w:sz w:val="24"/>
          <w:szCs w:val="24"/>
        </w:rPr>
        <w:t>Bloomberg, W. J., Cumberbirch, P. M., and Wallis, G. W. (1980). A ground survey method for estimating loss caused by Phellinus weirii root rot, Can. For. Serv. Pacific For. Res. Cent., Victoria, B C. (BC-R-3; BC-R-4).</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Canavan, S. J., &amp; Ramm, C. W. (2000). Accuracy and precision of 10 year predictions for Forest Vegetation Simulator—Lake States. Northern Journal of Applied Forestry, 17(2), 62-70 pp.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Cleary, M. R., Arhipova, N., Morrison, D. J., Thomsen, I. M., Sturrock, R. N., Vasaitis, R., ... and Stenlid, J. (2013). Stump removal to control root disease in Canada and Scandinavia: A synthesis of results from long-term trials. Forest Ecology and Management, 290, 5-14 pp. </w:t>
      </w:r>
      <w:hyperlink r:id="rId44" w:tgtFrame="Persistent link using digital object identifier">
        <w:r>
          <w:rPr>
            <w:rStyle w:val="InternetLink"/>
            <w:rFonts w:cs="Open Sans" w:ascii="Open Sans" w:hAnsi="Open Sans"/>
            <w:color w:val="000000"/>
            <w:sz w:val="21"/>
            <w:szCs w:val="21"/>
            <w:shd w:fill="FFFFFF" w:val="clear"/>
          </w:rPr>
          <w:t>https://doi.org/10.1016/j.foreco.2012.05.040</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color w:val="000000"/>
          <w:sz w:val="21"/>
          <w:szCs w:val="21"/>
          <w:shd w:fill="FFFFFF" w:val="clear"/>
        </w:rPr>
      </w:pPr>
      <w:r>
        <w:rPr>
          <w:rFonts w:eastAsia="Times New Roman"/>
          <w:sz w:val="24"/>
          <w:szCs w:val="24"/>
        </w:rPr>
        <w:t xml:space="preserve">Cook, R. J., Edmonds, R. L., Klopfenstein, N. B., Littke, W., McDonald, G., Omdahl, D., ... and Zambino,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45">
        <w:r>
          <w:rPr>
            <w:rStyle w:val="InternetLink"/>
            <w:rFonts w:cs="Open Sans" w:ascii="Open Sans" w:hAnsi="Open Sans"/>
            <w:color w:val="000000"/>
            <w:sz w:val="21"/>
            <w:szCs w:val="21"/>
            <w:shd w:fill="FFFFFF" w:val="clear"/>
          </w:rPr>
          <w:t>https://www.fs.usda.gov/treesearch/pubs/46886</w:t>
        </w:r>
      </w:hyperlink>
    </w:p>
    <w:p>
      <w:pPr>
        <w:pStyle w:val="Normal"/>
        <w:spacing w:lineRule="auto" w:line="480"/>
        <w:ind w:left="720" w:hanging="720"/>
        <w:rPr>
          <w:rStyle w:val="InternetLink"/>
          <w:rFonts w:ascii="Open Sans" w:hAnsi="Open Sans" w:cs="Open Sans"/>
          <w:color w:val="000000"/>
          <w:sz w:val="21"/>
          <w:szCs w:val="21"/>
          <w:shd w:fill="FFFFFF" w:val="clear"/>
        </w:rPr>
      </w:pPr>
      <w:r>
        <w:rPr>
          <w:rFonts w:cs="Open Sans" w:ascii="Open Sans" w:hAnsi="Open Sans"/>
          <w:color w:val="000000"/>
          <w:sz w:val="21"/>
          <w:szCs w:val="21"/>
          <w:shd w:fill="FFFFFF" w:val="clear"/>
        </w:rPr>
      </w:r>
    </w:p>
    <w:p>
      <w:pPr>
        <w:pStyle w:val="Normal"/>
        <w:spacing w:lineRule="auto" w:line="480"/>
        <w:ind w:left="720" w:hanging="720"/>
        <w:rPr>
          <w:rFonts w:eastAsia="Times New Roman"/>
          <w:ins w:id="30" w:author="Shawn McMurtrey" w:date="2022-10-14T12:00:00Z"/>
          <w:sz w:val="24"/>
          <w:szCs w:val="24"/>
        </w:rPr>
      </w:pPr>
      <w:r>
        <w:rPr>
          <w:rFonts w:eastAsia="Times New Roman"/>
          <w:sz w:val="24"/>
          <w:szCs w:val="24"/>
        </w:rPr>
        <w:t xml:space="preserve">David, L. R. (2018). User Friendly User’s Guide To the Western Root Disease Model Version 3.0. Forest management Service Center. Fort Collins, CO. 29-30 pp.  </w:t>
      </w:r>
      <w:hyperlink r:id="rId46">
        <w:r>
          <w:rPr>
            <w:rStyle w:val="InternetLink"/>
            <w:rFonts w:cs="Open Sans" w:ascii="Open Sans" w:hAnsi="Open Sans"/>
            <w:sz w:val="21"/>
            <w:szCs w:val="21"/>
            <w:shd w:fill="FFFFFF" w:val="clear"/>
          </w:rPr>
          <w:t>https://www.fs.fed.us/foresthealth/technology/pdfs/WesternRootDiseaseModelV3-0UserGuide2018.pdf</w:t>
        </w:r>
      </w:hyperlink>
      <w:r>
        <w:rPr>
          <w:rFonts w:eastAsia="Times New Roman"/>
          <w:sz w:val="24"/>
          <w:szCs w:val="24"/>
        </w:rPr>
        <w:t xml:space="preserve"> </w:t>
      </w:r>
    </w:p>
    <w:p>
      <w:pPr>
        <w:pStyle w:val="Normal"/>
        <w:spacing w:lineRule="auto" w:line="480"/>
        <w:ind w:left="720" w:hanging="720"/>
        <w:rPr>
          <w:sz w:val="24"/>
          <w:szCs w:val="24"/>
          <w:ins w:id="33" w:author="Shawn McMurtrey" w:date="2022-10-14T12:01:00Z"/>
        </w:rPr>
      </w:pPr>
      <w:ins w:id="31" w:author="Shawn McMurtrey" w:date="2022-10-14T12:00:00Z">
        <w:r>
          <w:rPr/>
          <w:t>Dickman, A. (1992) Plant pathogens and long-term ecosystem changes. The Fungal Community: Its Organization and Role in the Ecosystem Mycology Series V 9 (ed. by G. C. Carroll and D. T. Wicklow), pp. 499 – 520. Marcel Dekker, New York, New York.</w:t>
        </w:r>
      </w:ins>
      <w:ins w:id="32" w:author="Shawn McMurtrey" w:date="2022-10-14T12:01:00Z">
        <w:r>
          <w:rPr/>
          <w:br/>
        </w:r>
      </w:ins>
    </w:p>
    <w:p>
      <w:pPr>
        <w:pStyle w:val="Normal"/>
        <w:spacing w:lineRule="auto" w:line="480"/>
        <w:ind w:left="720" w:hanging="720"/>
        <w:rPr>
          <w:sz w:val="24"/>
          <w:szCs w:val="24"/>
        </w:rPr>
      </w:pPr>
      <w:ins w:id="34" w:author="Shawn McMurtrey" w:date="2022-10-14T12:00:00Z">
        <w:r>
          <w:rPr/>
          <w:t>Dickman, A. &amp; Cook, S. (1989) Fire and fungus in a mountain hemlock forest. Canadian Journal of Botany, 67, 2005 – 16</w:t>
        </w:r>
      </w:ins>
      <w:r>
        <w:rPr>
          <w:rStyle w:val="InternetLink"/>
          <w:rFonts w:cs="Open Sans" w:ascii="Open Sans" w:hAnsi="Open Sans"/>
          <w:color w:val="000000"/>
          <w:sz w:val="21"/>
          <w:szCs w:val="21"/>
          <w:shd w:fill="FFFFFF" w:val="clear"/>
        </w:rPr>
        <w:br/>
      </w:r>
    </w:p>
    <w:p>
      <w:pPr>
        <w:pStyle w:val="Normal"/>
        <w:spacing w:lineRule="auto" w:line="480"/>
        <w:ind w:left="720" w:hanging="720"/>
        <w:rPr>
          <w:sz w:val="24"/>
          <w:szCs w:val="24"/>
        </w:rPr>
      </w:pPr>
      <w:r>
        <w:rPr>
          <w:rFonts w:eastAsia="Times New Roman"/>
          <w:sz w:val="24"/>
          <w:szCs w:val="24"/>
        </w:rPr>
        <w:t xml:space="preserve">ESRI (2011) ArcGIS desktop: version 2.8.0 [computer software]. Environme91ntal Systems Research Institute, Redlands, California.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InternetLink"/>
          <w:rFonts w:cs="Open Sans" w:ascii="Open Sans" w:hAnsi="Open Sans"/>
          <w:color w:val="000000"/>
          <w:sz w:val="21"/>
          <w:szCs w:val="21"/>
          <w:shd w:fill="FFFFFF" w:val="clear"/>
        </w:rPr>
        <w:t>https://www.fs.usda.gov/Internet/FSE_DOCUMENTS/fsbdev3_020984.pdf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47">
        <w:r>
          <w:rPr>
            <w:rStyle w:val="InternetLink"/>
            <w:rFonts w:cs="Open Sans" w:ascii="Open Sans" w:hAnsi="Open Sans"/>
            <w:color w:val="000000"/>
            <w:sz w:val="21"/>
            <w:szCs w:val="21"/>
            <w:shd w:fill="FFFFFF" w:val="clear"/>
          </w:rPr>
          <w:t>https://doi.org/10.2737/PSW-GTR-165</w:t>
        </w:r>
      </w:hyperlink>
    </w:p>
    <w:p>
      <w:pPr>
        <w:pStyle w:val="Normal"/>
        <w:spacing w:lineRule="auto" w:line="480"/>
        <w:ind w:left="720" w:hanging="72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"https://www.sciencedirect.com/science/article/pii/S0378112717321321" \l "bb0120"</w:instrText>
      </w:r>
      <w:r>
        <w:rPr>
          <w:sz w:val="24"/>
          <w:szCs w:val="24"/>
          <w:rFonts w:eastAsia="Times New Roman"/>
        </w:rPr>
        <w:fldChar w:fldCharType="separate"/>
      </w:r>
      <w:r>
        <w:rPr>
          <w:rFonts w:eastAsia="Times New Roman"/>
          <w:sz w:val="24"/>
          <w:szCs w:val="24"/>
        </w:rPr>
        <w:t>Franklin J.F. and Johnson K.N. (2012</w:t>
      </w:r>
      <w:r>
        <w:rPr>
          <w:sz w:val="24"/>
          <w:szCs w:val="24"/>
          <w:rFonts w:eastAsia="Times New Roman"/>
        </w:rPr>
        <w:fldChar w:fldCharType="end"/>
      </w:r>
      <w:r>
        <w:rPr>
          <w:rFonts w:eastAsia="Times New Roman"/>
          <w:sz w:val="24"/>
          <w:szCs w:val="24"/>
        </w:rPr>
        <w:t xml:space="preserve">). A restoration framework for federal forests in the Pacific Northwest. J. Forest., 110 (2012), pp. 429-439. </w:t>
      </w:r>
      <w:hyperlink r:id="rId48">
        <w:r>
          <w:rPr>
            <w:rStyle w:val="InternetLink"/>
            <w:rFonts w:cs="Open Sans" w:ascii="Open Sans" w:hAnsi="Open Sans"/>
            <w:color w:val="000000"/>
            <w:sz w:val="21"/>
            <w:szCs w:val="21"/>
            <w:shd w:fill="FFFFFF" w:val="clear"/>
          </w:rPr>
          <w:t>https://doi.org/10.5849/jof.10-006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Furniss, M. M. and Kegley, S. J. (2014). Forest Insect and Disease Leaflet 5. US Department of Agriculture, Forest Service.</w:t>
      </w:r>
    </w:p>
    <w:p>
      <w:pPr>
        <w:pStyle w:val="Normal"/>
        <w:spacing w:lineRule="auto" w:line="48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sz w:val="24"/>
          <w:szCs w:val="24"/>
        </w:rPr>
      </w:pPr>
      <w:r>
        <w:rPr>
          <w:rFonts w:eastAsia="Times New Roman"/>
          <w:sz w:val="24"/>
          <w:szCs w:val="24"/>
        </w:rPr>
        <w:t xml:space="preserve">Goheen, D. J., and Otrosina, W. J. (1998). Characteristics and consequences of root diseases in forests of western North America. In: Frankel, Susan J., tech. coord. User’s guide to the western root disease model, version 3.0. Gen. Tech. Rep. PSW-GTR 165. Albany, CA: US Department of Agriculture, Forest Service, Pacific Southwest Station: 3-8 p. </w:t>
      </w:r>
      <w:r>
        <w:rPr>
          <w:rStyle w:val="InternetLink"/>
          <w:rFonts w:cs="Open Sans" w:ascii="Open Sans" w:hAnsi="Open Sans"/>
          <w:color w:val="000000"/>
          <w:sz w:val="21"/>
          <w:szCs w:val="21"/>
          <w:shd w:fill="FFFFFF" w:val="clear"/>
        </w:rPr>
        <w:t>https://www.fs.usda.gov/treesearch/pubs/1087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Hadfield, J. S., and Region., (1985). Laminated root rot : a guide for reducing and preventing losses in Oregon and Washington forests (Vol. 1985). [Portland, Or.] : U.S. Dept. of Agriculture, Forest Service, Pacific Northwest Region. 13 p. </w:t>
      </w:r>
      <w:hyperlink r:id="rId49">
        <w:r>
          <w:rPr>
            <w:rStyle w:val="InternetLink"/>
            <w:rFonts w:cs="Open Sans" w:ascii="Open Sans" w:hAnsi="Open Sans"/>
            <w:color w:val="000000"/>
            <w:sz w:val="21"/>
            <w:szCs w:val="21"/>
            <w:shd w:fill="FFFFFF" w:val="clear"/>
          </w:rPr>
          <w:t>https://www.biodiversitylibrary.org/bibliography/178892</w:t>
        </w:r>
      </w:hyperlink>
      <w:r>
        <w:rPr>
          <w:rStyle w:val="InternetLink"/>
          <w:rFonts w:cs="Open Sans" w:ascii="Open Sans" w:hAnsi="Open Sans"/>
          <w:color w:val="000000"/>
          <w:sz w:val="21"/>
          <w:szCs w:val="21"/>
          <w:shd w:fill="FFFFFF" w:val="clear"/>
        </w:rPr>
        <w:br/>
      </w:r>
    </w:p>
    <w:p>
      <w:pPr>
        <w:pStyle w:val="Normal"/>
        <w:spacing w:lineRule="auto" w:line="480"/>
        <w:ind w:left="720" w:hanging="720"/>
        <w:rPr>
          <w:sz w:val="24"/>
          <w:szCs w:val="24"/>
        </w:rPr>
      </w:pPr>
      <w:r>
        <w:rPr>
          <w:rFonts w:eastAsia="Times New Roman"/>
          <w:sz w:val="24"/>
          <w:szCs w:val="24"/>
        </w:rPr>
        <w:t xml:space="preserve">Hadfield, J. S., Goheen, D. J., Filip, G. M., Schmitt, C. L., Harvey, R.D., (1986). Root diseases in Oregon and Washington conifers. Portland, OR: USDA Forest Service, Pacific Northwest Region. 27 p. </w:t>
      </w:r>
      <w:r>
        <w:rPr>
          <w:rStyle w:val="InternetLink"/>
          <w:rFonts w:cs="Open Sans" w:ascii="Open Sans" w:hAnsi="Open Sans"/>
          <w:color w:val="000000"/>
          <w:sz w:val="21"/>
          <w:szCs w:val="21"/>
          <w:shd w:fill="FFFFFF" w:val="clear"/>
        </w:rPr>
        <w:t>https://www.fs.usda.gov/detail/r6/forest-grasslandhealth/?cid=fsbdev2_027376</w:t>
        <w:br/>
      </w:r>
    </w:p>
    <w:p>
      <w:pPr>
        <w:pStyle w:val="Normal"/>
        <w:spacing w:lineRule="auto" w:line="480"/>
        <w:ind w:left="720" w:hanging="720"/>
        <w:rPr>
          <w:sz w:val="24"/>
          <w:szCs w:val="24"/>
        </w:rPr>
      </w:pPr>
      <w:r>
        <w:rPr>
          <w:rFonts w:eastAsia="Times New Roman"/>
          <w:sz w:val="24"/>
          <w:szCs w:val="24"/>
        </w:rPr>
        <w:t>Hagle, S. K., Tunnock, S. T., Gibson, K. E., Gilligan, C. J., (1987). Field Guide to Diseases and Insect Pests of Idaho and Montana Forests. United States: U.S. Department of Agriculture, Forest Service, State and Private Forestry, Northern Region. 123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Hanna, J., Warwell, M. V., Maffei, H., Fairweather, M. L., Blodgett, J. T., Zambino, P. J., ... and Klopfenstein, N. (2016). Bioclimatic modeling predicts potential distribution of Armillaria solidipes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InternetLink"/>
          <w:rFonts w:cs="Open Sans" w:ascii="Open Sans" w:hAnsi="Open Sans"/>
          <w:color w:val="000000"/>
          <w:sz w:val="21"/>
          <w:szCs w:val="21"/>
          <w:shd w:fill="FFFFFF" w:val="clear"/>
        </w:rPr>
        <w:t>https://www.fs.usda.gov/treesearch/pubs/52098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(1979). Survival of Phellinusweirii in Douglas-fir stumps after logging. Canadian Journal of Forest Research. 9(4): 484-488. </w:t>
      </w:r>
      <w:hyperlink r:id="rId50">
        <w:r>
          <w:rPr>
            <w:rStyle w:val="InternetLink"/>
            <w:rFonts w:cs="Open Sans" w:ascii="Open Sans" w:hAnsi="Open Sans"/>
            <w:color w:val="000000"/>
            <w:sz w:val="21"/>
            <w:szCs w:val="21"/>
            <w:shd w:fill="FFFFFF" w:val="clear"/>
          </w:rPr>
          <w:t>https://doi.org/10.1139/x79-078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color w:val="000000"/>
          <w:sz w:val="21"/>
          <w:szCs w:val="21"/>
          <w:shd w:fill="FFFFFF" w:val="clear"/>
        </w:rPr>
      </w:pPr>
      <w:r>
        <w:rPr>
          <w:rFonts w:eastAsia="Times New Roman"/>
          <w:sz w:val="24"/>
          <w:szCs w:val="24"/>
        </w:rPr>
        <w:t xml:space="preserve">Hansen, E. M., and Goheen, E. M. (2000). Phellinus weirii and other native root pathogens as determinants of forest structure and process in western North America. Annual review of phytopathology, 38(1), 515-539. </w:t>
      </w:r>
      <w:hyperlink r:id="rId51">
        <w:r>
          <w:rPr>
            <w:rStyle w:val="InternetLink"/>
            <w:rFonts w:cs="Open Sans" w:ascii="Open Sans" w:hAnsi="Open Sans"/>
            <w:sz w:val="21"/>
            <w:szCs w:val="21"/>
            <w:shd w:fill="FFFFFF" w:val="clear"/>
          </w:rPr>
          <w:t>http://dx.doi.org/10.1146/annurev.phyto.38.1.515</w:t>
        </w:r>
      </w:hyperlink>
    </w:p>
    <w:p>
      <w:pPr>
        <w:pStyle w:val="Normal"/>
        <w:spacing w:lineRule="auto" w:line="480"/>
        <w:ind w:left="720" w:hanging="720"/>
        <w:rPr>
          <w:rFonts w:eastAsia="Times New Roman"/>
          <w:color w:val="FF0000"/>
          <w:sz w:val="24"/>
          <w:szCs w:val="24"/>
        </w:rPr>
      </w:pPr>
      <w:r>
        <w:rPr>
          <w:rFonts w:eastAsia="Times New Roman"/>
          <w:color w:val="FF0000"/>
          <w:sz w:val="24"/>
          <w:szCs w:val="24"/>
        </w:rPr>
      </w:r>
    </w:p>
    <w:p>
      <w:pPr>
        <w:pStyle w:val="Normal"/>
        <w:spacing w:lineRule="auto" w:line="480"/>
        <w:ind w:left="720" w:hanging="720"/>
        <w:rPr>
          <w:rFonts w:eastAsia="Times New Roman"/>
          <w:color w:val="FF0000"/>
          <w:sz w:val="24"/>
          <w:szCs w:val="24"/>
        </w:rPr>
      </w:pPr>
      <w:r>
        <w:rPr>
          <w:rFonts w:eastAsia="Times New Roman"/>
          <w:color w:val="FF0000"/>
          <w:sz w:val="24"/>
          <w:szCs w:val="24"/>
        </w:rPr>
        <w:t>Harrington, C. A. (2006). Biology and ecology of red alder. United States Department of Agriculture Forest Service General Technical Report PNW, 669, 21.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52">
        <w:r>
          <w:rPr>
            <w:rStyle w:val="InternetLink"/>
            <w:rFonts w:cs="Open Sans" w:ascii="Open Sans" w:hAnsi="Open Sans"/>
            <w:color w:val="000000"/>
            <w:sz w:val="21"/>
            <w:szCs w:val="21"/>
            <w:shd w:fill="FFFFFF" w:val="clear"/>
          </w:rPr>
          <w:t>https://doi.org/10.1002/ecs2.1569</w:t>
        </w:r>
      </w:hyperlink>
    </w:p>
    <w:p>
      <w:pPr>
        <w:pStyle w:val="Normal"/>
        <w:spacing w:lineRule="auto" w:line="480"/>
        <w:ind w:left="720" w:hanging="720"/>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Agriculture , Forest Service, Rocky Mountain Research Station . 10 p. </w:t>
      </w:r>
      <w:r>
        <w:rPr>
          <w:rStyle w:val="InternetLink"/>
          <w:rFonts w:cs="Open Sans" w:ascii="Open Sans" w:hAnsi="Open Sans"/>
          <w:color w:val="000000"/>
          <w:sz w:val="21"/>
          <w:szCs w:val="21"/>
          <w:shd w:fill="FFFFFF" w:val="clear"/>
        </w:rPr>
        <w:t>https://www.fs.fed.us/rm/pubs/rmrs_rp076.pdf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color w:val="000000"/>
          <w:ins w:id="35" w:author="Shawn McMurtrey" w:date="2022-08-19T14:24:00Z"/>
          <w:sz w:val="21"/>
          <w:szCs w:val="21"/>
          <w:shd w:fill="FFFFFF" w:val="clear"/>
        </w:rPr>
      </w:pPr>
      <w:r>
        <w:rPr>
          <w:rFonts w:eastAsia="Times New Roman"/>
          <w:sz w:val="24"/>
          <w:szCs w:val="24"/>
        </w:rPr>
        <w:t xml:space="preserve">Lan, Y. H., Shaw, D. C., Beedlow, P. A., Lee, E. H., and Waschmann, R. S. (2019). Severity of Swiss needle cast in young and mature Douglas-fir forests in western Oregon, USA. Forest ecology and management, 442, 79-95 p. </w:t>
      </w:r>
      <w:hyperlink r:id="rId53" w:tgtFrame="Persistent link using digital object identifier">
        <w:r>
          <w:rPr>
            <w:rStyle w:val="InternetLink"/>
            <w:rFonts w:cs="Open Sans" w:ascii="Open Sans" w:hAnsi="Open Sans"/>
            <w:color w:val="000000"/>
            <w:sz w:val="21"/>
            <w:szCs w:val="21"/>
            <w:shd w:fill="FFFFFF" w:val="clear"/>
          </w:rPr>
          <w:t>https://doi.org/10.1016/j.foreco.2019.03.063</w:t>
        </w:r>
      </w:hyperlink>
    </w:p>
    <w:p>
      <w:pPr>
        <w:pStyle w:val="Normal"/>
        <w:spacing w:lineRule="auto" w:line="480"/>
        <w:ind w:left="720" w:hanging="720"/>
        <w:rPr>
          <w:rStyle w:val="InternetLink"/>
          <w:rFonts w:ascii="Open Sans" w:hAnsi="Open Sans" w:cs="Open Sans"/>
          <w:color w:val="000000"/>
          <w:ins w:id="37" w:author="Shawn McMurtrey" w:date="2022-08-19T14:24:00Z"/>
          <w:sz w:val="21"/>
          <w:szCs w:val="21"/>
          <w:shd w:fill="FFFFFF" w:val="clear"/>
        </w:rPr>
      </w:pPr>
      <w:ins w:id="36" w:author="Shawn McMurtrey" w:date="2022-08-19T14:24:00Z">
        <w:r>
          <w:rPr>
            <w:rFonts w:cs="Open Sans" w:ascii="Open Sans" w:hAnsi="Open Sans"/>
            <w:color w:val="000000"/>
            <w:sz w:val="21"/>
            <w:szCs w:val="21"/>
            <w:shd w:fill="FFFFFF" w:val="clear"/>
          </w:rPr>
        </w:r>
      </w:ins>
    </w:p>
    <w:p>
      <w:pPr>
        <w:pStyle w:val="Normal"/>
        <w:spacing w:lineRule="auto" w:line="480"/>
        <w:ind w:left="720" w:hanging="720"/>
        <w:pPrChange w:id="0" w:author="Shawn McMurtrey" w:date="2022-08-19T14:24:00Z">
          <w:pPr>
            <w:ind w:left="720" w:hanging="0"/>
          </w:pPr>
        </w:pPrChange>
        <w:rPr>
          <w:rFonts w:eastAsia="Times New Roman"/>
          <w:ins w:id="38" w:author="Shawn McMurtrey" w:date="2022-08-19T14:24:00Z"/>
          <w:sz w:val="24"/>
          <w:szCs w:val="24"/>
        </w:rPr>
      </w:pPr>
      <w:r>
        <w:rPr>
          <w:rFonts w:eastAsia="Times New Roman"/>
          <w:sz w:val="24"/>
          <w:szCs w:val="24"/>
        </w:rPr>
        <w:t>Langridge, R.W., 1987. Soil survey of Linn County Area, Oregon. USDA Soil Con. Ser., Washington, DC.</w:t>
      </w:r>
    </w:p>
    <w:p>
      <w:pPr>
        <w:pStyle w:val="Normal"/>
        <w:spacing w:lineRule="auto" w:line="480"/>
        <w:ind w:left="720" w:hanging="720"/>
        <w:rPr>
          <w:sz w:val="24"/>
          <w:szCs w:val="24"/>
        </w:rPr>
      </w:pPr>
      <w:r>
        <w:rPr>
          <w:sz w:val="24"/>
          <w:szCs w:val="24"/>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Lattin, P.D. 1998. Spatial analysis of Phellinus wierii infection centers in the Central Cascades of Oregon: Inferring ecological processes from patterns. M.S. Thesis Oregon State University.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Law, B. E., Hudiburg, T. W., and Luyssaert, S. (2013). Thinning effects on forest productivity: consequences of preserving old forests and mitigating impacts of fire and drought. Plant Ecology and Diversity, 6(1), 73-85. </w:t>
      </w:r>
      <w:hyperlink r:id="rId54">
        <w:r>
          <w:rPr>
            <w:rStyle w:val="InternetLink"/>
            <w:rFonts w:cs="Open Sans" w:ascii="Open Sans" w:hAnsi="Open Sans"/>
            <w:color w:val="000000"/>
            <w:sz w:val="21"/>
            <w:szCs w:val="21"/>
            <w:shd w:fill="FFFFFF" w:val="clear"/>
          </w:rPr>
          <w:t>https://doi.org/10.1080/17550874.2012.679013</w:t>
        </w:r>
      </w:hyperlink>
    </w:p>
    <w:p>
      <w:pPr>
        <w:pStyle w:val="Normal"/>
        <w:spacing w:lineRule="auto" w:line="480"/>
        <w:pPrChange w:id="0" w:author="Shawn McMurtrey" w:date="2022-10-14T14:11:00Z">
          <w:pPr>
            <w:ind w:left="720" w:hanging="720"/>
            <w:spacing w:lineRule="auto" w:line="480"/>
          </w:pPr>
        </w:pPrChange>
        <w:rPr>
          <w:sz w:val="24"/>
          <w:szCs w:val="24"/>
          <w:ins w:id="39" w:author="Shawn McMurtrey" w:date="2022-10-14T14:11:00Z"/>
        </w:rPr>
      </w:pPr>
      <w:r>
        <w:rPr>
          <w:sz w:val="24"/>
          <w:szCs w:val="24"/>
        </w:rPr>
      </w:r>
    </w:p>
    <w:p>
      <w:pPr>
        <w:pStyle w:val="Normal"/>
        <w:spacing w:lineRule="auto" w:line="480"/>
        <w:ind w:left="720" w:hanging="720"/>
        <w:pPrChange w:id="0" w:author="Shawn McMurtrey" w:date="2022-10-14T14:11:00Z">
          <w:pPr>
            <w:spacing w:lineRule="auto" w:line="480"/>
          </w:pPr>
        </w:pPrChange>
        <w:rPr>
          <w:rFonts w:eastAsia="Times New Roman"/>
          <w:ins w:id="40" w:author="Shawn McMurtrey" w:date="2022-10-14T14:11:00Z"/>
          <w:sz w:val="24"/>
          <w:szCs w:val="24"/>
        </w:rPr>
      </w:pPr>
      <w:r>
        <w:rPr>
          <w:rFonts w:eastAsia="Times New Roman"/>
          <w:sz w:val="24"/>
          <w:szCs w:val="24"/>
        </w:rPr>
        <w:t>Lawson, T. T. (1979). Some silvicultural impacts of Phellinus weirii on a managed forest in the interior Coast Range of Oregon (Master’s thesis). Oregon State University, Corvallis, OR.</w:t>
      </w:r>
    </w:p>
    <w:p>
      <w:pPr>
        <w:pStyle w:val="Normal"/>
        <w:spacing w:lineRule="auto" w:line="480"/>
        <w:pPrChange w:id="0" w:author="Shawn McMurtrey" w:date="2022-10-14T14:11:00Z">
          <w:pPr>
            <w:ind w:left="720" w:hanging="720"/>
            <w:spacing w:lineRule="auto" w:line="480"/>
          </w:pPr>
        </w:pPrChange>
        <w:rPr>
          <w:rFonts w:ascii="Open Sans" w:hAnsi="Open Sans" w:cs="Open Sans"/>
          <w:sz w:val="21"/>
          <w:szCs w:val="21"/>
          <w:shd w:fill="FFFFFF" w:val="clear"/>
        </w:rPr>
      </w:pPr>
      <w:r>
        <w:rPr>
          <w:rFonts w:cs="Open Sans" w:ascii="Open Sans" w:hAnsi="Open Sans"/>
          <w:sz w:val="21"/>
          <w:szCs w:val="21"/>
          <w:shd w:fill="FFFFFF" w:val="clear"/>
        </w:rPr>
      </w:r>
    </w:p>
    <w:p>
      <w:pPr>
        <w:pStyle w:val="Normal"/>
        <w:spacing w:lineRule="auto" w:line="480"/>
        <w:ind w:left="720" w:hanging="720"/>
        <w:rPr>
          <w:rFonts w:eastAsia="Times New Roman"/>
          <w:sz w:val="24"/>
          <w:szCs w:val="24"/>
          <w:del w:id="41" w:author="Shawn McMurtrey" w:date="2022-10-14T14:11:00Z"/>
        </w:rPr>
      </w:pPr>
      <w:r>
        <w:rPr>
          <w:rFonts w:eastAsia="Times New Roman"/>
          <w:sz w:val="24"/>
          <w:szCs w:val="24"/>
        </w:rPr>
        <w:t>Lawson, T. T., Berg, A. B., &amp; Hansen, E. M. (1983). Damage from laminated root rot at the Black Rock Forest Management Research Area in western Oregon.</w:t>
      </w:r>
    </w:p>
    <w:p>
      <w:pPr>
        <w:pStyle w:val="Normal"/>
        <w:spacing w:lineRule="auto" w:line="480"/>
        <w:rPr>
          <w:rFonts w:eastAsia="Times New Roman"/>
          <w:sz w:val="24"/>
          <w:szCs w:val="24"/>
          <w:del w:id="43" w:author="Shawn McMurtrey" w:date="2022-10-14T14:11:00Z"/>
        </w:rPr>
      </w:pPr>
      <w:del w:id="42" w:author="Shawn McMurtrey" w:date="2022-10-14T14:11:00Z">
        <w:r>
          <w:rPr>
            <w:rFonts w:eastAsia="Times New Roman"/>
            <w:sz w:val="24"/>
            <w:szCs w:val="24"/>
          </w:rPr>
        </w:r>
      </w:del>
    </w:p>
    <w:p>
      <w:pPr>
        <w:pStyle w:val="Normal"/>
        <w:spacing w:lineRule="auto" w:line="480"/>
        <w:ind w:left="720" w:hanging="720"/>
        <w:rPr>
          <w:rFonts w:eastAsia="Times New Roman"/>
          <w:ins w:id="44" w:author="Shawn McMurtrey" w:date="2022-10-15T16:24:00Z"/>
          <w:sz w:val="24"/>
          <w:szCs w:val="24"/>
        </w:rPr>
      </w:pPr>
      <w:r>
        <w:rPr>
          <w:rFonts w:eastAsia="Times New Roman"/>
          <w:sz w:val="24"/>
          <w:szCs w:val="24"/>
        </w:rPr>
        <w:t>Leal I., Bergeron, M. J., Feau, N., Tsui, C. K. M., Foord, B., Pellow, K., ... and Sturrock, R. N. (2019). Cryptic Speciation in Western North America and Eastern Eurasia of the Pathogens Responsible for Laminated Root Rot. Phytopathology, 109(3), 456-468.</w:t>
      </w:r>
    </w:p>
    <w:p>
      <w:pPr>
        <w:pStyle w:val="Normal"/>
        <w:spacing w:lineRule="auto" w:line="480"/>
        <w:ind w:left="720" w:hanging="720"/>
        <w:rPr>
          <w:rFonts w:eastAsia="Times New Roman"/>
          <w:ins w:id="46" w:author="Shawn McMurtrey" w:date="2022-10-15T16:24:00Z"/>
          <w:sz w:val="24"/>
          <w:szCs w:val="24"/>
        </w:rPr>
      </w:pPr>
      <w:ins w:id="45" w:author="Shawn McMurtrey" w:date="2022-10-15T16:24:00Z">
        <w:r>
          <w:rPr>
            <w:rFonts w:eastAsia="Times New Roman"/>
            <w:sz w:val="24"/>
            <w:szCs w:val="24"/>
          </w:rPr>
        </w:r>
      </w:ins>
    </w:p>
    <w:p>
      <w:pPr>
        <w:pStyle w:val="Normal"/>
        <w:spacing w:lineRule="auto" w:line="480"/>
        <w:ind w:left="720" w:hanging="720"/>
        <w:rPr>
          <w:rFonts w:eastAsia="Times New Roman"/>
          <w:ins w:id="48" w:author="Shawn McMurtrey" w:date="2022-10-15T16:07:00Z"/>
          <w:sz w:val="24"/>
          <w:szCs w:val="24"/>
        </w:rPr>
      </w:pPr>
      <w:ins w:id="47" w:author="Shawn McMurtrey" w:date="2022-10-15T16:24:00Z">
        <w:r>
          <w:rPr>
            <w:rFonts w:eastAsia="Times New Roman"/>
            <w:sz w:val="24"/>
            <w:szCs w:val="24"/>
          </w:rPr>
          <w:t>Lim, Y. W., Yeung, Y. C. A., Sturrock, R., Leal, I., &amp; Breuil, C. (2005). Differentiating the two closely related species, Phellinus weirii and P. sulphurascens. Forest Pathology, 35(4), 305–314. doi:10.1111/j.1439-0329.2005.00410.x </w:t>
        </w:r>
      </w:ins>
    </w:p>
    <w:p>
      <w:pPr>
        <w:pStyle w:val="Normal"/>
        <w:spacing w:lineRule="auto" w:line="480"/>
        <w:ind w:left="720" w:hanging="720"/>
        <w:rPr>
          <w:rFonts w:eastAsia="Times New Roman"/>
          <w:ins w:id="50" w:author="Shawn McMurtrey" w:date="2022-10-15T16:07:00Z"/>
          <w:sz w:val="24"/>
          <w:szCs w:val="24"/>
        </w:rPr>
      </w:pPr>
      <w:ins w:id="49" w:author="Shawn McMurtrey" w:date="2022-10-15T16:07:00Z">
        <w:r>
          <w:rPr>
            <w:rFonts w:eastAsia="Times New Roman"/>
            <w:sz w:val="24"/>
            <w:szCs w:val="24"/>
          </w:rPr>
        </w:r>
      </w:ins>
    </w:p>
    <w:p>
      <w:pPr>
        <w:pStyle w:val="Normal"/>
        <w:spacing w:lineRule="auto" w:line="480"/>
        <w:ind w:left="720" w:hanging="720"/>
        <w:rPr>
          <w:sz w:val="24"/>
          <w:szCs w:val="24"/>
        </w:rPr>
      </w:pPr>
      <w:ins w:id="51" w:author="Shawn McMurtrey" w:date="2022-10-15T16:07:00Z">
        <w:r>
          <w:rPr>
            <w:rFonts w:eastAsia="Calibri" w:cs="Calibri" w:ascii="Calibri" w:hAnsi="Calibri"/>
            <w:b/>
            <w:bCs/>
            <w:sz w:val="24"/>
            <w:szCs w:val="24"/>
          </w:rPr>
          <w:t>McMurtrey S.</w:t>
        </w:r>
      </w:ins>
      <w:ins w:id="52" w:author="Shawn McMurtrey" w:date="2022-10-15T16:07:00Z">
        <w:r>
          <w:rPr>
            <w:rFonts w:eastAsia="Calibri" w:cs="Calibri" w:ascii="Calibri" w:hAnsi="Calibri"/>
            <w:sz w:val="24"/>
            <w:szCs w:val="24"/>
          </w:rPr>
          <w:t>, Alcalá-Briseño R.I., Showalter D.N., LeBoldus J.M.</w:t>
        </w:r>
      </w:ins>
      <w:ins w:id="53" w:author="Shawn McMurtrey" w:date="2022-10-15T16:08:00Z">
        <w:r>
          <w:rPr>
            <w:rFonts w:eastAsia="Calibri" w:cs="Calibri" w:ascii="Calibri" w:hAnsi="Calibri"/>
            <w:sz w:val="24"/>
            <w:szCs w:val="24"/>
          </w:rPr>
          <w:t xml:space="preserve"> 2022.</w:t>
        </w:r>
      </w:ins>
      <w:ins w:id="54" w:author="Shawn McMurtrey" w:date="2022-10-15T16:07:00Z">
        <w:r>
          <w:rPr>
            <w:rFonts w:eastAsia="Calibri" w:cs="Calibri" w:ascii="Calibri" w:hAnsi="Calibri"/>
            <w:sz w:val="24"/>
            <w:szCs w:val="24"/>
          </w:rPr>
          <w:t xml:space="preserve"> Draft Genome Resource for Forest Pathogen Coniferiporia weirii – a Facultative Pathogen of Thuja plicata and Callitropsis nootkatensis. Plant Disease.</w:t>
        </w:r>
      </w:ins>
      <w:ins w:id="55" w:author="Shawn McMurtrey" w:date="2022-10-15T16:08:00Z">
        <w:r>
          <w:rPr>
            <w:rFonts w:eastAsia="Calibri" w:cs="Calibri" w:ascii="Calibri" w:hAnsi="Calibri"/>
            <w:sz w:val="24"/>
            <w:szCs w:val="24"/>
          </w:rPr>
          <w:br/>
        </w:r>
      </w:ins>
    </w:p>
    <w:p>
      <w:pPr>
        <w:pStyle w:val="Normal"/>
        <w:spacing w:lineRule="auto" w:line="480"/>
        <w:ind w:left="720" w:hanging="720"/>
        <w:rPr>
          <w:sz w:val="24"/>
          <w:szCs w:val="24"/>
        </w:rPr>
      </w:pPr>
      <w:r>
        <w:rPr>
          <w:rFonts w:eastAsia="Times New Roman"/>
          <w:sz w:val="24"/>
          <w:szCs w:val="24"/>
        </w:rPr>
        <w:t xml:space="preserve">  </w:t>
      </w:r>
      <w:r>
        <w:rPr>
          <w:rFonts w:eastAsia="Times New Roman"/>
          <w:sz w:val="24"/>
          <w:szCs w:val="24"/>
        </w:rPr>
        <w:t>Russell V. Lenth (2022). emmeans: Estimated Marginal Means, aka Least-Squares Means. R package version 1.7.4-1.</w:t>
      </w:r>
    </w:p>
    <w:p>
      <w:pPr>
        <w:pStyle w:val="Normal"/>
        <w:spacing w:lineRule="auto" w:line="480"/>
        <w:ind w:left="720" w:hanging="720"/>
        <w:rPr>
          <w:sz w:val="24"/>
          <w:szCs w:val="24"/>
        </w:rPr>
      </w:pPr>
      <w:r>
        <w:rPr>
          <w:rFonts w:eastAsia="Times New Roman"/>
          <w:sz w:val="24"/>
          <w:szCs w:val="24"/>
        </w:rPr>
        <w:t xml:space="preserve">  </w:t>
      </w:r>
      <w:r>
        <w:rPr>
          <w:rFonts w:eastAsia="Times New Roman"/>
          <w:sz w:val="24"/>
          <w:szCs w:val="24"/>
        </w:rPr>
        <w:t>https://CRAN.R-project.org/package=emmeans</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color w:val="FF0000"/>
          <w:sz w:val="24"/>
          <w:szCs w:val="24"/>
        </w:rPr>
      </w:pPr>
      <w:r>
        <w:rPr>
          <w:rFonts w:eastAsia="Times New Roman"/>
          <w:color w:val="FF0000"/>
          <w:sz w:val="24"/>
          <w:szCs w:val="24"/>
        </w:rPr>
        <w:t>Li, C. Y., Lu, K. C., Nelson, E. E., Bollen, W. B., &amp; Trappe, J. M. (1969). Effect of phenolic and other compounds on grovvth of. Microbios, 3, 305-311.</w:t>
      </w:r>
    </w:p>
    <w:p>
      <w:pPr>
        <w:pStyle w:val="Normal"/>
        <w:spacing w:lineRule="auto" w:line="480"/>
        <w:ind w:left="720" w:hanging="720"/>
        <w:rPr>
          <w:rFonts w:eastAsia="Times New Roman"/>
          <w:color w:val="FF0000"/>
          <w:sz w:val="24"/>
          <w:szCs w:val="24"/>
        </w:rPr>
      </w:pPr>
      <w:r>
        <w:rPr>
          <w:rFonts w:eastAsia="Times New Roman"/>
          <w:color w:val="FF0000"/>
          <w:sz w:val="24"/>
          <w:szCs w:val="24"/>
        </w:rPr>
      </w:r>
    </w:p>
    <w:p>
      <w:pPr>
        <w:pStyle w:val="Normal"/>
        <w:spacing w:lineRule="auto" w:line="480"/>
        <w:ind w:left="720" w:hanging="720"/>
        <w:rPr>
          <w:rFonts w:eastAsia="Times New Roman"/>
          <w:color w:val="FF0000"/>
          <w:sz w:val="24"/>
          <w:szCs w:val="24"/>
        </w:rPr>
      </w:pPr>
      <w:r>
        <w:rPr>
          <w:color w:val="FF0000"/>
        </w:rPr>
        <w:t>LI, C. Y., K. C. LU, J. M. TRAPPE, and W. B. BOLLEN. "Inhibition of Poria weirii and Fomes annosus by Linoleic Acid." Forest Sci. 16: 329.330. 1970.</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55">
        <w:r>
          <w:rPr>
            <w:rStyle w:val="InternetLink"/>
            <w:rFonts w:cs="Open Sans" w:ascii="Open Sans" w:hAnsi="Open Sans"/>
            <w:color w:val="000000"/>
            <w:sz w:val="21"/>
            <w:szCs w:val="21"/>
            <w:shd w:fill="FFFFFF" w:val="clear"/>
          </w:rPr>
          <w:t>https://doi.org/10.1094/PHYTO-12-17-0399-R</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InternetLink"/>
          <w:rFonts w:cs="Open Sans" w:ascii="Open Sans" w:hAnsi="Open Sans"/>
          <w:color w:val="000000"/>
          <w:sz w:val="21"/>
          <w:szCs w:val="21"/>
          <w:shd w:fill="FFFFFF" w:val="clear"/>
        </w:rPr>
        <w:t>https://www.fs.fed.us/rm/pubs/rmrs_p054/rmrs_p054_055_067.pdf</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Marsden, M. A., (1992). Sensitivity of the Western Root Disease Model: inventory of root disease (Vol. 303). USDA, Forest Service, Rocky Mountain Forest and Range Experiment Station.</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McKenzie, D., Gedalof, Z. E., Peterson, D. L., and Mote, P. (2004). Climatic change, wildfire, and conservation. Conservation biology, 18(4), 890-902.  </w:t>
      </w:r>
    </w:p>
    <w:p>
      <w:pPr>
        <w:pStyle w:val="Normal"/>
        <w:spacing w:lineRule="auto" w:line="480"/>
        <w:ind w:left="720" w:hanging="0"/>
        <w:rPr>
          <w:sz w:val="24"/>
          <w:szCs w:val="24"/>
        </w:rPr>
      </w:pPr>
      <w:hyperlink r:id="rId56">
        <w:r>
          <w:rPr>
            <w:rStyle w:val="InternetLink"/>
            <w:rFonts w:cs="Open Sans" w:ascii="Open Sans" w:hAnsi="Open Sans"/>
            <w:color w:val="000000"/>
            <w:sz w:val="21"/>
            <w:szCs w:val="21"/>
            <w:shd w:fill="FFFFFF" w:val="clear"/>
          </w:rPr>
          <w:t>https://doi.org/10.1111/j.1523-1739.2004.00492.x</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Morrison, D.J., Merler, H., Norris, D., (1991). Detection, Recognition and Management of Armillaria and Phellinus Root Disease in the Southern Interior of British Columbia. Forestry Canada and BC Ministry of Forests, Victoria, BC FRDA Rep. 179.</w:t>
      </w:r>
    </w:p>
    <w:p>
      <w:pPr>
        <w:pStyle w:val="Normal"/>
        <w:spacing w:lineRule="auto" w:line="480"/>
        <w:ind w:left="720" w:hanging="0"/>
        <w:rPr>
          <w:rFonts w:ascii="Open Sans" w:hAnsi="Open Sans" w:cs="Open Sans"/>
          <w:sz w:val="21"/>
          <w:szCs w:val="21"/>
          <w:u w:val="single"/>
          <w:shd w:fill="FFFFFF" w:val="clear"/>
        </w:rPr>
      </w:pPr>
      <w:r>
        <w:rPr>
          <w:rFonts w:cs="Open Sans" w:ascii="Open Sans" w:hAnsi="Open Sans"/>
          <w:sz w:val="21"/>
          <w:szCs w:val="21"/>
          <w:u w:val="single"/>
          <w:shd w:fill="FFFFFF" w:val="clear"/>
        </w:rPr>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Morrison, D. J., Cruickshank, M. G., and Lalumière, A. (2014). Control of laminated and Armillaria root diseases by stump removal and tree species mixtures: Amount and cause of mortality and impact on yield after 40 years. Forest ecology and management, 319. 75-98 p. </w:t>
      </w:r>
      <w:hyperlink r:id="rId57" w:tgtFrame="Persistent link using digital object identifier">
        <w:r>
          <w:rPr>
            <w:rStyle w:val="InternetLink"/>
            <w:rFonts w:cs="Open Sans" w:ascii="Open Sans" w:hAnsi="Open Sans"/>
            <w:color w:val="000000"/>
            <w:sz w:val="21"/>
            <w:szCs w:val="21"/>
            <w:shd w:fill="FFFFFF" w:val="clear"/>
          </w:rPr>
          <w:t>https://doi.org/10.1016/j.foreco.2014.02.007</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Mote, P.W., Salathé, E.P (2010). Future climate in the Pacific Northwest. Climatic Change 102, 29–50. </w:t>
      </w:r>
      <w:r>
        <w:rPr>
          <w:rStyle w:val="InternetLink"/>
          <w:rFonts w:cs="Open Sans" w:ascii="Open Sans" w:hAnsi="Open Sans"/>
          <w:color w:val="000000"/>
          <w:sz w:val="21"/>
          <w:szCs w:val="21"/>
          <w:shd w:fill="FFFFFF" w:val="clear"/>
        </w:rPr>
        <w:t>https://doi.org/10.1007/s10584-010-9848-z</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Nelson, E.l E.; Martin, Neil E.; Williams, Ralph E. (1981). Laminated root rot of western conifers. Forest Insect and Disease Leaflet 159. Washington, DC: USDA Forest Service; 6 p.</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Style w:val="InternetLink"/>
          <w:rFonts w:ascii="Open Sans" w:hAnsi="Open Sans" w:cs="Open Sans"/>
          <w:color w:val="000000"/>
          <w:ins w:id="56" w:author="Shawn McMurtrey" w:date="2022-10-13T16:36:00Z"/>
          <w:sz w:val="21"/>
          <w:szCs w:val="21"/>
          <w:shd w:fill="FFFFFF" w:val="clear"/>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58">
        <w:r>
          <w:rPr>
            <w:rStyle w:val="InternetLink"/>
            <w:rFonts w:cs="Open Sans" w:ascii="Open Sans" w:hAnsi="Open Sans"/>
            <w:color w:val="000000"/>
            <w:sz w:val="21"/>
            <w:szCs w:val="21"/>
            <w:shd w:fill="FFFFFF" w:val="clear"/>
          </w:rPr>
          <w:t>https://doi.org/10.1139/cjfr-2014-0168</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pPrChange w:id="0" w:author="Shawn McMurtrey" w:date="2022-10-13T16:37:00Z">
          <w:pPr>
            <w:spacing w:lineRule="auto" w:line="240"/>
          </w:pPr>
        </w:pPrChange>
        <w:rPr>
          <w:rFonts w:eastAsia="Times New Roman"/>
          <w:ins w:id="59" w:author="Shawn McMurtrey" w:date="2022-10-13T16:37:00Z"/>
          <w:sz w:val="24"/>
          <w:szCs w:val="24"/>
        </w:rPr>
      </w:pPr>
      <w:r>
        <w:rPr>
          <w:rFonts w:eastAsia="Times New Roman"/>
          <w:sz w:val="24"/>
          <w:szCs w:val="24"/>
        </w:rPr>
        <w:t xml:space="preserve">Parker, T. J., Clancy, K. M., &amp; </w:t>
      </w:r>
      <w:ins w:id="57" w:author="Shawn McMurtrey" w:date="2022-10-13T16:36:00Z">
        <w:r>
          <w:rPr>
            <w:rFonts w:eastAsia="Times New Roman"/>
            <w:sz w:val="24"/>
            <w:szCs w:val="24"/>
          </w:rPr>
          <w:t>Mathiasen, R. L. (2006). Interactions among fire, insects and pathogens in coniferous forests of the interior western United States and Canada. Agricultural and Forest Entomology, 8(3), 167-189.</w:t>
        </w:r>
      </w:ins>
      <w:ins w:id="58" w:author="Shawn McMurtrey" w:date="2022-10-13T16:37:00Z">
        <w:r>
          <w:rPr>
            <w:rFonts w:eastAsia="Times New Roman"/>
            <w:sz w:val="24"/>
            <w:szCs w:val="24"/>
          </w:rPr>
          <w:t xml:space="preserve">  </w:t>
        </w:r>
      </w:ins>
    </w:p>
    <w:p>
      <w:pPr>
        <w:pStyle w:val="Normal"/>
        <w:spacing w:lineRule="auto" w:line="480"/>
        <w:ind w:left="720" w:hanging="0"/>
        <w:pPrChange w:id="0" w:author="Shawn McMurtrey" w:date="2022-10-13T16:37:00Z">
          <w:pPr>
            <w:shd w:val="clear" w:color="auto" w:fill="FFFFFF"/>
          </w:pPr>
        </w:pPrChange>
        <w:rPr>
          <w:rFonts w:eastAsia="Times New Roman"/>
          <w:ins w:id="60" w:author="Shawn McMurtrey" w:date="2022-10-13T16:37:00Z"/>
          <w:sz w:val="24"/>
          <w:szCs w:val="24"/>
        </w:rPr>
      </w:pPr>
      <w:hyperlink r:id="rId59">
        <w:r>
          <w:rPr>
            <w:rStyle w:val="InternetLink"/>
            <w:rFonts w:eastAsia="Times New Roman"/>
            <w:sz w:val="24"/>
            <w:szCs w:val="24"/>
          </w:rPr>
          <w:t>https://doi.org/10.1111/j.1461-9563.2006.00305.x</w:t>
        </w:r>
      </w:hyperlink>
    </w:p>
    <w:p>
      <w:pPr>
        <w:pStyle w:val="Normal"/>
        <w:spacing w:lineRule="auto" w:line="480"/>
        <w:ind w:left="720" w:hanging="720"/>
        <w:rPr>
          <w:rFonts w:eastAsia="Times New Roman"/>
          <w:ins w:id="62" w:author="Shawn McMurtrey" w:date="2022-10-13T16:36:00Z"/>
          <w:sz w:val="24"/>
          <w:szCs w:val="24"/>
        </w:rPr>
      </w:pPr>
      <w:ins w:id="61" w:author="Shawn McMurtrey" w:date="2022-10-13T16:36:00Z">
        <w:r>
          <w:rPr>
            <w:rFonts w:eastAsia="Times New Roman"/>
            <w:sz w:val="24"/>
            <w:szCs w:val="24"/>
          </w:rPr>
        </w:r>
      </w:ins>
    </w:p>
    <w:p>
      <w:pPr>
        <w:pStyle w:val="Normal"/>
        <w:spacing w:lineRule="auto" w:line="480"/>
        <w:pPrChange w:id="0" w:author="Shawn McMurtrey" w:date="2022-10-13T16:36:00Z">
          <w:pPr>
            <w:ind w:left="720" w:hanging="720"/>
            <w:spacing w:lineRule="auto" w:line="480"/>
          </w:pPr>
        </w:pPrChange>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Peet, F. G., and Hunt, R. S. (2005). A new simulator for the spread of forest root diseases by individual root contacts. Forest Science, 51(5), 425-437. </w:t>
      </w:r>
      <w:hyperlink r:id="rId60">
        <w:r>
          <w:rPr>
            <w:rStyle w:val="InternetLink"/>
            <w:rFonts w:cs="Open Sans" w:ascii="Open Sans" w:hAnsi="Open Sans"/>
            <w:color w:val="000000"/>
            <w:sz w:val="21"/>
            <w:szCs w:val="21"/>
            <w:shd w:fill="FFFFFF" w:val="clear"/>
          </w:rPr>
          <w:t>https://doi.org/10.1093/forestscience/51.5.425</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Pretzsch, H., Grote, R., Reineking, B., Rötzer, T. and Seifert, S. Models for forest ecosystem management: A European perspective. Ann. Bot. 101, 1065–1087 (2008).</w:t>
      </w:r>
      <w:r>
        <w:rPr>
          <w:rStyle w:val="InternetLink"/>
          <w:rFonts w:cs="Open Sans" w:ascii="Open Sans" w:hAnsi="Open Sans"/>
          <w:color w:val="000000"/>
          <w:sz w:val="21"/>
          <w:szCs w:val="21"/>
          <w:shd w:fill="FFFFFF" w:val="clear"/>
        </w:rPr>
        <w:t xml:space="preserve"> </w:t>
      </w:r>
      <w:hyperlink r:id="rId61">
        <w:r>
          <w:rPr>
            <w:rStyle w:val="InternetLink"/>
            <w:rFonts w:cs="Open Sans" w:ascii="Open Sans" w:hAnsi="Open Sans"/>
            <w:color w:val="000000"/>
            <w:sz w:val="21"/>
            <w:szCs w:val="21"/>
            <w:shd w:fill="FFFFFF" w:val="clear"/>
          </w:rPr>
          <w:t>https://doi.org/10.1093/aob/mcm246</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Pretzsch, H., Biber, P., Schütze, G., Uhl, E., and Rötzer, T. (2014). Forest stand growth dynamics in Central Europe have accelerated since 1870. Nature communications, 5(1), 1-10. </w:t>
      </w:r>
      <w:r>
        <w:rPr>
          <w:rStyle w:val="InternetLink"/>
          <w:rFonts w:cs="Open Sans" w:ascii="Open Sans" w:hAnsi="Open Sans"/>
          <w:color w:val="000000"/>
          <w:sz w:val="21"/>
          <w:szCs w:val="21"/>
          <w:shd w:fill="FFFFFF" w:val="clear"/>
        </w:rPr>
        <w:t>10.1038/ncomms5967</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PRISM Climate Group, Oregon State University, (2018). </w:t>
      </w:r>
      <w:r>
        <w:rPr>
          <w:rStyle w:val="InternetLink"/>
          <w:rFonts w:cs="Open Sans" w:ascii="Open Sans" w:hAnsi="Open Sans"/>
          <w:color w:val="000000"/>
          <w:sz w:val="21"/>
          <w:szCs w:val="21"/>
          <w:shd w:fill="FFFFFF" w:val="clear"/>
        </w:rPr>
        <w:t>https://prism.oregonstate.edu/</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RStudio Team (2021). RStudio: Integrated Development Environment for R. RStudio, PBC, Boston, MA. </w:t>
      </w:r>
      <w:hyperlink r:id="rId62">
        <w:r>
          <w:rPr>
            <w:rStyle w:val="InternetLink"/>
            <w:rFonts w:cs="Open Sans" w:ascii="Open Sans" w:hAnsi="Open Sans"/>
            <w:color w:val="000000"/>
            <w:sz w:val="21"/>
            <w:szCs w:val="21"/>
            <w:shd w:fill="FFFFFF" w:val="clear"/>
          </w:rPr>
          <w:t>http://www.rstudio.com/</w:t>
        </w:r>
      </w:hyperlink>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Scharpi, Robert F., technical coordinator. 1993. Diseases of Pacific Coast conifers. Agric. Handb. 521. Washington, DC: Forest Service, U.S. Department of Agriculture; 199 p,l</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fldChar w:fldCharType="begin"/>
      </w:r>
      <w:r>
        <w:rPr>
          <w:sz w:val="24"/>
          <w:szCs w:val="24"/>
          <w:rFonts w:eastAsia="Times New Roman"/>
        </w:rPr>
        <w:instrText> HYPERLINK "https://www.sciencedirect.com/science/article/pii/S0378112719312332?via%3Dihub" \l "bb0230"</w:instrText>
      </w:r>
      <w:r>
        <w:rPr>
          <w:sz w:val="24"/>
          <w:szCs w:val="24"/>
          <w:rFonts w:eastAsia="Times New Roman"/>
        </w:rPr>
        <w:fldChar w:fldCharType="separate"/>
      </w:r>
      <w:r>
        <w:rPr>
          <w:rFonts w:eastAsia="Times New Roman"/>
          <w:sz w:val="24"/>
          <w:szCs w:val="24"/>
        </w:rPr>
        <w:t>Skovsgaard and Vanclay, 2008</w:t>
      </w:r>
      <w:r>
        <w:rPr>
          <w:sz w:val="24"/>
          <w:szCs w:val="24"/>
          <w:rFonts w:eastAsia="Times New Roman"/>
        </w:rPr>
        <w:fldChar w:fldCharType="end"/>
      </w:r>
      <w:r>
        <w:rPr>
          <w:rFonts w:eastAsia="Times New Roman"/>
          <w:sz w:val="24"/>
          <w:szCs w:val="24"/>
        </w:rPr>
        <w:t xml:space="preserve"> J.P. Skovsgaard, J.K. Vanclay. 2008. Forest site productivity: a review of the evolution of dendrometric concepts for even-aged stands. Forestry, pp. 13-31. </w:t>
      </w:r>
      <w:hyperlink r:id="rId63">
        <w:r>
          <w:rPr>
            <w:rStyle w:val="InternetLink"/>
            <w:rFonts w:cs="Open Sans" w:ascii="Open Sans" w:hAnsi="Open Sans"/>
            <w:color w:val="000000"/>
            <w:sz w:val="21"/>
            <w:szCs w:val="21"/>
            <w:shd w:fill="FFFFFF" w:val="clear"/>
          </w:rPr>
          <w:t>https://doi.org/10.1093/forestry/cpm041</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Smith, E.L.; Zhang, S. 1997. Sensitivity analysis of insect and disease model extensions . In : Tech , R.; Moeur, M; Adams, J. , comps. 1997 proceedings ; Forest Vegetation Simulator conference; (1997) February 3–7; Fort Collins, CO. Gen Tech. Rep. INT- GTR-373 . Ogden, UT: U.S. Department of Agriculture, Forest Service, Intermountain Research Station: 213–215. </w:t>
      </w:r>
      <w:r>
        <w:rPr>
          <w:rStyle w:val="InternetLink"/>
          <w:rFonts w:cs="Open Sans" w:ascii="Open Sans" w:hAnsi="Open Sans"/>
          <w:color w:val="000000"/>
          <w:sz w:val="21"/>
          <w:szCs w:val="21"/>
          <w:shd w:fill="FFFFFF" w:val="clear"/>
        </w:rPr>
        <w:t>https://www.fs.usda.gov/treesearch/pubs/30958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 xml:space="preserve">Soil Survey Staff, (2021). Natural Resources Conservation Service, United States Department of Agriculture, Web Soil Survey. </w:t>
      </w:r>
      <w:hyperlink r:id="rId64">
        <w:r>
          <w:rPr>
            <w:rStyle w:val="InternetLink"/>
            <w:rFonts w:cs="Open Sans" w:ascii="Open Sans" w:hAnsi="Open Sans"/>
            <w:color w:val="000000"/>
            <w:sz w:val="21"/>
            <w:szCs w:val="21"/>
            <w:shd w:fill="FFFFFF" w:val="clear"/>
          </w:rPr>
          <w:t>http://websoilsurvey.sc.egov.usda.gov</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Subramanian, N., Bergh, J., Johansson, U., Nilsson, U., &amp; Sallnäs, O. (2015). Adaptation of forest management regimes in southern Sweden to increased risks associated with climate change. Forests, 7(1), 8.</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Teck, R. M., Moeur, M., and Adams, J. (1997). Proceedings: Forest Vegetation Simulator Conference: Fort Collins, CO, February 3-7, 1997 (Vol. 373). US Department of Agriculture, Forest Service, Intermountain Research Station.</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Thies, Walter G. 1984. Laminated root rot, the quest for control. Journal of Forestry S2: 345-356.</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ins w:id="63" w:author="Shawn McMurtrey" w:date="2022-08-19T14:14:00Z"/>
          <w:sz w:val="24"/>
          <w:szCs w:val="24"/>
        </w:rPr>
      </w:pPr>
      <w:r>
        <w:rPr>
          <w:rFonts w:eastAsia="Times New Roman"/>
          <w:sz w:val="24"/>
          <w:szCs w:val="24"/>
        </w:rPr>
        <w:t>Thies,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pPr>
        <w:pStyle w:val="Normal"/>
        <w:spacing w:lineRule="auto" w:line="480"/>
        <w:ind w:left="720" w:hanging="720"/>
        <w:rPr>
          <w:rFonts w:eastAsia="Times New Roman"/>
          <w:ins w:id="65" w:author="Shawn McMurtrey" w:date="2022-08-19T14:14:00Z"/>
          <w:sz w:val="24"/>
          <w:szCs w:val="24"/>
        </w:rPr>
      </w:pPr>
      <w:ins w:id="64" w:author="Shawn McMurtrey" w:date="2022-08-19T14:14:00Z">
        <w:r>
          <w:rPr>
            <w:rFonts w:eastAsia="Times New Roman"/>
            <w:sz w:val="24"/>
            <w:szCs w:val="24"/>
          </w:rPr>
        </w:r>
      </w:ins>
    </w:p>
    <w:p>
      <w:pPr>
        <w:pStyle w:val="Normal"/>
        <w:spacing w:lineRule="auto" w:line="480"/>
        <w:ind w:left="720" w:hanging="720"/>
        <w:rPr>
          <w:rFonts w:eastAsia="Times New Roman"/>
          <w:sz w:val="24"/>
          <w:szCs w:val="24"/>
        </w:rPr>
      </w:pPr>
      <w:ins w:id="66" w:author="Shawn McMurtrey" w:date="2022-08-19T14:14:00Z">
        <w:r>
          <w:rPr>
            <w:rFonts w:eastAsia="Times New Roman"/>
            <w:sz w:val="24"/>
            <w:szCs w:val="24"/>
          </w:rPr>
          <w:t>Thies, W. G., &amp; Westlind, D. J. (2005). Stump removal and fertilization of five Phellinus weirii-infested stands in Washington and Oregon affect mortality and growth of planted Douglas-fir 25 years after treatment. Forest Ecology and Management, 219(2-3), 242-258.</w:t>
        </w:r>
      </w:ins>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sz w:val="24"/>
          <w:szCs w:val="24"/>
        </w:rPr>
      </w:pPr>
      <w:r>
        <w:rPr>
          <w:rFonts w:eastAsia="Times New Roman"/>
          <w:sz w:val="24"/>
          <w:szCs w:val="24"/>
        </w:rPr>
        <w:t>Tkacz, B. M., and Hansen, E. M. (1982). Damage by laminated root rot in two succeeding stands of Douglas-fir. Journal of Forestry, 80(12), 788-791.</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rFonts w:eastAsia="Times New Roman"/>
          <w:color w:val="FF0000"/>
          <w:sz w:val="24"/>
          <w:szCs w:val="24"/>
        </w:rPr>
      </w:pPr>
      <w:r>
        <w:rPr>
          <w:rFonts w:eastAsia="Times New Roman"/>
          <w:color w:val="FF0000"/>
          <w:sz w:val="24"/>
          <w:szCs w:val="24"/>
        </w:rPr>
        <w:t>Trappe, J. M. (1972). Regulation of soil organisms by red alder: a potential biological system for control of Poria weirii. In Oreg. State Univ. For. Symp (Vol. 3, pp. 35-51)</w:t>
      </w:r>
    </w:p>
    <w:p>
      <w:pPr>
        <w:pStyle w:val="Normal"/>
        <w:spacing w:lineRule="auto" w:line="480"/>
        <w:rPr>
          <w:rFonts w:eastAsia="Times New Roman"/>
          <w:sz w:val="24"/>
          <w:szCs w:val="24"/>
        </w:rPr>
      </w:pPr>
      <w:r>
        <w:rPr>
          <w:rFonts w:eastAsia="Times New Roman"/>
          <w:sz w:val="24"/>
          <w:szCs w:val="24"/>
        </w:rPr>
      </w:r>
    </w:p>
    <w:p>
      <w:pPr>
        <w:pStyle w:val="Normal"/>
        <w:spacing w:lineRule="auto" w:line="480"/>
        <w:ind w:left="720" w:hanging="720"/>
        <w:rPr>
          <w:rFonts w:eastAsia="Times New Roman"/>
          <w:ins w:id="67" w:author="Shawn McMurtrey" w:date="2022-10-14T13:14:00Z"/>
          <w:sz w:val="24"/>
          <w:szCs w:val="24"/>
        </w:rPr>
      </w:pPr>
      <w:r>
        <w:rPr>
          <w:rFonts w:eastAsia="Times New Roman"/>
          <w:sz w:val="24"/>
          <w:szCs w:val="24"/>
        </w:rPr>
        <w:t>USDA-FS, 2011. Region Five ecological restoration: leadership intent. March (2011). U.S. Forest Service, Pacific Southwest Region, Albany, California, USA.</w:t>
      </w:r>
    </w:p>
    <w:p>
      <w:pPr>
        <w:pStyle w:val="Normal"/>
        <w:spacing w:lineRule="auto" w:line="480"/>
        <w:ind w:left="720" w:hanging="720"/>
        <w:rPr>
          <w:rFonts w:eastAsia="Times New Roman"/>
          <w:ins w:id="69" w:author="Shawn McMurtrey" w:date="2022-10-14T13:14:00Z"/>
          <w:sz w:val="24"/>
          <w:szCs w:val="24"/>
        </w:rPr>
      </w:pPr>
      <w:ins w:id="68" w:author="Shawn McMurtrey" w:date="2022-10-14T13:14:00Z">
        <w:r>
          <w:rPr>
            <w:rFonts w:eastAsia="Times New Roman"/>
            <w:sz w:val="24"/>
            <w:szCs w:val="24"/>
          </w:rPr>
        </w:r>
      </w:ins>
    </w:p>
    <w:p>
      <w:pPr>
        <w:pStyle w:val="Normal"/>
        <w:spacing w:lineRule="auto" w:line="480"/>
        <w:ind w:left="720" w:hanging="720"/>
        <w:rPr>
          <w:sz w:val="24"/>
          <w:szCs w:val="24"/>
        </w:rPr>
      </w:pPr>
      <w:ins w:id="70" w:author="Shawn McMurtrey" w:date="2022-10-14T13:14:00Z">
        <w:r>
          <w:rPr>
            <w:rFonts w:eastAsia="Times New Roman"/>
            <w:sz w:val="24"/>
            <w:szCs w:val="24"/>
          </w:rPr>
          <w:t>Vandygriff, J. C., Hansen, E. M., Bentz, B. J., Allen, K. K., Amman, G. D., &amp; Rasmussen, L. A. (2015). Long-term efficacy of diameter-limit cutting to reduce mountain pine beetle-caused tree mortality in a lodgepole pine forest. The Forestry Chronicle, 91(4), 444-456.</w:t>
        </w:r>
      </w:ins>
      <w:r>
        <w:rPr>
          <w:rFonts w:eastAsia="Times New Roman"/>
          <w:sz w:val="24"/>
          <w:szCs w:val="24"/>
        </w:rPr>
        <w:br/>
      </w:r>
    </w:p>
    <w:p>
      <w:pPr>
        <w:pStyle w:val="Normal"/>
        <w:spacing w:lineRule="auto" w:line="480"/>
        <w:ind w:left="720" w:hanging="720"/>
        <w:rPr>
          <w:sz w:val="24"/>
          <w:szCs w:val="24"/>
        </w:rPr>
      </w:pPr>
      <w:r>
        <w:rPr>
          <w:rFonts w:eastAsia="Times New Roman"/>
          <w:sz w:val="24"/>
          <w:szCs w:val="24"/>
        </w:rPr>
        <w:t xml:space="preserve">Vernon, M. J., Sherriff, R. L., van Mantgem, P., and Kane, J. M. (2018). Thinning, tree-growth, and resistance to multi-year drought in a mixed-conifer forest of northern California. Forest Ecology and Management, 422, 190-198. </w:t>
      </w:r>
      <w:hyperlink r:id="rId65" w:tgtFrame="Persistent link using digital object identifier">
        <w:r>
          <w:rPr>
            <w:rStyle w:val="InternetLink"/>
            <w:color w:val="auto"/>
          </w:rPr>
          <w:t>https://doi.org/10.1016/j.foreco.2018.03.043</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Wallis, G. W. (1976). Phellinus (Poria) weirii root rot: detection and management proposals in Douglas-fir stands (Vol. 12). Canadian Forestry Service, Pacific Forest Research Centre, Department of the Environment.</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t xml:space="preserve">Wickham, H. (2009). ggplot2: Elegant Graphics for Data Analysis. Springer-Verlag. </w:t>
      </w:r>
      <w:r>
        <w:rPr>
          <w:rStyle w:val="InternetLink"/>
          <w:color w:val="auto"/>
        </w:rPr>
        <w:t>http://ggplot2.org/</w:t>
      </w:r>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Wickham, H. (2016). ggplot2: Elegant Graphics for Data Analysis. Springer-Verlag New York. ISBN 978-3-319-24277-4,</w:t>
      </w:r>
      <w:r>
        <w:rPr>
          <w:color w:val="000000"/>
          <w:sz w:val="27"/>
          <w:szCs w:val="27"/>
          <w:shd w:fill="FFFFFF" w:val="clear"/>
        </w:rPr>
        <w:t> </w:t>
      </w:r>
      <w:hyperlink r:id="rId66">
        <w:r>
          <w:rPr>
            <w:rStyle w:val="InternetLink"/>
            <w:color w:val="auto"/>
          </w:rPr>
          <w:t>https://ggplot2.tidyverse.org</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rPr>
      </w:pPr>
      <w:r>
        <w:rPr>
          <w:rFonts w:eastAsia="Times New Roman"/>
          <w:sz w:val="24"/>
          <w:szCs w:val="24"/>
        </w:rPr>
        <w:t>Wickham, H. (2017).</w:t>
      </w:r>
      <w:r>
        <w:rPr>
          <w:rFonts w:eastAsia="Times New Roman"/>
          <w:i/>
          <w:iCs/>
          <w:sz w:val="24"/>
          <w:szCs w:val="24"/>
        </w:rPr>
        <w:t xml:space="preserve"> </w:t>
      </w:r>
      <w:r>
        <w:rPr>
          <w:rFonts w:eastAsia="Times New Roman"/>
          <w:sz w:val="24"/>
          <w:szCs w:val="24"/>
        </w:rPr>
        <w:t>Tidyverse: Easily install and load the “tidyverse”.</w:t>
      </w:r>
      <w:r>
        <w:rPr>
          <w:rFonts w:eastAsia="Times New Roman"/>
          <w:i/>
          <w:iCs/>
          <w:sz w:val="24"/>
          <w:szCs w:val="24"/>
        </w:rPr>
        <w:t xml:space="preserve"> </w:t>
      </w:r>
      <w:hyperlink r:id="rId67">
        <w:r>
          <w:rPr>
            <w:rStyle w:val="InternetLink"/>
            <w:color w:val="auto"/>
          </w:rPr>
          <w:t>https://CRAN.R-project.org/package=tidyverse</w:t>
        </w:r>
      </w:hyperlink>
    </w:p>
    <w:p>
      <w:pPr>
        <w:pStyle w:val="Normal"/>
        <w:spacing w:lineRule="auto" w:line="480"/>
        <w:ind w:left="720" w:hanging="720"/>
        <w:rPr>
          <w:rFonts w:eastAsia="Times New Roman"/>
          <w:sz w:val="24"/>
          <w:szCs w:val="24"/>
        </w:rPr>
      </w:pPr>
      <w:r>
        <w:rPr>
          <w:rFonts w:eastAsia="Times New Roman"/>
          <w:sz w:val="24"/>
          <w:szCs w:val="24"/>
        </w:rPr>
      </w:r>
    </w:p>
    <w:p>
      <w:pPr>
        <w:pStyle w:val="Normal"/>
        <w:spacing w:lineRule="auto" w:line="480"/>
        <w:ind w:left="720" w:hanging="720"/>
        <w:rPr>
          <w:sz w:val="24"/>
          <w:szCs w:val="24"/>
          <w:del w:id="73" w:author="Shawn McMurtrey" w:date="2022-10-14T14:46:00Z"/>
        </w:rPr>
      </w:pPr>
      <w:del w:id="71" w:author="Shawn McMurtrey" w:date="2022-10-14T14:46:00Z">
        <w:r>
          <w:rPr>
            <w:rFonts w:eastAsia="Times New Roman" w:cs="Times New Roman" w:ascii="Times New Roman" w:hAnsi="Times New Roman"/>
            <w:sz w:val="24"/>
            <w:szCs w:val="24"/>
          </w:rPr>
          <w:delText xml:space="preserve">USDA (1990), Land and Resource Management Plan Siuslaw National Forest. </w:delText>
        </w:r>
      </w:del>
      <w:del w:id="72" w:author="Shawn McMurtrey" w:date="2022-10-14T14:46:00Z">
        <w:r>
          <w:rPr>
            <w:rStyle w:val="InternetLink"/>
            <w:rFonts w:eastAsia="Times New Roman" w:cs="Open Sans" w:ascii="Open Sans" w:hAnsi="Open Sans"/>
            <w:color w:val="000000"/>
            <w:sz w:val="21"/>
            <w:szCs w:val="21"/>
            <w:shd w:fill="FFFFFF" w:val="clear"/>
          </w:rPr>
          <w:delText>https://www.fs.usda.gov/Internet/FSE_DOCUMENTS/fsbdev7_007057.pdf</w:delText>
        </w:r>
      </w:del>
    </w:p>
    <w:p>
      <w:pPr>
        <w:pStyle w:val="Normal"/>
        <w:spacing w:lineRule="auto" w:line="480"/>
        <w:ind w:left="720" w:hanging="720"/>
        <w:rPr>
          <w:sz w:val="24"/>
          <w:szCs w:val="24"/>
        </w:rPr>
      </w:pPr>
      <w:r>
        <w:rPr>
          <w:sz w:val="24"/>
          <w:szCs w:val="24"/>
        </w:rPr>
      </w:r>
    </w:p>
    <w:p>
      <w:pPr>
        <w:pStyle w:val="Normal"/>
        <w:spacing w:lineRule="auto" w:line="480"/>
        <w:ind w:left="720" w:hanging="720"/>
        <w:rPr>
          <w:sz w:val="24"/>
          <w:szCs w:val="24"/>
        </w:rPr>
      </w:pPr>
      <w:r>
        <w:rPr>
          <w:rFonts w:eastAsia="Times New Roman"/>
          <w:sz w:val="24"/>
          <w:szCs w:val="24"/>
        </w:rPr>
        <w:t xml:space="preserve">Woods, A. J., and Watts, M. (2019). The extent to which an unforeseen biotic disturbance can challenge timber expectations. Forest Ecology and Management, 453, 117558. </w:t>
      </w:r>
      <w:hyperlink r:id="rId68" w:tgtFrame="Persistent link using digital object identifier">
        <w:r>
          <w:rPr>
            <w:rStyle w:val="InternetLink"/>
            <w:rFonts w:cs="Open Sans" w:ascii="Open Sans" w:hAnsi="Open Sans"/>
            <w:color w:val="000000"/>
            <w:sz w:val="21"/>
            <w:szCs w:val="21"/>
            <w:shd w:fill="FFFFFF" w:val="clear"/>
          </w:rPr>
          <w:t>https://doi.org/10.1016/j.foreco.2019.117558</w:t>
        </w:r>
      </w:hyperlink>
    </w:p>
    <w:p>
      <w:pPr>
        <w:pStyle w:val="Normal"/>
        <w:spacing w:lineRule="auto" w:line="480"/>
        <w:rPr>
          <w:sz w:val="24"/>
          <w:szCs w:val="24"/>
          <w:highlight w:val="white"/>
        </w:rPr>
      </w:pPr>
      <w:r>
        <w:rPr>
          <w:sz w:val="24"/>
          <w:szCs w:val="24"/>
          <w:highlight w:val="white"/>
        </w:rPr>
      </w:r>
    </w:p>
    <w:p>
      <w:pPr>
        <w:pStyle w:val="Normal"/>
        <w:spacing w:lineRule="auto" w:line="480"/>
        <w:ind w:left="720" w:hanging="720"/>
        <w:rPr>
          <w:rFonts w:ascii="Times New Roman" w:hAnsi="Times New Roman" w:eastAsia="Times New Roman" w:cs="Times New Roman"/>
          <w:sz w:val="24"/>
          <w:szCs w:val="24"/>
        </w:rPr>
      </w:pPr>
      <w:r>
        <w:rPr>
          <w:rFonts w:eastAsia="Times New Roman" w:cs="Times New Roman" w:ascii="Times New Roman" w:hAnsi="Times New Roman"/>
          <w:sz w:val="24"/>
          <w:szCs w:val="24"/>
        </w:rPr>
        <w:t>Zabowski, D., Chambreau, D., Rotramel, N., &amp; Thies, W. G. (2008). Long-term effects of stump removal to control root rot on forest soil bulk density, soil carbon and nitrogen content. Forest Ecology and Management, 255(3-4), 720-727.</w:t>
      </w:r>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highlight w:val="white"/>
        </w:rPr>
      </w:pPr>
      <w:r>
        <w:rPr>
          <w:sz w:val="24"/>
          <w:szCs w:val="24"/>
          <w:highlight w:val="white"/>
        </w:rPr>
      </w:r>
    </w:p>
    <w:p>
      <w:pPr>
        <w:pStyle w:val="Normal"/>
        <w:spacing w:lineRule="auto" w:line="480"/>
        <w:rPr>
          <w:sz w:val="24"/>
          <w:szCs w:val="24"/>
        </w:rPr>
      </w:pPr>
      <w:r>
        <w:rPr>
          <w:sz w:val="24"/>
          <w:szCs w:val="24"/>
        </w:rPr>
      </w:r>
      <w:r>
        <w:br w:type="page"/>
      </w:r>
    </w:p>
    <w:p>
      <w:pPr>
        <w:pStyle w:val="Normal"/>
        <w:spacing w:lineRule="auto" w:line="480"/>
        <w:rPr>
          <w:sz w:val="24"/>
          <w:szCs w:val="24"/>
        </w:rPr>
      </w:pPr>
      <w:r>
        <w:rPr/>
      </w:r>
    </w:p>
    <w:sectPr>
      <w:headerReference w:type="default" r:id="rId69"/>
      <w:type w:val="nextPage"/>
      <w:pgSz w:w="12240" w:h="15840"/>
      <w:pgMar w:left="1440" w:right="1440" w:header="1440" w:top="2013" w:footer="0" w:bottom="1440" w:gutter="0"/>
      <w:lnNumType w:countBy="1" w:restart="continuous" w:distance="283"/>
      <w:pgNumType w:fmt="decimal"/>
      <w:formProt w:val="false"/>
      <w:textDirection w:val="lrTb"/>
      <w:docGrid w:type="default" w:linePitch="299" w:charSpace="32768"/>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comment w:id="0" w:author="Unknown Author" w:date="2022-10-19T15:10:00Z" w:initials="">
    <w:p>
      <w:r>
        <w:rPr>
          <w:rFonts w:ascii="Liberation Serif" w:hAnsi="Liberation Serif" w:eastAsia="Segoe UI" w:cs="Tahoma"/>
          <w:sz w:val="20"/>
          <w:szCs w:val="24"/>
          <w:lang w:val="en-US" w:eastAsia="en-US" w:bidi="en-US"/>
        </w:rPr>
        <w:t>Added quadratic mean diameter as a single metric for describing the basal area distribution across tree diameters in the plots in the stand. Higher QMD means more of the BA is from larger diameter trees.</w:t>
      </w:r>
    </w:p>
  </w:comment>
  <w:comment w:id="1" w:author="showalt_d" w:date="2022-09-16T13:39:00Z" w:initials="s">
    <w:p>
      <w:r>
        <w:rPr>
          <w:rFonts w:ascii="Liberation Serif" w:hAnsi="Liberation Serif" w:eastAsia="Segoe UI" w:cs="Tahoma"/>
          <w:sz w:val="24"/>
          <w:szCs w:val="24"/>
          <w:lang w:eastAsia="en-US" w:val="en-US" w:bidi="en-US"/>
        </w:rPr>
        <w:t>We are leaving the figures in line with the text during manuscript preparation.  For submission, the figures will be removed and submitted as individual files.</w:t>
      </w:r>
    </w:p>
  </w:comment>
  <w:comment w:id="2" w:author="Unknown Author" w:date="2022-10-07T14:56:00Z" w:initials="">
    <w:p>
      <w:r>
        <w:rPr>
          <w:rFonts w:ascii="Liberation Serif" w:hAnsi="Liberation Serif" w:eastAsia="Segoe UI" w:cs="Tahoma"/>
          <w:sz w:val="20"/>
          <w:szCs w:val="24"/>
          <w:lang w:eastAsia="en-US" w:val="en-US" w:bidi="en-US"/>
        </w:rPr>
        <w:t>At this point we haven’t reported any effects on basal area because of the inherent differences in density of the treatments. We do report the measured basal areas in a graph in the results. We could calculate basal area increment for given windows within the study and run tests on those increments if we think it is relevant.</w:t>
      </w:r>
    </w:p>
  </w:comment>
  <w:comment w:id="3" w:author="Shawn McMurtrey" w:date="2022-10-16T14:54:00Z" w:initials="SM">
    <w:p>
      <w:r>
        <w:rPr>
          <w:rFonts w:ascii="Liberation Serif" w:hAnsi="Liberation Serif" w:eastAsia="Segoe UI" w:cs="Tahoma"/>
          <w:sz w:val="24"/>
          <w:szCs w:val="24"/>
          <w:lang w:val="en-US" w:eastAsia="en-US" w:bidi="en-US"/>
        </w:rPr>
        <w:t>These calculations were done with:</w:t>
      </w:r>
    </w:p>
    <w:p>
      <w:r>
        <w:rPr>
          <w:rFonts w:ascii="Liberation Serif" w:hAnsi="Liberation Serif" w:eastAsia="Segoe UI" w:cs="Tahoma"/>
          <w:sz w:val="24"/>
          <w:szCs w:val="24"/>
          <w:lang w:val="en-US" w:eastAsia="en-US" w:bidi="en-US"/>
        </w:rPr>
        <w:t>BA 2020 - BA 1990 = x</w:t>
      </w:r>
    </w:p>
    <w:p>
      <w:r>
        <w:rPr>
          <w:rFonts w:ascii="Liberation Serif" w:hAnsi="Liberation Serif" w:eastAsia="Segoe UI" w:cs="Tahoma"/>
          <w:sz w:val="24"/>
          <w:szCs w:val="24"/>
          <w:lang w:val="en-US" w:eastAsia="en-US" w:bidi="en-US"/>
        </w:rPr>
        <w:t>x/BA 2020 = y</w:t>
      </w:r>
    </w:p>
    <w:p>
      <w:r>
        <w:rPr>
          <w:rFonts w:ascii="Liberation Serif" w:hAnsi="Liberation Serif" w:eastAsia="Segoe UI" w:cs="Tahoma"/>
          <w:sz w:val="24"/>
          <w:szCs w:val="24"/>
          <w:lang w:val="en-US" w:eastAsia="en-US" w:bidi="en-US"/>
        </w:rPr>
      </w:r>
    </w:p>
    <w:p>
      <w:r>
        <w:rPr>
          <w:rFonts w:ascii="Liberation Serif" w:hAnsi="Liberation Serif" w:eastAsia="Segoe UI" w:cs="Tahoma"/>
          <w:sz w:val="24"/>
          <w:szCs w:val="24"/>
          <w:lang w:val="en-US" w:eastAsia="en-US" w:bidi="en-US"/>
        </w:rPr>
        <w:t>Light thin: 61.32331186 - 43.17578066 = 18.147</w:t>
      </w:r>
    </w:p>
    <w:p>
      <w:r>
        <w:rPr>
          <w:rFonts w:ascii="Liberation Serif" w:hAnsi="Liberation Serif" w:eastAsia="Segoe UI" w:cs="Tahoma"/>
          <w:sz w:val="24"/>
          <w:szCs w:val="24"/>
          <w:lang w:val="en-US" w:eastAsia="en-US" w:bidi="en-US"/>
        </w:rPr>
        <w:t>18.147 is 29% of 61.32</w:t>
      </w:r>
    </w:p>
    <w:p>
      <w:r>
        <w:rPr>
          <w:rFonts w:ascii="Liberation Serif" w:hAnsi="Liberation Serif" w:eastAsia="Segoe UI" w:cs="Tahoma"/>
          <w:sz w:val="24"/>
          <w:szCs w:val="24"/>
          <w:lang w:val="en-US" w:eastAsia="en-US" w:bidi="en-US"/>
        </w:rPr>
      </w:r>
    </w:p>
    <w:p>
      <w:r>
        <w:rPr>
          <w:rFonts w:ascii="Liberation Serif" w:hAnsi="Liberation Serif" w:eastAsia="Segoe UI" w:cs="Tahoma"/>
          <w:sz w:val="24"/>
          <w:szCs w:val="24"/>
          <w:lang w:val="en-US" w:eastAsia="en-US" w:bidi="en-US"/>
        </w:rPr>
        <w:t>Thin:</w:t>
      </w:r>
    </w:p>
    <w:p>
      <w:r>
        <w:rPr>
          <w:rFonts w:ascii="Liberation Serif" w:hAnsi="Liberation Serif" w:eastAsia="Segoe UI" w:cs="Tahoma"/>
          <w:sz w:val="24"/>
          <w:szCs w:val="24"/>
          <w:lang w:val="en-US" w:eastAsia="en-US" w:bidi="en-US"/>
        </w:rPr>
        <w:t xml:space="preserve">52.3818368 - 35.36787825 </w:t>
      </w:r>
    </w:p>
    <w:p>
      <w:r>
        <w:rPr>
          <w:rFonts w:ascii="Liberation Serif" w:hAnsi="Liberation Serif" w:eastAsia="Segoe UI" w:cs="Tahoma"/>
          <w:sz w:val="24"/>
          <w:szCs w:val="24"/>
          <w:lang w:val="en-US" w:eastAsia="en-US" w:bidi="en-US"/>
        </w:rPr>
        <w:t>17.01 is 32% of 52.3818368</w:t>
      </w:r>
    </w:p>
    <w:p>
      <w:r>
        <w:rPr>
          <w:rFonts w:ascii="Liberation Serif" w:hAnsi="Liberation Serif" w:eastAsia="Segoe UI" w:cs="Tahoma"/>
          <w:sz w:val="24"/>
          <w:szCs w:val="24"/>
          <w:lang w:val="en-US" w:eastAsia="en-US" w:bidi="en-US"/>
        </w:rPr>
      </w:r>
    </w:p>
    <w:p>
      <w:r>
        <w:rPr>
          <w:rFonts w:ascii="Liberation Serif" w:hAnsi="Liberation Serif" w:eastAsia="Segoe UI" w:cs="Tahoma"/>
          <w:sz w:val="24"/>
          <w:szCs w:val="24"/>
          <w:lang w:val="en-US" w:eastAsia="en-US" w:bidi="en-US"/>
        </w:rPr>
        <w:t>Control:</w:t>
      </w:r>
    </w:p>
    <w:p>
      <w:r>
        <w:rPr>
          <w:rFonts w:ascii="Liberation Serif" w:hAnsi="Liberation Serif" w:eastAsia="Segoe UI" w:cs="Tahoma"/>
          <w:sz w:val="24"/>
          <w:szCs w:val="24"/>
          <w:lang w:val="en-US" w:eastAsia="en-US" w:bidi="en-US"/>
        </w:rPr>
        <w:t>78.19903537 - 61.4034045 =16.79</w:t>
      </w:r>
    </w:p>
    <w:p>
      <w:r>
        <w:rPr>
          <w:rFonts w:ascii="Liberation Serif" w:hAnsi="Liberation Serif" w:eastAsia="Segoe UI" w:cs="Tahoma"/>
          <w:sz w:val="24"/>
          <w:szCs w:val="24"/>
          <w:lang w:val="en-US" w:eastAsia="en-US" w:bidi="en-US"/>
        </w:rPr>
        <w:t>16.79 is 21% of 78.19</w:t>
      </w:r>
    </w:p>
  </w:comment>
  <w:comment w:id="4" w:author="Unknown Author" w:date="2022-10-19T15:12:00Z" w:initials="">
    <w:p>
      <w:r>
        <w:rPr>
          <w:rFonts w:ascii="Liberation Serif" w:hAnsi="Liberation Serif" w:eastAsia="Segoe UI" w:cs="Tahoma"/>
          <w:sz w:val="20"/>
          <w:szCs w:val="24"/>
          <w:lang w:val="en-US" w:eastAsia="en-US" w:bidi="en-US"/>
        </w:rPr>
        <w:t>Will make formatting of figures consistent and add panel lettering</w:t>
      </w:r>
    </w:p>
  </w:comment>
  <w:comment w:id="5" w:author="showalt_d" w:date="2022-09-16T15:28:00Z" w:initials="s">
    <w:p>
      <w:r>
        <w:rPr>
          <w:rFonts w:ascii="Liberation Serif" w:hAnsi="Liberation Serif" w:eastAsia="Segoe UI" w:cs="Tahoma"/>
          <w:sz w:val="24"/>
          <w:szCs w:val="24"/>
          <w:lang w:eastAsia="en-US" w:val="en-US" w:bidi="en-US"/>
        </w:rPr>
        <w:t>Shawn is preparing a panel for the Apiary Douglas fir treatment.</w:t>
      </w:r>
    </w:p>
  </w:comment>
  <w:comment w:id="6" w:author="showalt_d" w:date="2022-09-29T12:07:00Z" w:initials="s">
    <w:p>
      <w:r>
        <w:rPr>
          <w:rFonts w:ascii="Liberation Serif" w:hAnsi="Liberation Serif" w:eastAsia="Segoe UI" w:cs="Tahoma"/>
          <w:sz w:val="24"/>
          <w:szCs w:val="24"/>
          <w:lang w:eastAsia="en-US" w:val="en-US" w:bidi="en-US"/>
        </w:rPr>
        <w:t>Change to 95% CI</w:t>
      </w:r>
    </w:p>
  </w:comment>
  <w:comment w:id="7" w:author="showalt_d" w:date="2022-09-29T12:07:00Z" w:initials="s">
    <w:p>
      <w:r>
        <w:rPr>
          <w:rFonts w:ascii="Liberation Serif" w:hAnsi="Liberation Serif" w:eastAsia="Segoe UI" w:cs="Tahoma"/>
          <w:sz w:val="24"/>
          <w:szCs w:val="24"/>
          <w:lang w:eastAsia="en-US" w:val="en-US" w:bidi="en-US"/>
        </w:rPr>
        <w:t>Change to CI</w:t>
      </w:r>
    </w:p>
  </w:comment>
  <w:comment w:id="8" w:author="Unknown Author" w:date="2022-10-07T16:16:00Z" w:initials="">
    <w:p>
      <w:r>
        <w:rPr>
          <w:rFonts w:ascii="Liberation Serif" w:hAnsi="Liberation Serif" w:eastAsia="Segoe UI" w:cs="Tahoma"/>
          <w:sz w:val="20"/>
          <w:szCs w:val="24"/>
          <w:lang w:eastAsia="en-US" w:val="en-US" w:bidi="en-US"/>
        </w:rPr>
        <w:t>This figure is probably unnecessary</w:t>
      </w:r>
    </w:p>
  </w:comment>
  <w:comment w:id="9" w:author="showalt_d" w:date="2022-09-16T15:17:00Z" w:initials="s">
    <w:p>
      <w:r>
        <w:rPr>
          <w:rFonts w:ascii="Liberation Serif" w:hAnsi="Liberation Serif" w:eastAsia="Segoe UI" w:cs="Tahoma"/>
          <w:sz w:val="24"/>
          <w:szCs w:val="24"/>
          <w:lang w:eastAsia="en-US" w:val="en-US" w:bidi="en-US"/>
        </w:rPr>
        <w:t>These survival curves need some polishing of the format.</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Segoe UI">
    <w:charset w:val="00"/>
    <w:family w:val="roman"/>
    <w:pitch w:val="variable"/>
  </w:font>
  <w:font w:name="Consolas">
    <w:charset w:val="00"/>
    <w:family w:val="roman"/>
    <w:pitch w:val="variable"/>
  </w:font>
  <w:font w:name="Liberation Sans">
    <w:altName w:val="Arial"/>
    <w:charset w:val="00"/>
    <w:family w:val="roman"/>
    <w:pitch w:val="variable"/>
  </w:font>
  <w:font w:name="Roboto">
    <w:charset w:val="00"/>
    <w:family w:val="roman"/>
    <w:pitch w:val="variable"/>
  </w:font>
  <w:font w:name="Georgia">
    <w:charset w:val="00"/>
    <w:family w:val="roman"/>
    <w:pitch w:val="variable"/>
  </w:font>
  <w:font w:name="Open Sans">
    <w:charset w:val="00"/>
    <w:family w:val="roman"/>
    <w:pitch w:val="variable"/>
  </w:font>
  <w:font w:name="Calibri">
    <w:charset w:val="00"/>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e01d7"/>
    <w:pPr>
      <w:widowControl/>
      <w:suppressAutoHyphens w:val="true"/>
      <w:bidi w:val="0"/>
      <w:spacing w:lineRule="auto" w:line="276" w:before="0" w:after="0"/>
      <w:jc w:val="left"/>
    </w:pPr>
    <w:rPr>
      <w:rFonts w:ascii="Arial" w:hAnsi="Arial" w:eastAsia="Arial" w:cs="Arial"/>
      <w:color w:val="auto"/>
      <w:kern w:val="0"/>
      <w:sz w:val="22"/>
      <w:szCs w:val="22"/>
      <w:lang w:val="en" w:eastAsia="en-US" w:bidi="ar-SA"/>
    </w:rPr>
  </w:style>
  <w:style w:type="paragraph" w:styleId="Heading1">
    <w:name w:val="Heading 1"/>
    <w:basedOn w:val="Normal"/>
    <w:next w:val="Normal"/>
    <w:uiPriority w:val="9"/>
    <w:qFormat/>
    <w:pPr>
      <w:keepNext w:val="true"/>
      <w:keepLines/>
      <w:spacing w:before="400" w:after="120"/>
      <w:outlineLvl w:val="0"/>
    </w:pPr>
    <w:rPr>
      <w:sz w:val="40"/>
      <w:szCs w:val="40"/>
    </w:rPr>
  </w:style>
  <w:style w:type="paragraph" w:styleId="Heading2">
    <w:name w:val="Heading 2"/>
    <w:basedOn w:val="Normal"/>
    <w:next w:val="Normal"/>
    <w:uiPriority w:val="9"/>
    <w:semiHidden/>
    <w:unhideWhenUsed/>
    <w:qFormat/>
    <w:pPr>
      <w:keepNext w:val="true"/>
      <w:keepLines/>
      <w:spacing w:before="360" w:after="120"/>
      <w:outlineLvl w:val="1"/>
    </w:pPr>
    <w:rPr>
      <w:sz w:val="32"/>
      <w:szCs w:val="32"/>
    </w:rPr>
  </w:style>
  <w:style w:type="paragraph" w:styleId="Heading3">
    <w:name w:val="Heading 3"/>
    <w:basedOn w:val="Normal"/>
    <w:next w:val="Normal"/>
    <w:uiPriority w:val="9"/>
    <w:semiHidden/>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Internet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styleId="Binomial" w:customStyle="1">
    <w:name w:val="binomial"/>
    <w:basedOn w:val="DefaultParagraphFont"/>
    <w:qFormat/>
    <w:rsid w:val="008d65cd"/>
    <w:rPr/>
  </w:style>
  <w:style w:type="character" w:styleId="Cf01" w:customStyle="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fill="E1DFDD" w:val="clear"/>
    </w:rPr>
  </w:style>
  <w:style w:type="character" w:styleId="Annotationreference">
    <w:name w:val="annotation reference"/>
    <w:basedOn w:val="DefaultParagraphFont"/>
    <w:uiPriority w:val="99"/>
    <w:semiHidden/>
    <w:unhideWhenUsed/>
    <w:qFormat/>
    <w:rsid w:val="00ef2d15"/>
    <w:rPr>
      <w:sz w:val="16"/>
      <w:szCs w:val="16"/>
    </w:rPr>
  </w:style>
  <w:style w:type="character" w:styleId="CommentTextChar" w:customStyle="1">
    <w:name w:val="Comment Text Char"/>
    <w:basedOn w:val="DefaultParagraphFont"/>
    <w:link w:val="CommentText"/>
    <w:uiPriority w:val="99"/>
    <w:qFormat/>
    <w:rsid w:val="00ef2d15"/>
    <w:rPr>
      <w:sz w:val="20"/>
      <w:szCs w:val="20"/>
    </w:rPr>
  </w:style>
  <w:style w:type="character" w:styleId="CommentSubjectChar" w:customStyle="1">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VisitedInternet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rPr/>
  </w:style>
  <w:style w:type="character" w:styleId="VerbatimChar" w:customStyle="1">
    <w:name w:val="Verbatim Char"/>
    <w:basedOn w:val="DefaultParagraphFont"/>
    <w:link w:val="SourceCode"/>
    <w:qFormat/>
    <w:locked/>
    <w:rsid w:val="00132274"/>
    <w:rPr>
      <w:rFonts w:ascii="Consolas" w:hAnsi="Consolas"/>
      <w:shd w:fill="F8F8F8" w:val="clear"/>
    </w:rPr>
  </w:style>
  <w:style w:type="character" w:styleId="LineNumbering" w:customStyle="1">
    <w:name w:val="Line Numbering"/>
    <w:rPr/>
  </w:style>
  <w:style w:type="character" w:styleId="BalloonTextChar" w:customStyle="1">
    <w:name w:val="Balloon Text Char"/>
    <w:basedOn w:val="DefaultParagraphFont"/>
    <w:link w:val="BalloonText"/>
    <w:uiPriority w:val="99"/>
    <w:semiHidden/>
    <w:qFormat/>
    <w:rsid w:val="00642dee"/>
    <w:rPr>
      <w:rFonts w:ascii="Segoe UI" w:hAnsi="Segoe UI" w:cs="Segoe UI"/>
      <w:sz w:val="18"/>
      <w:szCs w:val="18"/>
    </w:rPr>
  </w:style>
  <w:style w:type="paragraph" w:styleId="Heading" w:customStyle="1">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Caption1">
    <w:name w:val="caption"/>
    <w:basedOn w:val="Normal"/>
    <w:qFormat/>
    <w:pPr>
      <w:suppressLineNumbers/>
      <w:spacing w:before="120" w:after="120"/>
    </w:pPr>
    <w:rPr>
      <w:rFonts w:cs="Lucida Sans"/>
      <w:i/>
      <w:iCs/>
      <w:sz w:val="24"/>
      <w:szCs w:val="24"/>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NormalWeb">
    <w:name w:val="Normal (Web)"/>
    <w:basedOn w:val="Normal"/>
    <w:uiPriority w:val="99"/>
    <w:unhideWhenUsed/>
    <w:qFormat/>
    <w:rsid w:val="00d3225f"/>
    <w:pPr>
      <w:spacing w:lineRule="auto" w:line="240" w:beforeAutospacing="1" w:afterAutospacing="1"/>
    </w:pPr>
    <w:rPr>
      <w:rFonts w:ascii="Times New Roman" w:hAnsi="Times New Roman" w:eastAsia="Times New Roman" w:cs="Times New Roman"/>
      <w:sz w:val="24"/>
      <w:szCs w:val="24"/>
      <w:lang w:val="en-US"/>
    </w:rPr>
  </w:style>
  <w:style w:type="paragraph" w:styleId="Annotationtext">
    <w:name w:val="annotation text"/>
    <w:basedOn w:val="Normal"/>
    <w:link w:val="CommentTextChar"/>
    <w:uiPriority w:val="99"/>
    <w:unhideWhenUsed/>
    <w:qFormat/>
    <w:rsid w:val="00ef2d15"/>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ef2d15"/>
    <w:pPr/>
    <w:rPr>
      <w:b/>
      <w:bCs/>
    </w:rPr>
  </w:style>
  <w:style w:type="paragraph" w:styleId="SourceCode" w:customStyle="1">
    <w:name w:val="Source Code"/>
    <w:basedOn w:val="Normal"/>
    <w:link w:val="VerbatimChar"/>
    <w:qFormat/>
    <w:rsid w:val="00132274"/>
    <w:pPr>
      <w:shd w:val="clear" w:color="auto" w:fill="F8F8F8"/>
      <w:spacing w:lineRule="auto" w:line="240" w:before="0" w:after="200"/>
    </w:pPr>
    <w:rPr>
      <w:rFonts w:ascii="Consolas" w:hAnsi="Consolas"/>
    </w:rPr>
  </w:style>
  <w:style w:type="paragraph" w:styleId="ListParagraph">
    <w:name w:val="List Paragraph"/>
    <w:basedOn w:val="Normal"/>
    <w:uiPriority w:val="34"/>
    <w:qFormat/>
    <w:rsid w:val="00d71b9f"/>
    <w:pPr>
      <w:spacing w:before="0" w:after="0"/>
      <w:ind w:left="720" w:hanging="0"/>
      <w:contextualSpacing/>
    </w:pPr>
    <w:rPr/>
  </w:style>
  <w:style w:type="paragraph" w:styleId="Referencescopy1" w:customStyle="1">
    <w:name w:val="referencescopy1"/>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Referencescopy2" w:customStyle="1">
    <w:name w:val="referencescopy2"/>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Dxdoi" w:customStyle="1">
    <w:name w:val="dx-doi"/>
    <w:basedOn w:val="Normal"/>
    <w:qFormat/>
    <w:rsid w:val="007a37ac"/>
    <w:pPr>
      <w:spacing w:lineRule="auto" w:line="240" w:beforeAutospacing="1" w:afterAutospacing="1"/>
    </w:pPr>
    <w:rPr>
      <w:rFonts w:ascii="Times New Roman" w:hAnsi="Times New Roman" w:eastAsia="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Rule="auto" w:line="240"/>
    </w:pPr>
    <w:rPr>
      <w:rFonts w:ascii="Segoe UI" w:hAnsi="Segoe UI" w:cs="Segoe UI"/>
      <w:sz w:val="18"/>
      <w:szCs w:val="18"/>
    </w:rPr>
  </w:style>
  <w:style w:type="paragraph" w:styleId="Revision">
    <w:name w:val="Revision"/>
    <w:uiPriority w:val="99"/>
    <w:semiHidden/>
    <w:qFormat/>
    <w:rsid w:val="00f06a51"/>
    <w:pPr>
      <w:widowControl/>
      <w:suppressAutoHyphens w:val="false"/>
      <w:bidi w:val="0"/>
      <w:spacing w:before="0" w:after="0"/>
      <w:jc w:val="left"/>
    </w:pPr>
    <w:rPr>
      <w:rFonts w:ascii="Arial" w:hAnsi="Arial" w:eastAsia="Arial" w:cs="Arial"/>
      <w:color w:val="auto"/>
      <w:kern w:val="0"/>
      <w:sz w:val="22"/>
      <w:szCs w:val="22"/>
      <w:lang w:val="en" w:eastAsia="en-US" w:bidi="ar-SA"/>
    </w:rPr>
  </w:style>
  <w:style w:type="paragraph" w:styleId="Landscape" w:customStyle="1">
    <w:name w:val="Landscape"/>
    <w:basedOn w:val="Normal"/>
    <w:qFormat/>
    <w:pPr>
      <w:spacing w:lineRule="auto" w:line="480"/>
    </w:pPr>
    <w:rPr>
      <w:sz w:val="24"/>
      <w:szCs w:val="24"/>
    </w:rPr>
  </w:style>
  <w:style w:type="paragraph" w:styleId="HeaderandFooter" w:customStyle="1">
    <w:name w:val="Header and Footer"/>
    <w:basedOn w:val="Normal"/>
    <w:qFormat/>
    <w:pPr>
      <w:suppressLineNumbers/>
      <w:tabs>
        <w:tab w:val="clear" w:pos="720"/>
        <w:tab w:val="center" w:pos="4680" w:leader="none"/>
        <w:tab w:val="right" w:pos="9360" w:leader="none"/>
      </w:tabs>
    </w:pPr>
    <w:rPr/>
  </w:style>
  <w:style w:type="paragraph" w:styleId="Header">
    <w:name w:val="Header"/>
    <w:basedOn w:val="HeaderandFooter"/>
    <w:pPr>
      <w:suppressLineNumbers/>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en.wikipedia.org/wiki/Franz_Petrak" TargetMode="External"/><Relationship Id="rId3" Type="http://schemas.openxmlformats.org/officeDocument/2006/relationships/hyperlink" Target="https://en.wikipedia.org/wiki/Elias_Magnus_Fries" TargetMode="External"/><Relationship Id="rId4" Type="http://schemas.openxmlformats.org/officeDocument/2006/relationships/hyperlink" Target="https://en.wikipedia.org/wiki/Elias_Magnus_Fries" TargetMode="External"/><Relationship Id="rId5" Type="http://schemas.openxmlformats.org/officeDocument/2006/relationships/hyperlink" Target="https://en.wikipedia.org/wiki/Bref." TargetMode="External"/><Relationship Id="rId6" Type="http://schemas.openxmlformats.org/officeDocument/2006/relationships/image" Target="media/image1.png"/><Relationship Id="rId7" Type="http://schemas.openxmlformats.org/officeDocument/2006/relationships/hyperlink" Target="https://www.sciencedirect.com/topics/agricultural-and-biological-sciences/tsuga-heterophylla" TargetMode="External"/><Relationship Id="rId8" Type="http://schemas.openxmlformats.org/officeDocument/2006/relationships/hyperlink" Target="https://www.sciencedirect.com/topics/agricultural-and-biological-sciences/thuja-plicata" TargetMode="External"/><Relationship Id="rId9" Type="http://schemas.openxmlformats.org/officeDocument/2006/relationships/hyperlink" Target="https://en.wikipedia.org/wiki/David_Douglas_(botanist)" TargetMode="External"/><Relationship Id="rId10" Type="http://schemas.openxmlformats.org/officeDocument/2006/relationships/hyperlink" Target="https://en.wikipedia.org/wiki/David_Don" TargetMode="External"/><Relationship Id="rId11" Type="http://schemas.openxmlformats.org/officeDocument/2006/relationships/hyperlink" Target="https://en.wikipedia.org/wiki/John_Lindley" TargetMode="External"/><Relationship Id="rId12" Type="http://schemas.openxmlformats.org/officeDocument/2006/relationships/hyperlink" Target="https://en.wikipedia.org/wiki/David_Douglas_(botanist)" TargetMode="External"/><Relationship Id="rId13" Type="http://schemas.openxmlformats.org/officeDocument/2006/relationships/hyperlink" Target="https://en.wikipedia.org/wiki/William_Jackson_Hooker" TargetMode="External"/><Relationship Id="rId14" Type="http://schemas.openxmlformats.org/officeDocument/2006/relationships/hyperlink" Target="https://en.wikipedia.org/w/index.php?title=Hjelmq.&amp;action=edit&amp;redlink=1" TargetMode="External"/><Relationship Id="rId15" Type="http://schemas.openxmlformats.org/officeDocument/2006/relationships/hyperlink" Target="http://earthexplorer.usgs.gov/" TargetMode="External"/><Relationship Id="rId16" Type="http://schemas.openxmlformats.org/officeDocument/2006/relationships/image" Target="media/image2.jpeg"/><Relationship Id="rId17" Type="http://schemas.openxmlformats.org/officeDocument/2006/relationships/hyperlink" Target="https://mcmurtrs.github.io/WoodsCreek/" TargetMode="External"/><Relationship Id="rId18" Type="http://schemas.openxmlformats.org/officeDocument/2006/relationships/header" Target="header1.xml"/><Relationship Id="rId19" Type="http://schemas.openxmlformats.org/officeDocument/2006/relationships/image" Target="media/image3.png"/><Relationship Id="rId20" Type="http://schemas.openxmlformats.org/officeDocument/2006/relationships/header" Target="header2.xml"/><Relationship Id="rId21" Type="http://schemas.openxmlformats.org/officeDocument/2006/relationships/header" Target="header3.xml"/><Relationship Id="rId22" Type="http://schemas.openxmlformats.org/officeDocument/2006/relationships/image" Target="media/image4.jpeg"/><Relationship Id="rId23" Type="http://schemas.openxmlformats.org/officeDocument/2006/relationships/image" Target="media/image5.png"/><Relationship Id="rId24" Type="http://schemas.openxmlformats.org/officeDocument/2006/relationships/image" Target="media/image6.jpeg"/><Relationship Id="rId25" Type="http://schemas.openxmlformats.org/officeDocument/2006/relationships/image" Target="media/image7.jpeg"/><Relationship Id="rId26" Type="http://schemas.openxmlformats.org/officeDocument/2006/relationships/image" Target="media/image8.jpeg"/><Relationship Id="rId27" Type="http://schemas.openxmlformats.org/officeDocument/2006/relationships/image" Target="media/image9.jpeg"/><Relationship Id="rId28" Type="http://schemas.openxmlformats.org/officeDocument/2006/relationships/image" Target="media/image10.jpeg"/><Relationship Id="rId29" Type="http://schemas.openxmlformats.org/officeDocument/2006/relationships/header" Target="header4.xml"/><Relationship Id="rId30" Type="http://schemas.openxmlformats.org/officeDocument/2006/relationships/header" Target="header5.xml"/><Relationship Id="rId31" Type="http://schemas.openxmlformats.org/officeDocument/2006/relationships/image" Target="media/image11.png"/><Relationship Id="rId32" Type="http://schemas.openxmlformats.org/officeDocument/2006/relationships/image" Target="media/image12.png"/><Relationship Id="rId33" Type="http://schemas.openxmlformats.org/officeDocument/2006/relationships/image" Target="media/image13.png"/><Relationship Id="rId34" Type="http://schemas.openxmlformats.org/officeDocument/2006/relationships/image" Target="media/image14.png"/><Relationship Id="rId35" Type="http://schemas.openxmlformats.org/officeDocument/2006/relationships/image" Target="media/image15.png"/><Relationship Id="rId36" Type="http://schemas.openxmlformats.org/officeDocument/2006/relationships/image" Target="media/image16.png"/><Relationship Id="rId37" Type="http://schemas.openxmlformats.org/officeDocument/2006/relationships/image" Target="media/image17.png"/><Relationship Id="rId38" Type="http://schemas.openxmlformats.org/officeDocument/2006/relationships/image" Target="media/image18.png"/><Relationship Id="rId39" Type="http://schemas.openxmlformats.org/officeDocument/2006/relationships/header" Target="header6.xml"/><Relationship Id="rId40" Type="http://schemas.openxmlformats.org/officeDocument/2006/relationships/hyperlink" Target="https://github.com/mcmurtrs/WoodsCreek" TargetMode="External"/><Relationship Id="rId41" Type="http://schemas.openxmlformats.org/officeDocument/2006/relationships/hyperlink" Target="https://doi.org/10.1016/j.foreco.2005.01.034" TargetMode="External"/><Relationship Id="rId42" Type="http://schemas.openxmlformats.org/officeDocument/2006/relationships/hyperlink" Target="https://ir.library.oregonstate.edu/concern/graduate_thesis_or_dissertations/k930c098s" TargetMode="External"/><Relationship Id="rId43" Type="http://schemas.openxmlformats.org/officeDocument/2006/relationships/hyperlink" Target="https://doi.org/10.3389/ffgc.2021.695981" TargetMode="External"/><Relationship Id="rId44" Type="http://schemas.openxmlformats.org/officeDocument/2006/relationships/hyperlink" Target="https://doi.org/10.1016/j.foreco.2012.05.040" TargetMode="External"/><Relationship Id="rId45" Type="http://schemas.openxmlformats.org/officeDocument/2006/relationships/hyperlink" Target="https://www.fs.usda.gov/treesearch/pubs/46886" TargetMode="External"/><Relationship Id="rId46" Type="http://schemas.openxmlformats.org/officeDocument/2006/relationships/hyperlink" Target="https://www.fs.fed.us/foresthealth/technology/pdfs/WesternRootDiseaseModelV3-0UserGuide2018.pdf" TargetMode="External"/><Relationship Id="rId47" Type="http://schemas.openxmlformats.org/officeDocument/2006/relationships/hyperlink" Target="https://doi.org/10.2737/PSW-GTR-165" TargetMode="External"/><Relationship Id="rId48" Type="http://schemas.openxmlformats.org/officeDocument/2006/relationships/hyperlink" Target="https://doi.org/10.5849/jof.10-006" TargetMode="External"/><Relationship Id="rId49" Type="http://schemas.openxmlformats.org/officeDocument/2006/relationships/hyperlink" Target="https://www.biodiversitylibrary.org/bibliography/178892" TargetMode="External"/><Relationship Id="rId50" Type="http://schemas.openxmlformats.org/officeDocument/2006/relationships/hyperlink" Target="https://doi.org/10.1139/x79-078" TargetMode="External"/><Relationship Id="rId51" Type="http://schemas.openxmlformats.org/officeDocument/2006/relationships/hyperlink" Target="http://dx.doi.org/10.1146/annurev.phyto.38.1.515" TargetMode="External"/><Relationship Id="rId52" Type="http://schemas.openxmlformats.org/officeDocument/2006/relationships/hyperlink" Target="https://doi.org/10.1002/ecs2.1569" TargetMode="External"/><Relationship Id="rId53" Type="http://schemas.openxmlformats.org/officeDocument/2006/relationships/hyperlink" Target="https://doi.org/10.1016/j.foreco.2019.03.063" TargetMode="External"/><Relationship Id="rId54" Type="http://schemas.openxmlformats.org/officeDocument/2006/relationships/hyperlink" Target="https://doi.org/10.1080/17550874.2012.679013" TargetMode="External"/><Relationship Id="rId55" Type="http://schemas.openxmlformats.org/officeDocument/2006/relationships/hyperlink" Target="https://doi.org/10.1094/PHYTO-12-17-0399-R" TargetMode="External"/><Relationship Id="rId56" Type="http://schemas.openxmlformats.org/officeDocument/2006/relationships/hyperlink" Target="https://doi.org/10.1111/j.1523-1739.2004.00492.x" TargetMode="External"/><Relationship Id="rId57" Type="http://schemas.openxmlformats.org/officeDocument/2006/relationships/hyperlink" Target="https://doi.org/10.1016/j.foreco.2014.02.007" TargetMode="External"/><Relationship Id="rId58" Type="http://schemas.openxmlformats.org/officeDocument/2006/relationships/hyperlink" Target="https://doi.org/10.1139/cjfr-2014-0168" TargetMode="External"/><Relationship Id="rId59" Type="http://schemas.openxmlformats.org/officeDocument/2006/relationships/hyperlink" Target="https://doi.org/10.1111/j.1461-9563.2006.00305.x" TargetMode="External"/><Relationship Id="rId60" Type="http://schemas.openxmlformats.org/officeDocument/2006/relationships/hyperlink" Target="https://doi.org/10.1093/forestscience/51.5.425" TargetMode="External"/><Relationship Id="rId61" Type="http://schemas.openxmlformats.org/officeDocument/2006/relationships/hyperlink" Target="https://doi.org/10.1093/aob/mcm246" TargetMode="External"/><Relationship Id="rId62" Type="http://schemas.openxmlformats.org/officeDocument/2006/relationships/hyperlink" Target="http://www.rstudio.com/" TargetMode="External"/><Relationship Id="rId63" Type="http://schemas.openxmlformats.org/officeDocument/2006/relationships/hyperlink" Target="https://doi.org/10.1093/forestry/cpm041" TargetMode="External"/><Relationship Id="rId64" Type="http://schemas.openxmlformats.org/officeDocument/2006/relationships/hyperlink" Target="http://websoilsurvey.sc.egov.usda.gov/" TargetMode="External"/><Relationship Id="rId65" Type="http://schemas.openxmlformats.org/officeDocument/2006/relationships/hyperlink" Target="https://doi.org/10.1016/j.foreco.2018.03.043" TargetMode="External"/><Relationship Id="rId66" Type="http://schemas.openxmlformats.org/officeDocument/2006/relationships/hyperlink" Target="https://ggplot2.tidyverse.org/" TargetMode="External"/><Relationship Id="rId67" Type="http://schemas.openxmlformats.org/officeDocument/2006/relationships/hyperlink" Target="https://CRAN.R-project.org/package=tidyverse" TargetMode="External"/><Relationship Id="rId68" Type="http://schemas.openxmlformats.org/officeDocument/2006/relationships/hyperlink" Target="https://doi.org/10.1016/j.foreco.2019.117558" TargetMode="External"/><Relationship Id="rId69" Type="http://schemas.openxmlformats.org/officeDocument/2006/relationships/header" Target="header7.xml"/><Relationship Id="rId70" Type="http://schemas.openxmlformats.org/officeDocument/2006/relationships/comments" Target="comments.xml"/><Relationship Id="rId71" Type="http://schemas.openxmlformats.org/officeDocument/2006/relationships/fontTable" Target="fontTable.xml"/><Relationship Id="rId72" Type="http://schemas.openxmlformats.org/officeDocument/2006/relationships/settings" Target="settings.xml"/><Relationship Id="rId73" Type="http://schemas.openxmlformats.org/officeDocument/2006/relationships/theme" Target="theme/theme1.xml"/><Relationship Id="rId74"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77FDB-81ED-4D3E-A95C-2FBA09DF1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Application>LibreOffice/7.1.5.2$Windows_X86_64 LibreOffice_project/85f04e9f809797b8199d13c421bd8a2b025d52b5</Application>
  <AppVersion>15.0000</AppVersion>
  <Pages>73</Pages>
  <Words>10755</Words>
  <Characters>59277</Characters>
  <CharactersWithSpaces>69552</CharactersWithSpaces>
  <Paragraphs>613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2022-10-20T00:54:00Z</dcterms:created>
  <dc:creator>Shawn McMurtrey</dc:creator>
  <dc:description/>
  <dc:language>en-US</dc:language>
  <cp:lastModifiedBy/>
  <dcterms:modified xsi:type="dcterms:W3CDTF">2022-10-20T10:00:36Z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