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png" ContentType="image/png"/>
  <Override PartName="/word/media/image4.jpeg" ContentType="image/jpeg"/>
  <Override PartName="/word/media/image3.jpeg" ContentType="image/jpeg"/>
  <Override PartName="/word/media/image11.png" ContentType="image/png"/>
  <Override PartName="/word/media/image5.jpeg" ContentType="image/jpeg"/>
  <Override PartName="/word/media/image6.jpeg" ContentType="image/jpeg"/>
  <Override PartName="/word/media/image7.jpeg" ContentType="image/jpeg"/>
  <Override PartName="/word/media/image8.png" ContentType="image/png"/>
  <Override PartName="/word/media/image9.png" ContentType="image/png"/>
  <Override PartName="/word/media/image10.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w:t>
      </w:r>
      <w:ins w:id="0" w:author="Shawn McMurtrey" w:date="2022-08-31T21:05:00Z">
        <w:r>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Pr>
            <w:sz w:val="24"/>
            <w:szCs w:val="24"/>
          </w:rPr>
          <w:delText>s</w:delText>
        </w:r>
      </w:del>
      <w:r>
        <w:rPr>
          <w:sz w:val="24"/>
          <w:szCs w:val="24"/>
        </w:rPr>
        <w:t>. The second study consisted of five different rotation treatments that were applied across 14 hectares of privately-owned forest in Columbia County beginning in 1975. Both sites were chosen for high incidence of laminated root rot.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r>
        <w:rPr>
          <w:sz w:val="24"/>
          <w:szCs w:val="24"/>
        </w:rPr>
        <w:commentReference w:id="0"/>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rPr/>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 xml:space="preserve">A major question stemming from these shifts in management techniques is understanding how thinning and alternate host rotations will affect major forest pathogens. </w:t>
        <w:br/>
      </w:r>
    </w:p>
    <w:p>
      <w:pPr>
        <w:pStyle w:val="Normal"/>
        <w:spacing w:lineRule="auto" w:line="480"/>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w:t>
      </w:r>
      <w:ins w:id="2" w:author="Shawn McMurtrey" w:date="2022-08-31T21:13:00Z">
        <w:r>
          <w:rPr>
            <w:i/>
            <w:sz w:val="24"/>
            <w:szCs w:val="24"/>
          </w:rPr>
          <w:t>oniferiporia</w:t>
        </w:r>
      </w:ins>
      <w:del w:id="3" w:author="Shawn McMurtrey" w:date="2022-08-31T21:13:00Z">
        <w:r>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sz w:val="24"/>
          <w:szCs w:val="24"/>
        </w:rPr>
      </w:pPr>
      <w:r>
        <w:rPr>
          <w:sz w:val="24"/>
          <w:szCs w:val="24"/>
        </w:rPr>
      </w:r>
    </w:p>
    <w:p>
      <w:pPr>
        <w:pStyle w:val="Normal"/>
        <w:spacing w:lineRule="auto" w:line="48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rPr>
          <w:sz w:val="24"/>
          <w:szCs w:val="24"/>
        </w:rPr>
      </w:pPr>
      <w:r>
        <w:rPr>
          <w:sz w:val="24"/>
          <w:szCs w:val="24"/>
        </w:rPr>
      </w:r>
    </w:p>
    <w:p>
      <w:pPr>
        <w:pStyle w:val="Normal"/>
        <w:spacing w:lineRule="auto" w:line="48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rPr>
          <w:sz w:val="24"/>
          <w:szCs w:val="24"/>
        </w:rPr>
      </w:pPr>
      <w:r>
        <w:rPr>
          <w:sz w:val="24"/>
          <w:szCs w:val="24"/>
        </w:rPr>
      </w:r>
    </w:p>
    <w:p>
      <w:pPr>
        <w:pStyle w:val="Normal"/>
        <w:spacing w:lineRule="auto" w:line="48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rPr>
          <w:sz w:val="20"/>
          <w:szCs w:val="20"/>
        </w:rPr>
      </w:pPr>
      <w:r>
        <w:rPr>
          <w:sz w:val="20"/>
          <w:szCs w:val="20"/>
        </w:rPr>
      </w:r>
    </w:p>
    <w:p>
      <w:pPr>
        <w:pStyle w:val="Normal"/>
        <w:spacing w:lineRule="auto" w:line="480"/>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commentRangeStart w:id="1"/>
      <w:r>
        <w:rPr>
          <w:i/>
          <w:iCs/>
          <w:sz w:val="24"/>
          <w:szCs w:val="24"/>
        </w:rPr>
        <w:t>annosus</w:t>
      </w:r>
      <w:r>
        <w:rPr>
          <w:i/>
          <w:iCs/>
          <w:sz w:val="24"/>
          <w:szCs w:val="24"/>
        </w:rPr>
      </w:r>
      <w:commentRangeEnd w:id="1"/>
      <w:r>
        <w:commentReference w:id="1"/>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br/>
        <w:br/>
      </w:r>
      <w:commentRangeStart w:id="2"/>
      <w:r>
        <w:rPr>
          <w:sz w:val="24"/>
          <w:szCs w:val="24"/>
        </w:rPr>
        <w:t>The Siuslaw</w:t>
      </w:r>
      <w:r>
        <w:rPr>
          <w:sz w:val="24"/>
          <w:szCs w:val="24"/>
        </w:rPr>
      </w:r>
      <w:commentRangeEnd w:id="2"/>
      <w:r>
        <w:commentReference w:id="2"/>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sz w:val="24"/>
          <w:szCs w:val="24"/>
        </w:rPr>
        <w:t>Speyeria zerene hippolyta</w:t>
      </w:r>
      <w:r>
        <w:rPr>
          <w:sz w:val="24"/>
          <w:szCs w:val="24"/>
        </w:rPr>
        <w:t xml:space="preserve"> </w:t>
      </w:r>
      <w:hyperlink r:id="rId6" w:tgtFrame="William John Swainson">
        <w:r>
          <w:rPr>
            <w:sz w:val="24"/>
            <w:szCs w:val="24"/>
          </w:rPr>
          <w:t>Swainson</w:t>
        </w:r>
      </w:hyperlink>
      <w:r>
        <w:rPr>
          <w:sz w:val="24"/>
          <w:szCs w:val="24"/>
        </w:rPr>
        <w:t>) and the northern spotted owl (</w:t>
      </w:r>
      <w:r>
        <w:rPr>
          <w:i/>
          <w:iCs/>
          <w:sz w:val="24"/>
          <w:szCs w:val="24"/>
        </w:rPr>
        <w:t xml:space="preserve">Strix occidentalis caurina </w:t>
      </w:r>
      <w:hyperlink r:id="rId7">
        <w:r>
          <w:rPr>
            <w:sz w:val="24"/>
            <w:szCs w:val="24"/>
          </w:rPr>
          <w:t>Xantus de Vesey</w:t>
        </w:r>
      </w:hyperlink>
      <w:r>
        <w:rPr>
          <w:sz w:val="24"/>
          <w:szCs w:val="24"/>
        </w:rPr>
        <w:t xml:space="preserve">), </w:t>
      </w:r>
      <w:commentRangeStart w:id="3"/>
      <w:commentRangeStart w:id="4"/>
      <w:r>
        <w:rPr>
          <w:sz w:val="24"/>
          <w:szCs w:val="24"/>
        </w:rPr>
        <w:t xml:space="preserve">both threatened species </w:t>
      </w:r>
      <w:r>
        <w:rPr>
          <w:sz w:val="24"/>
          <w:szCs w:val="24"/>
        </w:rPr>
      </w:r>
      <w:commentRangeEnd w:id="4"/>
      <w:r>
        <w:commentReference w:id="4"/>
      </w:r>
      <w:r>
        <w:rPr>
          <w:sz w:val="24"/>
          <w:szCs w:val="24"/>
        </w:rPr>
      </w:r>
      <w:commentRangeEnd w:id="3"/>
      <w:r>
        <w:commentReference w:id="3"/>
      </w:r>
      <w:r>
        <w:rPr>
          <w:sz w:val="24"/>
          <w:szCs w:val="24"/>
        </w:rPr>
        <w:t>(</w:t>
      </w:r>
      <w:commentRangeStart w:id="5"/>
      <w:r>
        <w:rPr>
          <w:sz w:val="24"/>
          <w:szCs w:val="24"/>
        </w:rPr>
        <w:t>USDA, 1990</w:t>
      </w:r>
      <w:r>
        <w:rPr>
          <w:sz w:val="24"/>
          <w:szCs w:val="24"/>
        </w:rPr>
      </w:r>
      <w:commentRangeEnd w:id="5"/>
      <w:r>
        <w:commentReference w:id="5"/>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7"/>
      <w:r>
        <w:rPr>
          <w:sz w:val="24"/>
          <w:szCs w:val="24"/>
        </w:rPr>
        <w:commentReference w:id="6"/>
      </w:r>
      <w:commentRangeEnd w:id="7"/>
      <w:r>
        <w:commentReference w:id="7"/>
      </w:r>
      <w:r>
        <w:rPr>
          <w:sz w:val="24"/>
          <w:szCs w:val="24"/>
        </w:rPr>
      </w:r>
    </w:p>
    <w:p>
      <w:pPr>
        <w:pStyle w:val="Normal"/>
        <w:spacing w:lineRule="auto" w:line="480"/>
        <w:rPr>
          <w:sz w:val="24"/>
          <w:szCs w:val="24"/>
        </w:rPr>
      </w:pPr>
      <w:r>
        <w:rPr>
          <w:sz w:val="24"/>
          <w:szCs w:val="24"/>
        </w:rPr>
      </w:r>
    </w:p>
    <w:p>
      <w:pPr>
        <w:pStyle w:val="Normal"/>
        <w:spacing w:lineRule="auto" w:line="480"/>
        <w:rPr/>
      </w:pPr>
      <w:r>
        <w:rPr/>
        <w:commentReference w:id="8"/>
      </w:r>
      <w:r>
        <w:rPr>
          <w:sz w:val="24"/>
          <w:szCs w:val="24"/>
        </w:rPr>
        <w:t>The overall aim of th</w:t>
      </w:r>
      <w:ins w:id="4" w:author="Shawn McMurtrey" w:date="2022-08-31T21:25:00Z">
        <w:r>
          <w:rPr>
            <w:sz w:val="24"/>
            <w:szCs w:val="24"/>
          </w:rPr>
          <w:t>ese</w:t>
        </w:r>
      </w:ins>
      <w:del w:id="5" w:author="Shawn McMurtrey" w:date="2022-08-31T21:25:00Z">
        <w:r>
          <w:rPr>
            <w:sz w:val="24"/>
            <w:szCs w:val="24"/>
          </w:rPr>
          <w:delText>is</w:delText>
        </w:r>
      </w:del>
      <w:r>
        <w:rPr>
          <w:sz w:val="24"/>
          <w:szCs w:val="24"/>
        </w:rPr>
        <w:t xml:space="preserve"> </w:t>
      </w:r>
      <w:ins w:id="6" w:author="Shawn McMurtrey" w:date="2022-08-31T21:25:00Z">
        <w:r>
          <w:rPr>
            <w:sz w:val="24"/>
            <w:szCs w:val="24"/>
          </w:rPr>
          <w:t xml:space="preserve">two </w:t>
        </w:r>
      </w:ins>
      <w:r>
        <w:rPr>
          <w:sz w:val="24"/>
          <w:szCs w:val="24"/>
        </w:rPr>
        <w:t>stud</w:t>
      </w:r>
      <w:ins w:id="7" w:author="Shawn McMurtrey" w:date="2022-08-31T21:25:00Z">
        <w:r>
          <w:rPr>
            <w:sz w:val="24"/>
            <w:szCs w:val="24"/>
          </w:rPr>
          <w:t>ies</w:t>
        </w:r>
      </w:ins>
      <w:del w:id="8" w:author="Shawn McMurtrey" w:date="2022-08-31T21:25:00Z">
        <w:r>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9" w:author="Shawn McMurtrey" w:date="2022-08-31T21:26:00Z">
        <w:r>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0" w:author="Shawn McMurtrey" w:date="2022-08-31T21:26:00Z">
        <w:r>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11" w:author="Shawn McMurtrey" w:date="2022-08-31T21:28:00Z">
        <w:r>
          <w:rPr>
            <w:sz w:val="24"/>
            <w:szCs w:val="24"/>
          </w:rPr>
          <w:delText>specific</w:delText>
        </w:r>
      </w:del>
      <w:r>
        <w:rPr>
          <w:sz w:val="24"/>
          <w:szCs w:val="24"/>
        </w:rPr>
        <w:t xml:space="preserv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redcedar (</w:t>
      </w:r>
      <w:hyperlink r:id="rId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0" w:tgtFrame="David Douglas (botanist)">
        <w:r>
          <w:rPr>
            <w:sz w:val="24"/>
            <w:szCs w:val="24"/>
          </w:rPr>
          <w:t>Douglas</w:t>
        </w:r>
      </w:hyperlink>
      <w:r>
        <w:rPr>
          <w:sz w:val="24"/>
          <w:szCs w:val="24"/>
        </w:rPr>
        <w:t xml:space="preserve"> ex </w:t>
      </w:r>
      <w:hyperlink r:id="rId11" w:tgtFrame="David Don">
        <w:r>
          <w:rPr>
            <w:sz w:val="24"/>
            <w:szCs w:val="24"/>
          </w:rPr>
          <w:t>D. Don</w:t>
        </w:r>
      </w:hyperlink>
      <w:r>
        <w:rPr>
          <w:sz w:val="24"/>
          <w:szCs w:val="24"/>
        </w:rPr>
        <w:t xml:space="preserve">) </w:t>
      </w:r>
      <w:hyperlink r:id="rId12"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3" w:tgtFrame="David Douglas (botanist)">
        <w:r>
          <w:rPr>
            <w:sz w:val="24"/>
            <w:szCs w:val="24"/>
          </w:rPr>
          <w:t>Douglas</w:t>
        </w:r>
      </w:hyperlink>
      <w:r>
        <w:rPr>
          <w:sz w:val="24"/>
          <w:szCs w:val="24"/>
        </w:rPr>
        <w:t xml:space="preserve"> ex </w:t>
      </w:r>
      <w:hyperlink r:id="rId14" w:tgtFrame="William Jackson Hooker">
        <w:r>
          <w:rPr>
            <w:sz w:val="24"/>
            <w:szCs w:val="24"/>
          </w:rPr>
          <w:t>Hook.</w:t>
        </w:r>
      </w:hyperlink>
      <w:r>
        <w:rPr>
          <w:sz w:val="24"/>
          <w:szCs w:val="24"/>
        </w:rPr>
        <w:t xml:space="preserve">) </w:t>
      </w:r>
      <w:hyperlink r:id="rId15"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pPr>
        <w:pStyle w:val="Normal"/>
        <w:spacing w:lineRule="auto" w:line="480"/>
        <w:rPr>
          <w:sz w:val="24"/>
          <w:szCs w:val="24"/>
        </w:rPr>
      </w:pPr>
      <w:r>
        <w:rPr>
          <w:sz w:val="24"/>
          <w:szCs w:val="24"/>
        </w:rPr>
      </w:r>
    </w:p>
    <w:p>
      <w:pPr>
        <w:pStyle w:val="Normal"/>
        <w:spacing w:lineRule="auto" w:line="480"/>
        <w:rPr/>
      </w:pPr>
      <w:r>
        <w:rPr>
          <w:sz w:val="24"/>
          <w:szCs w:val="24"/>
        </w:rPr>
        <w:t>The location</w:t>
      </w:r>
      <w:ins w:id="12" w:author="Shawn McMurtrey" w:date="2022-08-31T21:31:00Z">
        <w:r>
          <w:rPr>
            <w:sz w:val="24"/>
            <w:szCs w:val="24"/>
          </w:rPr>
          <w:t xml:space="preserve"> of the Woods Creek study area</w:t>
        </w:r>
      </w:ins>
      <w:r>
        <w:rPr>
          <w:sz w:val="24"/>
          <w:szCs w:val="24"/>
        </w:rPr>
        <w:t xml:space="preserve"> provides a unique ecosystem for surveying of LRR. The area was clear cut between 1910 and 1920, burned after reharvest, and reestablished naturally from seed (Tkacz and Hansen, 1982). The study area encompassed 15 stands (mean = 9.7 hectares, range = 6.7 - 14.7 hectares) across </w:t>
      </w:r>
      <w:commentRangeStart w:id="9"/>
      <w:r>
        <w:rPr>
          <w:sz w:val="24"/>
          <w:szCs w:val="24"/>
        </w:rPr>
        <w:t>ca. ~</w:t>
      </w:r>
      <w:r>
        <w:rPr>
          <w:sz w:val="24"/>
          <w:szCs w:val="24"/>
        </w:rPr>
      </w:r>
      <w:commentRangeEnd w:id="9"/>
      <w:r>
        <w:commentReference w:id="9"/>
      </w:r>
      <w:r>
        <w:rPr>
          <w:sz w:val="24"/>
          <w:szCs w:val="24"/>
        </w:rPr>
        <w:t>162 hectares (</w:t>
      </w:r>
      <w:r>
        <w:rPr>
          <w:b/>
          <w:sz w:val="24"/>
          <w:szCs w:val="24"/>
        </w:rPr>
        <w:t>Fig. 1</w:t>
      </w:r>
      <w:r>
        <w:rPr>
          <w:sz w:val="24"/>
          <w:szCs w:val="24"/>
        </w:rPr>
        <w:t xml:space="preserve">). </w:t>
      </w:r>
      <w:commentRangeStart w:id="10"/>
      <w:commentRangeStart w:id="11"/>
      <w:r>
        <w:rPr>
          <w:sz w:val="24"/>
          <w:szCs w:val="24"/>
        </w:rPr>
        <w:t xml:space="preserve">The stands were thinned in 1986 - 1990, which reduced the overall basal area by about ⅓; trees per 0.4 hectares were also reduced by about 40% (Hansen, unpublished data). </w:t>
      </w:r>
      <w:r>
        <w:rPr>
          <w:sz w:val="24"/>
          <w:szCs w:val="24"/>
        </w:rPr>
      </w:r>
      <w:commentRangeEnd w:id="11"/>
      <w:r>
        <w:commentReference w:id="11"/>
      </w:r>
      <w:commentRangeEnd w:id="10"/>
      <w:r>
        <w:commentReference w:id="10"/>
      </w:r>
      <w:r>
        <w:rPr>
          <w:sz w:val="24"/>
          <w:szCs w:val="24"/>
        </w:rPr>
      </w:r>
    </w:p>
    <w:p>
      <w:pPr>
        <w:pStyle w:val="Normal"/>
        <w:spacing w:lineRule="auto" w:line="480"/>
        <w:rPr/>
      </w:pPr>
      <w:r>
        <w:rPr>
          <w:sz w:val="24"/>
          <w:szCs w:val="24"/>
        </w:rPr>
        <w:t>Three categories of treatment areas were originally designed for this study, with five replicates for each treatment. The treatment categories included the control, that contained five stands where no thinning occurred.</w:t>
      </w:r>
      <w:ins w:id="13" w:author="Shawn McMurtrey" w:date="2022-09-05T10:03:00Z">
        <w:r>
          <w:rPr>
            <w:sz w:val="24"/>
            <w:szCs w:val="24"/>
          </w:rPr>
          <w:t xml:space="preserve"> The </w:t>
        </w:r>
      </w:ins>
      <w:ins w:id="14" w:author="Shawn McMurtrey" w:date="2022-09-05T10:04:00Z">
        <w:r>
          <w:rPr>
            <w:sz w:val="24"/>
            <w:szCs w:val="24"/>
          </w:rPr>
          <w:t>basal area of the control</w:t>
        </w:r>
      </w:ins>
      <w:ins w:id="15" w:author="Shawn McMurtrey" w:date="2022-09-05T10:03:00Z">
        <w:r>
          <w:rPr>
            <w:sz w:val="24"/>
            <w:szCs w:val="24"/>
          </w:rPr>
          <w:t xml:space="preserve"> stands </w:t>
        </w:r>
      </w:ins>
      <w:ins w:id="16" w:author="Shawn McMurtrey" w:date="2022-09-05T10:04:00Z">
        <w:r>
          <w:rPr>
            <w:sz w:val="24"/>
            <w:szCs w:val="24"/>
          </w:rPr>
          <w:t>was 61.4 m</w:t>
        </w:r>
      </w:ins>
      <w:ins w:id="17" w:author="Shawn McMurtrey" w:date="2022-09-05T10:04:00Z">
        <w:r>
          <w:rPr>
            <w:sz w:val="24"/>
            <w:szCs w:val="24"/>
            <w:vertAlign w:val="superscript"/>
          </w:rPr>
          <w:t>2</w:t>
        </w:r>
      </w:ins>
      <w:ins w:id="18" w:author="Shawn McMurtrey" w:date="2022-09-05T10:04:00Z">
        <w:r>
          <w:rPr>
            <w:sz w:val="24"/>
            <w:szCs w:val="24"/>
          </w:rPr>
          <w:t>ha</w:t>
        </w:r>
      </w:ins>
      <w:r>
        <w:rPr>
          <w:sz w:val="24"/>
          <w:szCs w:val="24"/>
          <w:vertAlign w:val="superscript"/>
        </w:rPr>
        <w:t>-1</w:t>
      </w:r>
      <w:ins w:id="19"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20"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br/>
      </w:r>
    </w:p>
    <w:p>
      <w:pPr>
        <w:pStyle w:val="Normal"/>
        <w:spacing w:lineRule="auto" w:line="480"/>
        <w:rPr/>
      </w:pPr>
      <w:r>
        <w:rPr>
          <w:b/>
          <w:bCs/>
          <w:sz w:val="24"/>
          <w:szCs w:val="24"/>
        </w:rPr>
        <w:t xml:space="preserve">2.1.2 Plot network </w:t>
      </w:r>
    </w:p>
    <w:p>
      <w:pPr>
        <w:pStyle w:val="Normal"/>
        <w:spacing w:lineRule="auto" w:line="480"/>
        <w:rPr/>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6">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21" w:author="Shawn McMurtrey" w:date="2022-09-07T22:31:00Z"/>
        </w:rPr>
      </w:pPr>
      <w:commentRangeStart w:id="12"/>
      <w:r>
        <w:rPr/>
        <w:drawing>
          <wp:inline distT="0" distB="0" distL="0" distR="0">
            <wp:extent cx="5895975" cy="4126230"/>
            <wp:effectExtent l="0" t="0" r="0" b="0"/>
            <wp:docPr id="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descr=""/>
                    <pic:cNvPicPr>
                      <a:picLocks noChangeAspect="1" noChangeArrowheads="1"/>
                    </pic:cNvPicPr>
                  </pic:nvPicPr>
                  <pic:blipFill>
                    <a:blip r:embed="rId17"/>
                    <a:stretch>
                      <a:fillRect/>
                    </a:stretch>
                  </pic:blipFill>
                  <pic:spPr bwMode="auto">
                    <a:xfrm>
                      <a:off x="0" y="0"/>
                      <a:ext cx="5895975" cy="4126230"/>
                    </a:xfrm>
                    <a:prstGeom prst="rect">
                      <a:avLst/>
                    </a:prstGeom>
                  </pic:spPr>
                </pic:pic>
              </a:graphicData>
            </a:graphic>
          </wp:inline>
        </w:drawing>
      </w:r>
      <w:commentRangeEnd w:id="12"/>
      <w:r>
        <w:commentReference w:id="12"/>
      </w:r>
      <w:r>
        <w:rPr/>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pPr>
      <w:r>
        <w:rPr>
          <w:sz w:val="24"/>
          <w:szCs w:val="24"/>
        </w:rPr>
        <w:tab/>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pPr>
      <w:r>
        <w:rPr>
          <w:b/>
          <w:iCs/>
          <w:sz w:val="24"/>
          <w:szCs w:val="24"/>
        </w:rPr>
        <w:t>2.1.4 Data cleaning and analysis</w:t>
      </w:r>
      <w:r>
        <w:rPr>
          <w:b/>
          <w:i/>
          <w:sz w:val="24"/>
          <w:szCs w:val="24"/>
        </w:rPr>
        <w:br/>
      </w: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2" w:author="Shawn McMurtrey" w:date="2022-08-31T21:41:00Z">
        <w:r>
          <w:rPr>
            <w:sz w:val="24"/>
            <w:szCs w:val="24"/>
          </w:rPr>
          <w:delText xml:space="preserve">here </w:delText>
        </w:r>
      </w:del>
      <w:ins w:id="23" w:author="Shawn McMurtrey" w:date="2022-08-31T21:41:00Z">
        <w:r>
          <w:rPr>
            <w:sz w:val="24"/>
            <w:szCs w:val="24"/>
          </w:rPr>
          <w:t xml:space="preserve">at the Github repository: </w:t>
        </w:r>
      </w:ins>
      <w:hyperlink r:id="rId18">
        <w:r>
          <w:rPr>
            <w:rStyle w:val="InternetLink"/>
            <w:color w:val="auto"/>
            <w:sz w:val="24"/>
            <w:szCs w:val="24"/>
          </w:rPr>
          <w:t>https://mcmurtrs.github.io/WoodsCreek/</w:t>
        </w:r>
      </w:hyperlink>
      <w:ins w:id="24" w:author="Shawn McMurtrey" w:date="2022-08-31T21:41:00Z">
        <w:r>
          <w:rPr>
            <w:rStyle w:val="InternetLink"/>
            <w:color w:val="auto"/>
            <w:sz w:val="24"/>
            <w:szCs w:val="24"/>
          </w:rPr>
          <w:t>.</w:t>
        </w:r>
      </w:ins>
    </w:p>
    <w:p>
      <w:pPr>
        <w:pStyle w:val="Normal"/>
        <w:spacing w:lineRule="auto" w:line="480"/>
        <w:rPr>
          <w:sz w:val="24"/>
          <w:szCs w:val="24"/>
        </w:rPr>
      </w:pPr>
      <w:r>
        <w:rPr>
          <w:sz w:val="24"/>
          <w:szCs w:val="24"/>
        </w:rPr>
      </w:r>
    </w:p>
    <w:p>
      <w:pPr>
        <w:pStyle w:val="Normal"/>
        <w:spacing w:lineRule="auto" w:line="48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rPr/>
      </w:pPr>
      <w:r>
        <w:rPr>
          <w:bCs/>
          <w:iCs/>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tidyverse (Wickham, 2017) and ggplot2 (</w:t>
      </w:r>
      <w:r>
        <w:rPr>
          <w:color w:val="000000"/>
          <w:sz w:val="24"/>
          <w:szCs w:val="24"/>
          <w:shd w:fill="FFFFFF" w:val="clear"/>
        </w:rPr>
        <w:t>Wickham, 2009)</w:t>
      </w:r>
      <w:r>
        <w:rPr>
          <w:sz w:val="24"/>
          <w:szCs w:val="24"/>
        </w:rPr>
        <w:t>.</w:t>
      </w:r>
      <w:r>
        <w:rPr>
          <w:sz w:val="24"/>
          <w:szCs w:val="24"/>
          <w:highlight w:val="white"/>
        </w:rPr>
        <w:br/>
        <w:t xml:space="preserve"> </w:t>
      </w:r>
      <w:r>
        <w:rPr>
          <w:sz w:val="24"/>
          <w:szCs w:val="24"/>
        </w:rPr>
        <w:tab/>
      </w:r>
    </w:p>
    <w:p>
      <w:pPr>
        <w:pStyle w:val="Normal"/>
        <w:tabs>
          <w:tab w:val="clear" w:pos="720"/>
          <w:tab w:val="left" w:pos="6390" w:leader="none"/>
        </w:tabs>
        <w:spacing w:lineRule="auto" w:line="480"/>
        <w:jc w:val="center"/>
        <w:rPr/>
      </w:pPr>
      <w:r>
        <w:rPr>
          <w:rFonts w:cs="Segoe UI" w:ascii="Segoe UI" w:hAnsi="Segoe UI"/>
          <w:b/>
          <w:bCs/>
          <w:color w:val="000000"/>
          <w:shd w:fill="FFFFFF" w:val="clear"/>
        </w:rPr>
        <w:t>Cumulative Stand Mortality ~ Treatment + P/A</w:t>
      </w:r>
    </w:p>
    <w:p>
      <w:pPr>
        <w:pStyle w:val="Normal"/>
        <w:spacing w:lineRule="auto" w:line="480"/>
        <w:rPr>
          <w:b/>
          <w:b/>
          <w:sz w:val="24"/>
          <w:szCs w:val="24"/>
        </w:rPr>
      </w:pPr>
      <w:r>
        <w:rPr>
          <w:b/>
          <w:sz w:val="24"/>
          <w:szCs w:val="24"/>
        </w:rPr>
      </w:r>
    </w:p>
    <w:p>
      <w:pPr>
        <w:pStyle w:val="Normal"/>
        <w:spacing w:lineRule="auto" w:line="480"/>
        <w:rPr/>
      </w:pPr>
      <w:r>
        <w:rPr>
          <w:b/>
          <w:sz w:val="24"/>
          <w:szCs w:val="24"/>
        </w:rPr>
        <w:t>2.1.6 Forest Vegetation Simulator</w:t>
      </w:r>
    </w:p>
    <w:p>
      <w:pPr>
        <w:pStyle w:val="Normal"/>
        <w:shd w:val="clear" w:color="auto" w:fill="FFFFFF"/>
        <w:spacing w:lineRule="auto" w:line="480" w:before="0" w:after="24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b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i/>
          <w:i/>
          <w:sz w:val="24"/>
          <w:szCs w:val="24"/>
        </w:rPr>
      </w:pPr>
      <w:r>
        <w:rPr>
          <w:i/>
          <w:sz w:val="24"/>
          <w:szCs w:val="24"/>
        </w:rPr>
      </w:r>
    </w:p>
    <w:p>
      <w:pPr>
        <w:pStyle w:val="Normal"/>
        <w:spacing w:lineRule="auto" w:line="48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w:t>
      </w:r>
      <w:ins w:id="25" w:author="Shawn McMurtrey" w:date="2022-08-19T09:48:00Z">
        <w:r>
          <w:rPr>
            <w:b/>
            <w:sz w:val="24"/>
            <w:szCs w:val="24"/>
          </w:rPr>
          <w:t xml:space="preserve">Apiary </w:t>
        </w:r>
      </w:ins>
      <w:del w:id="26" w:author="Shawn McMurtrey" w:date="2022-08-19T09:48:00Z">
        <w:r>
          <w:rPr>
            <w:b/>
            <w:sz w:val="24"/>
            <w:szCs w:val="24"/>
          </w:rPr>
          <w:delText>H</w:delText>
        </w:r>
      </w:del>
      <w:ins w:id="27" w:author="Shawn McMurtrey" w:date="2022-08-19T09:48:00Z">
        <w:r>
          <w:rPr>
            <w:b/>
            <w:sz w:val="24"/>
            <w:szCs w:val="24"/>
          </w:rPr>
          <w:t>h</w:t>
        </w:r>
      </w:ins>
      <w:r>
        <w:rPr>
          <w:b/>
          <w:sz w:val="24"/>
          <w:szCs w:val="24"/>
        </w:rPr>
        <w:t>ardwood rotation study</w:t>
      </w:r>
    </w:p>
    <w:p>
      <w:pPr>
        <w:pStyle w:val="Normal"/>
        <w:spacing w:lineRule="auto" w:line="480"/>
        <w:rPr/>
      </w:pPr>
      <w:r>
        <w:rPr>
          <w:b/>
          <w:sz w:val="24"/>
          <w:szCs w:val="24"/>
        </w:rPr>
        <w:t>2.2.1 Study area</w:t>
      </w:r>
    </w:p>
    <w:p>
      <w:pPr>
        <w:pStyle w:val="Normal"/>
        <w:spacing w:lineRule="auto" w:line="480"/>
        <w:rPr>
          <w:sz w:val="24"/>
          <w:szCs w:val="24"/>
        </w:rPr>
      </w:pPr>
      <w:ins w:id="28" w:author="Shawn McMurtrey" w:date="2022-08-19T10:11:00Z">
        <w:r>
          <w:rPr>
            <w:sz w:val="24"/>
            <w:szCs w:val="24"/>
          </w:rPr>
          <w:t xml:space="preserve">The Apiary study </w:t>
        </w:r>
      </w:ins>
      <w:ins w:id="29" w:author="Shawn McMurtrey" w:date="2022-08-19T13:48:00Z">
        <w:r>
          <w:rPr>
            <w:sz w:val="24"/>
            <w:szCs w:val="24"/>
          </w:rPr>
          <w:t xml:space="preserve">area </w:t>
        </w:r>
      </w:ins>
      <w:ins w:id="30" w:author="Shawn McMurtrey" w:date="2022-08-19T13:49:00Z">
        <w:r>
          <w:rPr>
            <w:sz w:val="24"/>
            <w:szCs w:val="24"/>
          </w:rPr>
          <w:t>was a</w:t>
        </w:r>
      </w:ins>
      <w:del w:id="31" w:author="Shawn McMurtrey" w:date="2022-08-19T13:48:00Z">
        <w:r>
          <w:rPr>
            <w:sz w:val="24"/>
            <w:szCs w:val="24"/>
          </w:rPr>
          <w:delText xml:space="preserve">A </w:delText>
        </w:r>
      </w:del>
      <w:r>
        <w:rPr>
          <w:sz w:val="24"/>
          <w:szCs w:val="24"/>
        </w:rPr>
        <w:t xml:space="preserve">14 hectare privately owned stand of </w:t>
      </w:r>
      <w:ins w:id="32" w:author="Shawn McMurtrey" w:date="2022-08-19T14:00:00Z">
        <w:r>
          <w:rPr>
            <w:sz w:val="24"/>
            <w:szCs w:val="24"/>
          </w:rPr>
          <w:t xml:space="preserve">predominately </w:t>
        </w:r>
      </w:ins>
      <w:r>
        <w:rPr>
          <w:sz w:val="24"/>
          <w:szCs w:val="24"/>
        </w:rPr>
        <w:t>40-year-old Douglas-fir</w:t>
      </w:r>
      <w:ins w:id="33" w:author="Shawn McMurtrey" w:date="2022-08-19T14:00:00Z">
        <w:r>
          <w:rPr>
            <w:sz w:val="24"/>
            <w:szCs w:val="24"/>
          </w:rPr>
          <w:t xml:space="preserve"> located near the town of Apiary in NW Oregon, USA</w:t>
        </w:r>
      </w:ins>
      <w:ins w:id="34" w:author="Shawn McMurtrey" w:date="2022-08-19T14:01:00Z">
        <w:r>
          <w:rPr>
            <w:sz w:val="24"/>
            <w:szCs w:val="24"/>
          </w:rPr>
          <w:t>.</w:t>
        </w:r>
      </w:ins>
      <w:del w:id="35" w:author="Shawn McMurtrey" w:date="2022-08-19T13:49:00Z">
        <w:r>
          <w:rPr>
            <w:sz w:val="24"/>
            <w:szCs w:val="24"/>
          </w:rPr>
          <w:delText>, at</w:delText>
        </w:r>
      </w:del>
      <w:del w:id="36" w:author="Shawn McMurtrey" w:date="2022-08-19T14:00:00Z">
        <w:r>
          <w:rPr>
            <w:sz w:val="24"/>
            <w:szCs w:val="24"/>
          </w:rPr>
          <w:delText xml:space="preserve"> </w:delText>
        </w:r>
      </w:del>
      <w:del w:id="37" w:author="Shawn McMurtrey" w:date="2022-08-19T13:50:00Z">
        <w:r>
          <w:rPr>
            <w:sz w:val="24"/>
            <w:szCs w:val="24"/>
          </w:rPr>
          <w:delText>t</w:delText>
        </w:r>
      </w:del>
      <w:del w:id="38" w:author="Shawn McMurtrey" w:date="2022-08-19T13:51:00Z">
        <w:r>
          <w:rPr>
            <w:sz w:val="24"/>
            <w:szCs w:val="24"/>
          </w:rPr>
          <w:delText>he</w:delText>
        </w:r>
      </w:del>
      <w:del w:id="39" w:author="Shawn McMurtrey" w:date="2022-08-19T14:00:00Z">
        <w:r>
          <w:rPr>
            <w:sz w:val="24"/>
            <w:szCs w:val="24"/>
          </w:rPr>
          <w:delText xml:space="preserve"> </w:delText>
        </w:r>
      </w:del>
      <w:ins w:id="40" w:author="Shawn McMurtrey" w:date="2022-08-19T13:51:00Z">
        <w:r>
          <w:rPr>
            <w:sz w:val="24"/>
            <w:szCs w:val="24"/>
          </w:rPr>
          <w:t>When the study area was first established</w:t>
        </w:r>
      </w:ins>
      <w:r>
        <w:rPr>
          <w:sz w:val="24"/>
          <w:szCs w:val="24"/>
        </w:rPr>
        <w:t>,</w:t>
      </w:r>
      <w:ins w:id="41" w:author="Shawn McMurtrey" w:date="2022-08-19T13:51:00Z">
        <w:r>
          <w:rPr>
            <w:sz w:val="24"/>
            <w:szCs w:val="24"/>
          </w:rPr>
          <w:t xml:space="preserve"> it was </w:t>
        </w:r>
      </w:ins>
      <w:del w:id="42" w:author="Shawn McMurtrey" w:date="2022-08-19T13:51:00Z">
        <w:r>
          <w:rPr>
            <w:sz w:val="24"/>
            <w:szCs w:val="24"/>
          </w:rPr>
          <w:delText xml:space="preserve">time </w:delText>
        </w:r>
      </w:del>
      <w:r>
        <w:rPr>
          <w:sz w:val="24"/>
          <w:szCs w:val="24"/>
        </w:rPr>
        <w:t>owned by</w:t>
      </w:r>
      <w:ins w:id="43" w:author="Shawn McMurtrey" w:date="2022-08-19T13:52:00Z">
        <w:r>
          <w:rPr>
            <w:sz w:val="24"/>
            <w:szCs w:val="24"/>
          </w:rPr>
          <w:t xml:space="preserve"> the</w:t>
        </w:r>
      </w:ins>
      <w:r>
        <w:rPr>
          <w:sz w:val="24"/>
          <w:szCs w:val="24"/>
        </w:rPr>
        <w:t xml:space="preserve"> International Paper Co</w:t>
      </w:r>
      <w:ins w:id="44" w:author="Shawn McMurtrey" w:date="2022-08-19T13:52:00Z">
        <w:r>
          <w:rPr>
            <w:sz w:val="24"/>
            <w:szCs w:val="24"/>
          </w:rPr>
          <w:t>mpany.</w:t>
        </w:r>
      </w:ins>
      <w:del w:id="45" w:author="Shawn McMurtrey" w:date="2022-08-19T13:52:00Z">
        <w:r>
          <w:rPr>
            <w:sz w:val="24"/>
            <w:szCs w:val="24"/>
          </w:rPr>
          <w:delText>.,</w:delText>
        </w:r>
      </w:del>
      <w:r>
        <w:rPr>
          <w:sz w:val="24"/>
          <w:szCs w:val="24"/>
        </w:rPr>
        <w:t xml:space="preserve"> </w:t>
      </w:r>
      <w:del w:id="46" w:author="Shawn McMurtrey" w:date="2022-08-19T14:01:00Z">
        <w:r>
          <w:rPr>
            <w:sz w:val="24"/>
            <w:szCs w:val="24"/>
          </w:rPr>
          <w:delText xml:space="preserve">was selected based on high incidence of </w:delText>
        </w:r>
      </w:del>
      <w:del w:id="47" w:author="Shawn McMurtrey" w:date="2022-08-19T13:53:00Z">
        <w:r>
          <w:rPr>
            <w:sz w:val="24"/>
            <w:szCs w:val="24"/>
          </w:rPr>
          <w:delText>laminated root rot</w:delText>
        </w:r>
      </w:del>
      <w:del w:id="48" w:author="Shawn McMurtrey" w:date="2022-08-19T14:01:00Z">
        <w:r>
          <w:rPr>
            <w:sz w:val="24"/>
            <w:szCs w:val="24"/>
          </w:rPr>
          <w:delText xml:space="preserve"> </w:delText>
        </w:r>
      </w:del>
      <w:del w:id="49" w:author="Shawn McMurtrey" w:date="2022-08-19T13:53:00Z">
        <w:r>
          <w:rPr>
            <w:sz w:val="24"/>
            <w:szCs w:val="24"/>
          </w:rPr>
          <w:delText>(</w:delText>
        </w:r>
      </w:del>
      <w:del w:id="50" w:author="Shawn McMurtrey" w:date="2022-08-19T14:01:00Z">
        <w:r>
          <w:rPr>
            <w:sz w:val="24"/>
            <w:szCs w:val="24"/>
          </w:rPr>
          <w:delText>LRR</w:delText>
        </w:r>
      </w:del>
      <w:del w:id="51" w:author="Shawn McMurtrey" w:date="2022-08-19T13:53:00Z">
        <w:r>
          <w:rPr>
            <w:sz w:val="24"/>
            <w:szCs w:val="24"/>
          </w:rPr>
          <w:delText>)</w:delText>
        </w:r>
      </w:del>
      <w:del w:id="52"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3" w:author="Shawn McMurtrey" w:date="2022-08-19T13:56:00Z">
        <w:r>
          <w:rPr>
            <w:sz w:val="24"/>
            <w:szCs w:val="24"/>
          </w:rPr>
          <w:t xml:space="preserve">15% </w:t>
        </w:r>
      </w:ins>
      <w:r>
        <w:rPr>
          <w:sz w:val="24"/>
          <w:szCs w:val="24"/>
        </w:rPr>
        <w:t xml:space="preserve">NE slope </w:t>
      </w:r>
      <w:del w:id="54" w:author="Shawn McMurtrey" w:date="2022-08-19T13:57:00Z">
        <w:r>
          <w:rPr>
            <w:sz w:val="24"/>
            <w:szCs w:val="24"/>
          </w:rPr>
          <w:delText xml:space="preserve">at about </w:delText>
        </w:r>
      </w:del>
      <w:ins w:id="55" w:author="Shawn McMurtrey" w:date="2022-08-19T13:57:00Z">
        <w:r>
          <w:rPr>
            <w:sz w:val="24"/>
            <w:szCs w:val="24"/>
          </w:rPr>
          <w:t xml:space="preserve"> with a mean</w:t>
        </w:r>
      </w:ins>
      <w:del w:id="56" w:author="Shawn McMurtrey" w:date="2022-08-19T13:57:00Z">
        <w:r>
          <w:rPr>
            <w:sz w:val="24"/>
            <w:szCs w:val="24"/>
          </w:rPr>
          <w:delText>1800’</w:delText>
        </w:r>
      </w:del>
      <w:r>
        <w:rPr>
          <w:sz w:val="24"/>
          <w:szCs w:val="24"/>
        </w:rPr>
        <w:t xml:space="preserve"> elevation</w:t>
      </w:r>
      <w:del w:id="57" w:author="Shawn McMurtrey" w:date="2022-08-19T14:00:00Z">
        <w:r>
          <w:rPr>
            <w:sz w:val="24"/>
            <w:szCs w:val="24"/>
          </w:rPr>
          <w:delText xml:space="preserve"> </w:delText>
        </w:r>
      </w:del>
      <w:ins w:id="58" w:author="Shawn McMurtrey" w:date="2022-08-19T14:01:00Z">
        <w:r>
          <w:rPr>
            <w:sz w:val="24"/>
            <w:szCs w:val="24"/>
          </w:rPr>
          <w:t>of 335 m</w:t>
        </w:r>
      </w:ins>
      <w:ins w:id="59" w:author="Shawn McMurtrey" w:date="2022-08-19T14:13:00Z">
        <w:r>
          <w:rPr>
            <w:sz w:val="24"/>
            <w:szCs w:val="24"/>
          </w:rPr>
          <w:t xml:space="preserve"> (Thies &amp;</w:t>
        </w:r>
      </w:ins>
      <w:ins w:id="60" w:author="Shawn McMurtrey" w:date="2022-08-19T14:14:00Z">
        <w:r>
          <w:rPr>
            <w:sz w:val="24"/>
            <w:szCs w:val="24"/>
          </w:rPr>
          <w:t xml:space="preserve"> Westlind 2005)</w:t>
        </w:r>
      </w:ins>
      <w:ins w:id="61" w:author="Shawn McMurtrey" w:date="2022-08-19T14:01:00Z">
        <w:r>
          <w:rPr>
            <w:sz w:val="24"/>
            <w:szCs w:val="24"/>
          </w:rPr>
          <w:t>.</w:t>
        </w:r>
      </w:ins>
      <w:del w:id="62" w:author="Shawn McMurtrey" w:date="2022-08-19T14:00:00Z">
        <w:r>
          <w:rPr>
            <w:sz w:val="24"/>
            <w:szCs w:val="24"/>
          </w:rPr>
          <w:delText>near the town of Apiary in NW Oregon</w:delText>
        </w:r>
      </w:del>
      <w:r>
        <w:rPr>
          <w:sz w:val="24"/>
          <w:szCs w:val="24"/>
        </w:rPr>
        <w:t xml:space="preserve">. </w:t>
      </w:r>
      <w:ins w:id="63" w:author="Shawn McMurtrey" w:date="2022-08-19T14:02:00Z">
        <w:r>
          <w:rPr>
            <w:sz w:val="24"/>
            <w:szCs w:val="24"/>
          </w:rPr>
          <w:t xml:space="preserve">Mean annual </w:t>
        </w:r>
      </w:ins>
      <w:ins w:id="64" w:author="Shawn McMurtrey" w:date="2022-08-19T14:03:00Z">
        <w:r>
          <w:rPr>
            <w:sz w:val="24"/>
            <w:szCs w:val="24"/>
          </w:rPr>
          <w:t>precipitation</w:t>
        </w:r>
      </w:ins>
      <w:ins w:id="65" w:author="Shawn McMurtrey" w:date="2022-08-19T14:02:00Z">
        <w:r>
          <w:rPr>
            <w:sz w:val="24"/>
            <w:szCs w:val="24"/>
          </w:rPr>
          <w:t xml:space="preserve"> </w:t>
        </w:r>
      </w:ins>
      <w:ins w:id="66" w:author="Shawn McMurtrey" w:date="2022-08-19T14:03:00Z">
        <w:r>
          <w:rPr>
            <w:sz w:val="24"/>
            <w:szCs w:val="24"/>
          </w:rPr>
          <w:t>at th</w:t>
        </w:r>
      </w:ins>
      <w:ins w:id="67" w:author="Shawn McMurtrey" w:date="2022-08-19T14:12:00Z">
        <w:r>
          <w:rPr>
            <w:sz w:val="24"/>
            <w:szCs w:val="24"/>
          </w:rPr>
          <w:t>is</w:t>
        </w:r>
      </w:ins>
      <w:ins w:id="68" w:author="Shawn McMurtrey" w:date="2022-08-19T14:03:00Z">
        <w:r>
          <w:rPr>
            <w:sz w:val="24"/>
            <w:szCs w:val="24"/>
          </w:rPr>
          <w:t xml:space="preserve"> site </w:t>
        </w:r>
      </w:ins>
      <w:ins w:id="69" w:author="Shawn McMurtrey" w:date="2022-08-19T14:12:00Z">
        <w:r>
          <w:rPr>
            <w:sz w:val="24"/>
            <w:szCs w:val="24"/>
          </w:rPr>
          <w:t>is 15</w:t>
        </w:r>
      </w:ins>
      <w:ins w:id="70" w:author="Shawn McMurtrey" w:date="2022-08-19T14:13:00Z">
        <w:r>
          <w:rPr>
            <w:sz w:val="24"/>
            <w:szCs w:val="24"/>
          </w:rPr>
          <w:t>0 – 160 cm</w:t>
        </w:r>
      </w:ins>
      <w:ins w:id="71" w:author="Shawn McMurtrey" w:date="2022-08-19T14:19:00Z">
        <w:r>
          <w:rPr>
            <w:sz w:val="24"/>
            <w:szCs w:val="24"/>
          </w:rPr>
          <w:t>.</w:t>
        </w:r>
      </w:ins>
      <w:ins w:id="72" w:author="Shawn McMurtrey" w:date="2022-08-19T14:13:00Z">
        <w:r>
          <w:rPr>
            <w:sz w:val="24"/>
            <w:szCs w:val="24"/>
          </w:rPr>
          <w:t xml:space="preserve"> </w:t>
        </w:r>
      </w:ins>
      <w:ins w:id="73" w:author="Shawn McMurtrey" w:date="2022-08-19T14:15:00Z">
        <w:r>
          <w:rPr>
            <w:color w:val="000000"/>
            <w:sz w:val="24"/>
            <w:szCs w:val="24"/>
          </w:rPr>
          <w:t xml:space="preserve">Mean annual temperature is </w:t>
        </w:r>
      </w:ins>
      <w:ins w:id="74" w:author="Shawn McMurtrey" w:date="2022-08-31T21:44:00Z">
        <w:r>
          <w:rPr>
            <w:color w:val="000000"/>
            <w:sz w:val="24"/>
            <w:szCs w:val="24"/>
          </w:rPr>
          <w:t>4</w:t>
        </w:r>
      </w:ins>
      <w:ins w:id="75" w:author="Shawn McMurtrey" w:date="2022-08-31T21:45:00Z">
        <w:r>
          <w:rPr>
            <w:rFonts w:ascii="Roboto" w:hAnsi="Roboto"/>
            <w:color w:val="202124"/>
            <w:sz w:val="24"/>
            <w:szCs w:val="24"/>
            <w:shd w:fill="FFFFFF" w:val="clear"/>
          </w:rPr>
          <w:t>°</w:t>
        </w:r>
      </w:ins>
      <w:ins w:id="76" w:author="Shawn McMurtrey" w:date="2022-08-31T21:44:00Z">
        <w:r>
          <w:rPr>
            <w:color w:val="000000"/>
            <w:sz w:val="24"/>
            <w:szCs w:val="24"/>
          </w:rPr>
          <w:t xml:space="preserve"> - </w:t>
        </w:r>
      </w:ins>
      <w:ins w:id="77" w:author="Shawn McMurtrey" w:date="2022-08-31T21:45:00Z">
        <w:r>
          <w:rPr>
            <w:color w:val="000000"/>
            <w:sz w:val="24"/>
            <w:szCs w:val="24"/>
          </w:rPr>
          <w:t>10</w:t>
        </w:r>
      </w:ins>
      <w:ins w:id="78" w:author="Shawn McMurtrey" w:date="2022-08-31T21:45:00Z">
        <w:r>
          <w:rPr>
            <w:rFonts w:ascii="Roboto" w:hAnsi="Roboto"/>
            <w:color w:val="202124"/>
            <w:sz w:val="24"/>
            <w:szCs w:val="24"/>
            <w:shd w:fill="FFFFFF" w:val="clear"/>
          </w:rPr>
          <w:t>°</w:t>
        </w:r>
      </w:ins>
      <w:ins w:id="79" w:author="Shawn McMurtrey" w:date="2022-09-12T06:05:00Z">
        <w:r>
          <w:rPr>
            <w:rFonts w:ascii="Roboto" w:hAnsi="Roboto"/>
            <w:color w:val="202124"/>
            <w:sz w:val="24"/>
            <w:szCs w:val="24"/>
            <w:shd w:fill="FFFFFF" w:val="clear"/>
          </w:rPr>
          <w:t>c</w:t>
        </w:r>
      </w:ins>
      <w:ins w:id="80" w:author="Shawn McMurtrey" w:date="2022-08-19T14:19:00Z">
        <w:r>
          <w:rPr>
            <w:rFonts w:ascii="Roboto" w:hAnsi="Roboto"/>
            <w:color w:val="202124"/>
            <w:sz w:val="24"/>
            <w:szCs w:val="24"/>
            <w:shd w:fill="FFFFFF" w:val="clear"/>
          </w:rPr>
          <w:t xml:space="preserve"> </w:t>
        </w:r>
      </w:ins>
      <w:ins w:id="81" w:author="Shawn McMurtrey" w:date="2022-08-19T14:19:00Z">
        <w:r>
          <w:rPr>
            <w:sz w:val="24"/>
            <w:szCs w:val="24"/>
          </w:rPr>
          <w:t>(</w:t>
        </w:r>
      </w:ins>
      <w:ins w:id="82" w:author="Shawn McMurtrey" w:date="2022-08-19T14:19:00Z">
        <w:r>
          <w:rPr>
            <w:color w:val="000000"/>
            <w:sz w:val="24"/>
            <w:szCs w:val="24"/>
            <w:shd w:fill="FFFFFF" w:val="clear"/>
          </w:rPr>
          <w:t>PRISM Climate Group, Oregon State University, 2018</w:t>
        </w:r>
      </w:ins>
      <w:ins w:id="83" w:author="Shawn McMurtrey" w:date="2022-08-19T14:19:00Z">
        <w:r>
          <w:rPr>
            <w:color w:val="000000"/>
            <w:sz w:val="24"/>
            <w:szCs w:val="24"/>
          </w:rPr>
          <w:t>).</w:t>
        </w:r>
      </w:ins>
      <w:ins w:id="84" w:author="Shawn McMurtrey" w:date="2022-08-19T14:20:00Z">
        <w:r>
          <w:rPr>
            <w:color w:val="000000"/>
            <w:sz w:val="24"/>
            <w:szCs w:val="24"/>
          </w:rPr>
          <w:t xml:space="preserve"> The soil of the study </w:t>
        </w:r>
      </w:ins>
      <w:ins w:id="85" w:author="Shawn McMurtrey" w:date="2022-08-31T21:45:00Z">
        <w:r>
          <w:rPr>
            <w:color w:val="000000"/>
            <w:sz w:val="24"/>
            <w:szCs w:val="24"/>
          </w:rPr>
          <w:t>is</w:t>
        </w:r>
      </w:ins>
      <w:ins w:id="86" w:author="Shawn McMurtrey" w:date="2022-08-19T14:21:00Z">
        <w:r>
          <w:rPr>
            <w:color w:val="000000"/>
            <w:sz w:val="24"/>
            <w:szCs w:val="24"/>
          </w:rPr>
          <w:t xml:space="preserve"> a Bacona silt loam with a surface layer of dark brown silt loam (</w:t>
        </w:r>
      </w:ins>
      <w:ins w:id="87" w:author="Shawn McMurtrey" w:date="2022-08-19T14:23:00Z">
        <w:r>
          <w:rPr>
            <w:color w:val="000000"/>
            <w:sz w:val="24"/>
            <w:szCs w:val="24"/>
          </w:rPr>
          <w:t>Thies &amp; Westlind 2005; Langridge 1987</w:t>
        </w:r>
      </w:ins>
      <w:ins w:id="88" w:author="Shawn McMurtrey" w:date="2022-08-19T14:21:00Z">
        <w:r>
          <w:rPr>
            <w:color w:val="000000"/>
            <w:sz w:val="24"/>
            <w:szCs w:val="24"/>
          </w:rPr>
          <w:t>)</w:t>
        </w:r>
      </w:ins>
      <w:ins w:id="89" w:author="Shawn McMurtrey" w:date="2022-08-19T14:23:00Z">
        <w:r>
          <w:rPr>
            <w:color w:val="000000"/>
            <w:sz w:val="24"/>
            <w:szCs w:val="24"/>
          </w:rPr>
          <w:t>.</w:t>
        </w:r>
      </w:ins>
    </w:p>
    <w:p>
      <w:pPr>
        <w:pStyle w:val="Normal"/>
        <w:spacing w:lineRule="auto" w:line="480"/>
        <w:rPr>
          <w:sz w:val="24"/>
          <w:szCs w:val="24"/>
        </w:rPr>
      </w:pPr>
      <w:r>
        <w:rPr>
          <w:sz w:val="24"/>
          <w:szCs w:val="24"/>
        </w:rPr>
      </w:r>
    </w:p>
    <w:p>
      <w:pPr>
        <w:pStyle w:val="Normal"/>
        <w:spacing w:lineRule="auto" w:line="480"/>
        <w:rPr>
          <w:sz w:val="24"/>
          <w:szCs w:val="24"/>
        </w:rPr>
      </w:pPr>
      <w:ins w:id="90" w:author="Shawn McMurtrey" w:date="2022-08-19T14:25:00Z">
        <w:r>
          <w:rPr>
            <w:sz w:val="24"/>
            <w:szCs w:val="24"/>
          </w:rPr>
          <w:t>Like the Woods Creek study area, t</w:t>
        </w:r>
      </w:ins>
      <w:ins w:id="91" w:author="Shawn McMurtrey" w:date="2022-08-19T14:01:00Z">
        <w:r>
          <w:rPr>
            <w:sz w:val="24"/>
            <w:szCs w:val="24"/>
          </w:rPr>
          <w:t>his location was</w:t>
        </w:r>
      </w:ins>
      <w:ins w:id="92" w:author="Shawn McMurtrey" w:date="2022-08-19T14:26:00Z">
        <w:r>
          <w:rPr>
            <w:sz w:val="24"/>
            <w:szCs w:val="24"/>
          </w:rPr>
          <w:t xml:space="preserve"> also</w:t>
        </w:r>
      </w:ins>
      <w:ins w:id="93" w:author="Shawn McMurtrey" w:date="2022-08-19T14:01:00Z">
        <w:r>
          <w:rPr>
            <w:sz w:val="24"/>
            <w:szCs w:val="24"/>
          </w:rPr>
          <w:t xml:space="preserve"> selected based on high incidence of  LRR.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4" w:author="Shawn McMurtrey" w:date="2022-08-19T14:26:00Z">
        <w:r>
          <w:rPr>
            <w:sz w:val="24"/>
            <w:szCs w:val="24"/>
          </w:rPr>
          <w:t>40 m</w:t>
        </w:r>
      </w:ins>
      <w:del w:id="95"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13"/>
      <w:r>
        <w:rPr>
          <w:rFonts w:eastAsia="NSimSun" w:cs="Lucida Sans"/>
          <w:b/>
          <w:bCs/>
          <w:kern w:val="2"/>
          <w:sz w:val="24"/>
          <w:szCs w:val="24"/>
          <w:lang w:val="en-US" w:eastAsia="zh-CN" w:bidi="hi-IN"/>
        </w:rPr>
        <w:t>Figure 1</w:t>
      </w:r>
      <w:r>
        <w:rPr>
          <w:rFonts w:eastAsia="NSimSun" w:cs="Lucida Sans"/>
          <w:b/>
          <w:bCs/>
          <w:kern w:val="2"/>
          <w:sz w:val="24"/>
          <w:szCs w:val="24"/>
          <w:lang w:val="en-US" w:eastAsia="zh-CN" w:bidi="hi-IN"/>
        </w:rPr>
      </w:r>
      <w:commentRangeEnd w:id="13"/>
      <w:r>
        <w:commentReference w:id="13"/>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6"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rPr>
          <w:b/>
          <w:b/>
          <w:bCs/>
          <w:sz w:val="24"/>
          <w:szCs w:val="24"/>
        </w:rPr>
      </w:pPr>
      <w:r>
        <w:rPr>
          <w:b/>
          <w:bCs/>
          <w:sz w:val="24"/>
          <w:szCs w:val="24"/>
        </w:rPr>
      </w:r>
    </w:p>
    <w:p>
      <w:pPr>
        <w:pStyle w:val="Normal"/>
        <w:spacing w:lineRule="auto" w:line="480"/>
        <w:rPr/>
      </w:pPr>
      <w:r>
        <w:rPr>
          <w:b/>
          <w:bCs/>
          <w:sz w:val="24"/>
          <w:szCs w:val="24"/>
        </w:rPr>
        <w:t>2.2.2 Plot network</w:t>
      </w:r>
    </w:p>
    <w:p>
      <w:pPr>
        <w:pStyle w:val="Normal"/>
        <w:spacing w:lineRule="auto" w:line="48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w:t>
      </w:r>
      <w:ins w:id="97" w:author="Shawn McMurtrey" w:date="2022-09-12T06:02:00Z">
        <w:r>
          <w:rPr>
            <w:rFonts w:eastAsia="NSimSun" w:cs="Lucida Sans"/>
            <w:kern w:val="2"/>
            <w:sz w:val="24"/>
            <w:szCs w:val="24"/>
            <w:lang w:val="en-US" w:eastAsia="zh-CN" w:bidi="hi-IN"/>
          </w:rPr>
          <w:t xml:space="preserve">.02 hectare </w:t>
        </w:r>
      </w:ins>
      <w:del w:id="98"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99" w:author="Shawn McMurtrey" w:date="2022-08-19T14:32:00Z">
        <w:r>
          <w:rPr>
            <w:rFonts w:eastAsia="NSimSun" w:cs="Lucida Sans"/>
            <w:kern w:val="2"/>
            <w:sz w:val="24"/>
            <w:szCs w:val="24"/>
            <w:lang w:val="en-US" w:eastAsia="zh-CN" w:bidi="hi-IN"/>
          </w:rPr>
          <w:delText>26.3’</w:delText>
        </w:r>
      </w:del>
      <w:ins w:id="100"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14"/>
      <w:r>
        <w:rPr>
          <w:rFonts w:eastAsia="NSimSun" w:cs="Lucida Sans"/>
          <w:kern w:val="2"/>
          <w:sz w:val="24"/>
          <w:szCs w:val="24"/>
          <w:lang w:val="en-US" w:eastAsia="zh-CN" w:bidi="hi-IN"/>
        </w:rPr>
        <w:t>radius</w:t>
      </w:r>
      <w:r>
        <w:rPr>
          <w:rFonts w:eastAsia="NSimSun" w:cs="Lucida Sans"/>
          <w:kern w:val="2"/>
          <w:sz w:val="24"/>
          <w:szCs w:val="24"/>
          <w:lang w:val="en-US" w:eastAsia="zh-CN" w:bidi="hi-IN"/>
        </w:rPr>
      </w:r>
      <w:commentRangeEnd w:id="14"/>
      <w:r>
        <w:commentReference w:id="14"/>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101" w:author="Shawn McMurtrey" w:date="2022-08-19T14:32:00Z">
        <w:r>
          <w:rPr>
            <w:rFonts w:eastAsia="NSimSun" w:cs="Lucida Sans"/>
            <w:kern w:val="2"/>
            <w:sz w:val="24"/>
            <w:szCs w:val="24"/>
            <w:lang w:val="en-US" w:eastAsia="zh-CN" w:bidi="hi-IN"/>
          </w:rPr>
          <w:delText>16’</w:delText>
        </w:r>
      </w:del>
      <w:ins w:id="102"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1974 through spring 1975, all plots were stocked at </w:t>
      </w:r>
      <w:ins w:id="103" w:author="Shawn McMurtrey" w:date="2022-08-19T14:33:00Z">
        <w:r>
          <w:rPr>
            <w:rFonts w:eastAsia="NSimSun" w:cs="Lucida Sans"/>
            <w:kern w:val="2"/>
            <w:sz w:val="24"/>
            <w:szCs w:val="24"/>
            <w:lang w:val="en-US" w:eastAsia="zh-CN" w:bidi="hi-IN"/>
          </w:rPr>
          <w:t>2.4m</w:t>
        </w:r>
      </w:ins>
      <w:del w:id="104"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5" w:author="Shawn McMurtrey" w:date="2022-08-19T14:33:00Z">
        <w:r>
          <w:rPr>
            <w:rFonts w:eastAsia="NSimSun" w:cs="Lucida Sans"/>
            <w:kern w:val="2"/>
            <w:sz w:val="24"/>
            <w:szCs w:val="24"/>
            <w:lang w:val="en-US" w:eastAsia="zh-CN" w:bidi="hi-IN"/>
          </w:rPr>
          <w:delText>8’</w:delText>
        </w:r>
      </w:del>
      <w:ins w:id="106"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7" w:author="Shawn McMurtrey" w:date="2022-08-19T14:34:00Z">
        <w:r>
          <w:rPr>
            <w:rFonts w:eastAsia="NSimSun" w:cs="Lucida Sans"/>
            <w:kern w:val="2"/>
            <w:sz w:val="24"/>
            <w:szCs w:val="24"/>
            <w:lang w:val="en-US" w:eastAsia="zh-CN" w:bidi="hi-IN"/>
          </w:rPr>
          <w:t>ce</w:t>
        </w:r>
      </w:ins>
      <w:del w:id="108" w:author="Shawn McMurtrey" w:date="2022-08-19T14:34:00Z">
        <w:r>
          <w:rPr>
            <w:rFonts w:eastAsia="NSimSun" w:cs="Lucida Sans"/>
            <w:kern w:val="2"/>
            <w:sz w:val="24"/>
            <w:szCs w:val="24"/>
            <w:lang w:val="en-US" w:eastAsia="zh-CN" w:bidi="hi-IN"/>
          </w:rPr>
          <w:delText>s</w:delText>
        </w:r>
      </w:del>
      <w:del w:id="109"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pPr>
        <w:pStyle w:val="Normal"/>
        <w:spacing w:lineRule="auto" w:line="480"/>
        <w:rPr>
          <w:rFonts w:eastAsia="NSimSun" w:cs="Lucida Sans"/>
          <w:i/>
          <w:i/>
          <w:iCs/>
          <w:kern w:val="2"/>
          <w:lang w:val="en-US" w:eastAsia="zh-CN" w:bidi="hi-IN"/>
        </w:rPr>
      </w:pPr>
      <w:r>
        <w:rPr>
          <w:rFonts w:eastAsia="NSimSun" w:cs="Lucida Sans"/>
          <w:i/>
          <w:iCs/>
          <w:kern w:val="2"/>
          <w:lang w:val="en-US" w:eastAsia="zh-CN" w:bidi="hi-IN"/>
        </w:rPr>
      </w:r>
    </w:p>
    <w:p>
      <w:pPr>
        <w:pStyle w:val="Normal"/>
        <w:spacing w:lineRule="auto" w:line="480"/>
        <w:rPr/>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10" w:author="Shawn McMurtrey" w:date="2022-08-19T14:34:00Z">
        <w:r>
          <w:rPr>
            <w:rFonts w:eastAsia="NSimSun" w:cs="Lucida Sans"/>
            <w:kern w:val="2"/>
            <w:sz w:val="24"/>
            <w:szCs w:val="24"/>
            <w:lang w:val="en-US" w:eastAsia="zh-CN" w:bidi="hi-IN"/>
          </w:rPr>
          <w:t>2.4m</w:t>
        </w:r>
      </w:ins>
      <w:del w:id="111"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2" w:author="Shawn McMurtrey" w:date="2022-08-19T14:34:00Z">
        <w:r>
          <w:rPr>
            <w:rFonts w:eastAsia="NSimSun" w:cs="Lucida Sans"/>
            <w:kern w:val="2"/>
            <w:sz w:val="24"/>
            <w:szCs w:val="24"/>
            <w:lang w:val="en-US" w:eastAsia="zh-CN" w:bidi="hi-IN"/>
          </w:rPr>
          <w:delText>8’</w:delText>
        </w:r>
      </w:del>
      <w:ins w:id="113"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w:t>
      </w:r>
      <w:del w:id="114" w:author="Shawn McMurtrey" w:date="2022-08-19T14:35:00Z">
        <w:r>
          <w:rPr>
            <w:rFonts w:eastAsia="NSimSun" w:cs="Lucida Sans"/>
            <w:kern w:val="2"/>
            <w:sz w:val="24"/>
            <w:szCs w:val="24"/>
            <w:lang w:val="en-US" w:eastAsia="zh-CN" w:bidi="hi-IN"/>
          </w:rPr>
          <w:delText>8’</w:delText>
        </w:r>
      </w:del>
      <w:ins w:id="11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6" w:author="Shawn McMurtrey" w:date="2022-08-19T14:35:00Z">
        <w:r>
          <w:rPr>
            <w:rFonts w:eastAsia="NSimSun" w:cs="Lucida Sans"/>
            <w:kern w:val="2"/>
            <w:sz w:val="24"/>
            <w:szCs w:val="24"/>
            <w:lang w:val="en-US" w:eastAsia="zh-CN" w:bidi="hi-IN"/>
          </w:rPr>
          <w:delText>8’</w:delText>
        </w:r>
      </w:del>
      <w:ins w:id="117"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pPr>
        <w:pStyle w:val="Normal"/>
        <w:spacing w:lineRule="auto" w:line="480"/>
        <w:rPr>
          <w:rFonts w:eastAsia="NSimSun" w:cs="Lucida Sans"/>
          <w:kern w:val="2"/>
          <w:lang w:val="en-US" w:eastAsia="zh-CN" w:bidi="hi-IN"/>
        </w:rPr>
      </w:pPr>
      <w:r>
        <w:rPr>
          <w:rFonts w:eastAsia="NSimSun" w:cs="Lucida Sans"/>
          <w:kern w:val="2"/>
          <w:lang w:val="en-US" w:eastAsia="zh-CN" w:bidi="hi-IN"/>
        </w:rPr>
      </w:r>
    </w:p>
    <w:p>
      <w:pPr>
        <w:sectPr>
          <w:headerReference w:type="default" r:id="rId1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pPr>
      <w:commentRangeStart w:id="15"/>
      <w:commentRangeStart w:id="16"/>
      <w:r>
        <w:rPr>
          <w:rFonts w:eastAsia="NSimSun" w:cs="Lucida Sans"/>
          <w:kern w:val="2"/>
          <w:sz w:val="24"/>
          <w:szCs w:val="24"/>
          <w:lang w:val="en-US" w:eastAsia="zh-CN" w:bidi="hi-IN"/>
        </w:rPr>
        <w:t>IPC sold site to Stimpson Lumber Company in 1993. Sold to Weyerhauser in 20??</w:t>
      </w:r>
      <w:r>
        <w:rPr>
          <w:rFonts w:eastAsia="NSimSun" w:cs="Lucida Sans"/>
          <w:kern w:val="2"/>
          <w:sz w:val="24"/>
          <w:szCs w:val="24"/>
          <w:lang w:val="en-US" w:eastAsia="zh-CN" w:bidi="hi-IN"/>
        </w:rPr>
      </w:r>
      <w:commentRangeEnd w:id="16"/>
      <w:r>
        <w:commentReference w:id="16"/>
      </w:r>
      <w:commentRangeEnd w:id="15"/>
      <w:r>
        <w:commentReference w:id="15"/>
      </w:r>
      <w:r>
        <w:rPr>
          <w:rFonts w:eastAsia="NSimSun" w:cs="Lucida Sans"/>
          <w:kern w:val="2"/>
          <w:sz w:val="24"/>
          <w:szCs w:val="24"/>
          <w:lang w:val="en-US" w:eastAsia="zh-CN" w:bidi="hi-IN"/>
        </w:rPr>
      </w:r>
    </w:p>
    <w:p>
      <w:pPr>
        <w:pStyle w:val="Normal"/>
        <w:spacing w:lineRule="auto" w:line="480"/>
        <w:rPr>
          <w:b/>
          <w:b/>
          <w:iCs/>
          <w:sz w:val="24"/>
          <w:szCs w:val="24"/>
        </w:rPr>
      </w:pPr>
      <w:r>
        <w:rPr/>
        <w:drawing>
          <wp:inline distT="0" distB="0" distL="0" distR="0">
            <wp:extent cx="7865745" cy="5381625"/>
            <wp:effectExtent l="0" t="0" r="0" b="0"/>
            <wp:docPr id="2"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descr=""/>
                    <pic:cNvPicPr>
                      <a:picLocks noChangeAspect="1" noChangeArrowheads="1"/>
                    </pic:cNvPicPr>
                  </pic:nvPicPr>
                  <pic:blipFill>
                    <a:blip r:embed="rId20"/>
                    <a:stretch>
                      <a:fillRect/>
                    </a:stretch>
                  </pic:blipFill>
                  <pic:spPr bwMode="auto">
                    <a:xfrm>
                      <a:off x="0" y="0"/>
                      <a:ext cx="7865745" cy="5381625"/>
                    </a:xfrm>
                    <a:prstGeom prst="rect">
                      <a:avLst/>
                    </a:prstGeom>
                  </pic:spPr>
                </pic:pic>
              </a:graphicData>
            </a:graphic>
          </wp:inline>
        </w:drawing>
      </w:r>
    </w:p>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iCs/>
          <w:sz w:val="24"/>
          <w:szCs w:val="24"/>
        </w:rPr>
      </w:pPr>
      <w:r>
        <w:rPr>
          <w:b/>
          <w:iCs/>
          <w:sz w:val="24"/>
          <w:szCs w:val="24"/>
        </w:rPr>
        <w:t xml:space="preserve">Figure 2. </w:t>
      </w:r>
      <w:r>
        <w:rPr>
          <w:iCs/>
          <w:sz w:val="24"/>
          <w:szCs w:val="24"/>
        </w:rPr>
        <w:t xml:space="preserve">Hardwood rotation site near Apiary, OR.  </w:t>
      </w:r>
      <w:r>
        <w:rPr>
          <w:iCs/>
          <w:sz w:val="24"/>
          <w:szCs w:val="24"/>
          <w:highlight w:val="yellow"/>
        </w:rPr>
        <w:t>DESCRIPTION</w:t>
      </w:r>
    </w:p>
    <w:p>
      <w:pPr>
        <w:pStyle w:val="Normal"/>
        <w:spacing w:lineRule="auto" w:line="480"/>
        <w:rPr>
          <w:b/>
          <w:b/>
          <w:iCs/>
          <w:sz w:val="24"/>
          <w:szCs w:val="24"/>
        </w:rPr>
      </w:pPr>
      <w:r>
        <w:rPr>
          <w:b/>
          <w:iCs/>
          <w:sz w:val="24"/>
          <w:szCs w:val="24"/>
        </w:rPr>
        <w:t>2.2.3 Data collection</w:t>
      </w:r>
    </w:p>
    <w:p>
      <w:pPr>
        <w:pStyle w:val="Normal"/>
        <w:spacing w:lineRule="auto" w:line="480"/>
        <w:rPr>
          <w:b/>
          <w:b/>
          <w:iCs/>
          <w:sz w:val="24"/>
          <w:szCs w:val="24"/>
        </w:rPr>
      </w:pPr>
      <w:r>
        <w:rPr>
          <w:rFonts w:eastAsia="NSimSun" w:cs="Lucida Sans"/>
          <w:kern w:val="2"/>
          <w:sz w:val="24"/>
          <w:szCs w:val="24"/>
          <w:lang w:val="en-US" w:eastAsia="zh-CN" w:bidi="hi-IN"/>
        </w:rPr>
        <w:t xml:space="preserve">Tree positions were mapped, </w:t>
      </w:r>
      <w:del w:id="11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pPr>
        <w:pStyle w:val="Normal"/>
        <w:spacing w:lineRule="auto" w:line="480"/>
        <w:rPr>
          <w:rFonts w:eastAsia="NSimSun" w:cs="Lucida Sans"/>
          <w:kern w:val="2"/>
          <w:sz w:val="24"/>
          <w:szCs w:val="24"/>
          <w:lang w:val="en-US" w:eastAsia="zh-CN" w:bidi="hi-IN"/>
        </w:rPr>
      </w:pPr>
      <w:r>
        <w:rPr>
          <w:rFonts w:eastAsia="NSimSun" w:cs="Lucida Sans"/>
          <w:kern w:val="2"/>
          <w:sz w:val="24"/>
          <w:szCs w:val="24"/>
          <w:lang w:val="en-US" w:eastAsia="zh-CN" w:bidi="hi-IN"/>
        </w:rPr>
      </w:r>
    </w:p>
    <w:p>
      <w:pPr>
        <w:pStyle w:val="Normal"/>
        <w:spacing w:lineRule="auto" w:line="480"/>
        <w:rPr>
          <w:b/>
          <w:b/>
          <w:iCs/>
          <w:sz w:val="24"/>
          <w:szCs w:val="24"/>
        </w:rPr>
      </w:pPr>
      <w:r>
        <w:rPr>
          <w:b/>
          <w:bCs/>
          <w:iCs/>
          <w:sz w:val="24"/>
          <w:szCs w:val="24"/>
        </w:rPr>
        <w:t>2.2.4 Data cleaning and analysis</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 xml:space="preserve">3. </w:t>
      </w:r>
      <w:commentRangeStart w:id="17"/>
      <w:r>
        <w:rPr>
          <w:b/>
          <w:sz w:val="28"/>
          <w:szCs w:val="28"/>
        </w:rPr>
        <w:t>Results</w:t>
      </w:r>
      <w:commentRangeEnd w:id="17"/>
      <w:r>
        <w:commentReference w:id="17"/>
      </w:r>
      <w:r>
        <w:rPr>
          <w:b/>
          <w:sz w:val="28"/>
          <w:szCs w:val="28"/>
        </w:rPr>
      </w:r>
    </w:p>
    <w:p>
      <w:pPr>
        <w:pStyle w:val="Normal"/>
        <w:spacing w:lineRule="auto" w:line="480"/>
        <w:rPr>
          <w:b/>
          <w:b/>
          <w:iCs/>
          <w:sz w:val="24"/>
          <w:szCs w:val="24"/>
        </w:rPr>
      </w:pPr>
      <w:r>
        <w:rPr>
          <w:b/>
          <w:sz w:val="24"/>
          <w:szCs w:val="24"/>
        </w:rPr>
        <w:t xml:space="preserve">3.1 Species composition </w:t>
      </w:r>
    </w:p>
    <w:p>
      <w:pPr>
        <w:sectPr>
          <w:headerReference w:type="default" r:id="rId22"/>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b/>
          <w:b/>
          <w:iCs/>
          <w:sz w:val="24"/>
          <w:szCs w:val="24"/>
        </w:rPr>
      </w:pPr>
      <w:r>
        <w:rPr>
          <w:sz w:val="24"/>
          <w:szCs w:val="24"/>
        </w:rPr>
        <w:t xml:space="preserve">In 1990, the </w:t>
      </w:r>
      <w:ins w:id="119" w:author="Shawn McMurtrey" w:date="2022-08-19T14:35:00Z">
        <w:r>
          <w:rPr>
            <w:sz w:val="24"/>
            <w:szCs w:val="24"/>
          </w:rPr>
          <w:t xml:space="preserve">Woods Creek </w:t>
        </w:r>
      </w:ins>
      <w:r>
        <w:rPr>
          <w:sz w:val="24"/>
          <w:szCs w:val="24"/>
        </w:rPr>
        <w:t>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0"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121"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122" w:author="Shawn McMurtrey" w:date="2022-08-19T15:00:00Z">
        <w:r>
          <w:rPr>
            <w:sz w:val="24"/>
            <w:szCs w:val="24"/>
          </w:rPr>
          <w:t xml:space="preserve"> </w:t>
        </w:r>
      </w:ins>
      <w:ins w:id="123" w:author="Shawn McMurtrey" w:date="2022-08-19T15:01:00Z">
        <w:r>
          <w:rPr>
            <w:sz w:val="24"/>
            <w:szCs w:val="24"/>
          </w:rPr>
          <w:t xml:space="preserve">the </w:t>
        </w:r>
      </w:ins>
      <w:ins w:id="124" w:author="Shawn McMurtrey" w:date="2022-08-19T15:00:00Z">
        <w:r>
          <w:rPr>
            <w:sz w:val="24"/>
            <w:szCs w:val="24"/>
          </w:rPr>
          <w:t>thinned treat</w:t>
        </w:r>
      </w:ins>
      <w:ins w:id="125"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SE = standard error.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7"/>
        <w:gridCol w:w="775"/>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7"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75"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7"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75"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7"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7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ins w:id="126" w:author="Shawn McMurtrey" w:date="2022-09-13T05:17:00Z">
              <w:r>
                <w:rPr>
                  <w:rFonts w:eastAsia="Times New Roman"/>
                  <w:color w:val="000000" w:themeColor="text1"/>
                  <w:sz w:val="20"/>
                  <w:szCs w:val="20"/>
                  <w:lang w:val="en-US"/>
                </w:rPr>
                <w:t xml:space="preserve"> </w:t>
              </w:r>
            </w:ins>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Change w:id="0" w:author="Shawn McMurtrey" w:date="2022-09-12T05:51:00Z"/>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7"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7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15.99</w:t>
            </w:r>
            <w:ins w:id="128" w:author="Shawn McMurtrey" w:date="2022-09-11T19:01:00Z">
              <w:r>
                <w:rPr>
                  <w:rFonts w:eastAsia="Times New Roman"/>
                  <w:color w:val="000000" w:themeColor="text1"/>
                  <w:sz w:val="20"/>
                  <w:szCs w:val="20"/>
                  <w:lang w:val="en-US"/>
                </w:rPr>
                <w:t xml:space="preserve"> </w:t>
              </w:r>
            </w:ins>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11.9</w:t>
            </w:r>
            <w:ins w:id="129" w:author="Shawn McMurtrey" w:date="2022-09-13T05:18:00Z">
              <w:r>
                <w:rPr>
                  <w:rFonts w:eastAsia="Times New Roman"/>
                  <w:color w:val="000000" w:themeColor="text1"/>
                  <w:sz w:val="20"/>
                  <w:szCs w:val="20"/>
                  <w:lang w:val="en-US"/>
                </w:rPr>
                <w:t xml:space="preserve"> </w:t>
              </w:r>
            </w:ins>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ins w:id="130" w:author="Shawn McMurtrey" w:date="2022-09-13T05:58:00Z">
              <w:r>
                <w:rPr>
                  <w:rFonts w:eastAsia="Times New Roman"/>
                  <w:color w:val="000000" w:themeColor="text1"/>
                  <w:sz w:val="20"/>
                  <w:szCs w:val="20"/>
                  <w:lang w:val="en-US"/>
                </w:rPr>
                <w:t xml:space="preserve"> </w:t>
              </w:r>
            </w:ins>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5.08</w:t>
            </w:r>
            <w:ins w:id="131" w:author="Shawn McMurtrey" w:date="2022-09-12T05:52:00Z">
              <w:r>
                <w:rPr>
                  <w:rFonts w:eastAsia="Times New Roman"/>
                  <w:color w:val="000000" w:themeColor="text1"/>
                  <w:sz w:val="20"/>
                  <w:szCs w:val="20"/>
                  <w:lang w:val="en-US"/>
                </w:rPr>
                <w:t xml:space="preserve"> </w:t>
              </w:r>
            </w:ins>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4.31</w:t>
            </w:r>
            <w:ins w:id="132" w:author="Shawn McMurtrey" w:date="2022-09-13T20:42:00Z">
              <w:r>
                <w:rPr>
                  <w:rFonts w:eastAsia="Times New Roman"/>
                  <w:color w:val="000000" w:themeColor="text1"/>
                  <w:sz w:val="20"/>
                  <w:szCs w:val="20"/>
                  <w:lang w:val="en-US"/>
                </w:rPr>
                <w:t xml:space="preserve"> </w:t>
              </w:r>
            </w:ins>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5.4</w:t>
            </w:r>
          </w:p>
        </w:tc>
      </w:tr>
      <w:tr>
        <w:trPr>
          <w:trHeight w:val="280" w:hRule="atLeast"/>
        </w:trPr>
        <w:tc>
          <w:tcPr>
            <w:tcW w:w="1907"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5"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ins w:id="133" w:author="Shawn McMurtrey" w:date="2022-09-10T10:34:00Z">
              <w:r>
                <w:rPr>
                  <w:rFonts w:eastAsia="Times New Roman"/>
                  <w:color w:val="000000" w:themeColor="text1"/>
                  <w:sz w:val="20"/>
                  <w:szCs w:val="20"/>
                  <w:lang w:val="en-US"/>
                </w:rPr>
                <w:t xml:space="preserve"> </w:t>
              </w:r>
            </w:ins>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ins w:id="134" w:author="Shawn McMurtrey" w:date="2022-09-10T10:37:00Z">
              <w:r>
                <w:rPr>
                  <w:rFonts w:eastAsia="Times New Roman"/>
                  <w:color w:val="000000" w:themeColor="text1"/>
                  <w:sz w:val="20"/>
                  <w:szCs w:val="20"/>
                  <w:lang w:val="en-US"/>
                </w:rPr>
                <w:t xml:space="preserve"> </w:t>
              </w:r>
            </w:ins>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7"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75"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7"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4.14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pPrChange w:id="0" w:author="Shawn McMurtrey" w:date="2022-09-12T05:46: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2.08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pPrChange w:id="0" w:author="Shawn McMurtrey" w:date="2022-09-12T05:54:00Z">
                <w:pPr>
                  <w:jc w:val="center"/>
                  <w:widowControl w:val="false"/>
                  <w:spacing w:lineRule="auto" w:line="480"/>
                </w:pPr>
              </w:pPrChange>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3.4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6.49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2.27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2.02</w:t>
            </w:r>
          </w:p>
        </w:tc>
      </w:tr>
      <w:tr>
        <w:trPr>
          <w:trHeight w:val="280" w:hRule="atLeast"/>
        </w:trPr>
        <w:tc>
          <w:tcPr>
            <w:tcW w:w="1907"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5"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7"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7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7"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3.74</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0.93</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0.62</w:t>
            </w:r>
          </w:p>
        </w:tc>
      </w:tr>
      <w:tr>
        <w:trPr>
          <w:trHeight w:val="280" w:hRule="atLeast"/>
        </w:trPr>
        <w:tc>
          <w:tcPr>
            <w:tcW w:w="1907"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5"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7"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7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7"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7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25.87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7.07</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7.13</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0.88</w:t>
            </w:r>
          </w:p>
        </w:tc>
      </w:tr>
      <w:tr>
        <w:trPr>
          <w:trHeight w:val="300" w:hRule="atLeast"/>
        </w:trPr>
        <w:tc>
          <w:tcPr>
            <w:tcW w:w="1907"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75"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206</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7"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7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trPr>
          <w:trHeight w:val="290" w:hRule="atLeast"/>
        </w:trPr>
        <w:tc>
          <w:tcPr>
            <w:tcW w:w="1907"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75"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SE</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trPr>
          <w:trHeight w:val="300" w:hRule="atLeast"/>
        </w:trPr>
        <w:tc>
          <w:tcPr>
            <w:tcW w:w="1907"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75"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7"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7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Pr>
    </w:p>
    <w:p>
      <w:pPr>
        <w:pStyle w:val="Normal"/>
        <w:spacing w:lineRule="auto" w:line="480"/>
        <w:rPr>
          <w:sz w:val="24"/>
          <w:szCs w:val="24"/>
        </w:rPr>
      </w:pPr>
      <w:r>
        <w:rPr>
          <w:b/>
          <w:sz w:val="24"/>
          <w:szCs w:val="24"/>
        </w:rPr>
        <w:t>3.2 Statistical analysis</w:t>
      </w:r>
    </w:p>
    <w:p>
      <w:pPr>
        <w:pStyle w:val="Normal"/>
        <w:spacing w:lineRule="auto" w:line="480"/>
        <w:rPr>
          <w:sz w:val="24"/>
          <w:szCs w:val="24"/>
        </w:rPr>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722"/>
        <w:gridCol w:w="1485"/>
        <w:gridCol w:w="1555"/>
        <w:gridCol w:w="1585"/>
        <w:gridCol w:w="1578"/>
        <w:gridCol w:w="1424"/>
      </w:tblGrid>
      <w:tr>
        <w:trPr/>
        <w:tc>
          <w:tcPr>
            <w:tcW w:w="1722"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4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0.629</w:t>
            </w:r>
          </w:p>
        </w:tc>
      </w:tr>
      <w:tr>
        <w:trPr/>
        <w:tc>
          <w:tcPr>
            <w:tcW w:w="1722"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4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4"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Prevalence rate of root disease </w:t>
      </w:r>
    </w:p>
    <w:p>
      <w:pPr>
        <w:pStyle w:val="Normal"/>
        <w:spacing w:lineRule="auto" w:line="480"/>
        <w:rPr>
          <w:sz w:val="24"/>
          <w:szCs w:val="24"/>
        </w:rPr>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8"/>
      <w:commentRangeStart w:id="19"/>
      <w:commentRangeStart w:id="20"/>
      <w:commentRangeStart w:id="21"/>
      <w:r>
        <w:rPr>
          <w:sz w:val="24"/>
          <w:szCs w:val="24"/>
          <w:highlight w:val="white"/>
        </w:rPr>
        <w:t xml:space="preserve">Total tree mortality from LRR in </w:t>
      </w:r>
      <w:ins w:id="135" w:author="Shawn McMurtrey" w:date="2022-08-19T14:54:00Z">
        <w:r>
          <w:rPr>
            <w:sz w:val="24"/>
            <w:szCs w:val="24"/>
            <w:highlight w:val="white"/>
          </w:rPr>
          <w:t xml:space="preserve">unthinned </w:t>
        </w:r>
      </w:ins>
      <w:r>
        <w:rPr>
          <w:sz w:val="24"/>
          <w:szCs w:val="24"/>
          <w:highlight w:val="white"/>
        </w:rPr>
        <w:t xml:space="preserve">stands was 25.4% (n = 92/361), 36.9% (n=72/195) in </w:t>
      </w:r>
      <w:ins w:id="136" w:author="Shawn McMurtrey" w:date="2022-08-19T14:58:00Z">
        <w:r>
          <w:rPr>
            <w:sz w:val="24"/>
            <w:szCs w:val="24"/>
            <w:highlight w:val="white"/>
          </w:rPr>
          <w:t>the stands that were lightly t</w:t>
        </w:r>
      </w:ins>
      <w:ins w:id="137" w:author="Shawn McMurtrey" w:date="2022-08-19T14:59:00Z">
        <w:r>
          <w:rPr>
            <w:sz w:val="24"/>
            <w:szCs w:val="24"/>
            <w:highlight w:val="white"/>
          </w:rPr>
          <w:t>hinned</w:t>
        </w:r>
      </w:ins>
      <w:r>
        <w:rPr>
          <w:sz w:val="24"/>
          <w:szCs w:val="24"/>
          <w:highlight w:val="white"/>
        </w:rPr>
        <w:t xml:space="preserve">, and 34.8% (n = 60/172) in </w:t>
      </w:r>
      <w:ins w:id="138"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r>
        <w:rPr>
          <w:sz w:val="24"/>
          <w:szCs w:val="24"/>
          <w:highlight w:val="white"/>
        </w:rPr>
      </w:r>
      <w:commentRangeEnd w:id="21"/>
      <w:r>
        <w:commentReference w:id="21"/>
      </w:r>
      <w:r>
        <w:rPr>
          <w:sz w:val="24"/>
          <w:szCs w:val="24"/>
          <w:highlight w:val="white"/>
        </w:rPr>
      </w:r>
      <w:commentRangeEnd w:id="20"/>
      <w:r>
        <w:commentReference w:id="20"/>
      </w:r>
      <w:r>
        <w:rPr>
          <w:sz w:val="24"/>
          <w:szCs w:val="24"/>
          <w:highlight w:val="white"/>
        </w:rPr>
      </w:r>
      <w:commentRangeEnd w:id="19"/>
      <w:r>
        <w:commentReference w:id="19"/>
      </w:r>
      <w:commentRangeEnd w:id="18"/>
      <w:r>
        <w:commentReference w:id="18"/>
      </w:r>
      <w:r>
        <w:rPr>
          <w:sz w:val="24"/>
          <w:szCs w:val="24"/>
          <w:highlight w:val="white"/>
        </w:rPr>
      </w:r>
    </w:p>
    <w:p>
      <w:pPr>
        <w:pStyle w:val="Normal"/>
        <w:spacing w:lineRule="auto" w:line="480"/>
        <w:rPr>
          <w:sz w:val="24"/>
          <w:szCs w:val="24"/>
        </w:rPr>
      </w:pPr>
      <w:r>
        <w:rPr>
          <w:sz w:val="24"/>
          <w:szCs w:val="24"/>
        </w:rPr>
      </w:r>
    </w:p>
    <w:p>
      <w:pPr>
        <w:pStyle w:val="Normal"/>
        <w:spacing w:lineRule="auto" w:line="480"/>
        <w:rPr>
          <w:sz w:val="24"/>
          <w:szCs w:val="24"/>
        </w:rPr>
      </w:pPr>
      <w:r>
        <w:rPr/>
      </w:r>
    </w:p>
    <w:p>
      <w:pPr>
        <w:pStyle w:val="Normal"/>
        <w:spacing w:lineRule="auto" w:line="480"/>
        <w:rPr>
          <w:sz w:val="24"/>
          <w:szCs w:val="24"/>
        </w:rPr>
      </w:pPr>
      <w:commentRangeStart w:id="22"/>
      <w:r>
        <w:rPr/>
        <w:drawing>
          <wp:inline distT="0" distB="0" distL="0" distR="0">
            <wp:extent cx="5943600" cy="297180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24"/>
                    <a:stretch>
                      <a:fillRect/>
                    </a:stretch>
                  </pic:blipFill>
                  <pic:spPr bwMode="auto">
                    <a:xfrm>
                      <a:off x="0" y="0"/>
                      <a:ext cx="5943600" cy="2971800"/>
                    </a:xfrm>
                    <a:prstGeom prst="rect">
                      <a:avLst/>
                    </a:prstGeom>
                  </pic:spPr>
                </pic:pic>
              </a:graphicData>
            </a:graphic>
          </wp:inline>
        </w:drawing>
      </w:r>
      <w:commentRangeEnd w:id="22"/>
      <w:r>
        <w:commentReference w:id="22"/>
      </w:r>
      <w:r>
        <w:rPr/>
      </w:r>
    </w:p>
    <w:p>
      <w:pPr>
        <w:pStyle w:val="Normal"/>
        <w:spacing w:lineRule="auto" w:line="480"/>
        <w:rPr>
          <w:sz w:val="24"/>
          <w:szCs w:val="24"/>
        </w:rPr>
      </w:pPr>
      <w:r>
        <w:rPr/>
      </w:r>
    </w:p>
    <w:p>
      <w:pPr>
        <w:pStyle w:val="Normal"/>
        <w:spacing w:lineRule="auto" w:line="480"/>
        <w:rPr>
          <w:sz w:val="24"/>
          <w:szCs w:val="24"/>
        </w:rPr>
      </w:pPr>
      <w:commentRangeStart w:id="23"/>
      <w:r>
        <w:rPr/>
        <w:drawing>
          <wp:inline distT="0" distB="0" distL="0" distR="0">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25"/>
                    <a:stretch>
                      <a:fillRect/>
                    </a:stretch>
                  </pic:blipFill>
                  <pic:spPr bwMode="auto">
                    <a:xfrm>
                      <a:off x="0" y="0"/>
                      <a:ext cx="5943600" cy="5943600"/>
                    </a:xfrm>
                    <a:prstGeom prst="rect">
                      <a:avLst/>
                    </a:prstGeom>
                  </pic:spPr>
                </pic:pic>
              </a:graphicData>
            </a:graphic>
          </wp:inline>
        </w:drawing>
      </w:r>
      <w:commentRangeEnd w:id="23"/>
      <w:r>
        <w:commentReference w:id="23"/>
      </w:r>
      <w:r>
        <w:rPr/>
      </w:r>
    </w:p>
    <w:p>
      <w:pPr>
        <w:pStyle w:val="Normal"/>
        <w:spacing w:lineRule="auto" w:line="480"/>
        <w:rPr>
          <w:sz w:val="24"/>
          <w:szCs w:val="24"/>
        </w:rPr>
      </w:pPr>
      <w:r>
        <w:rPr>
          <w:b/>
          <w:sz w:val="24"/>
          <w:szCs w:val="24"/>
        </w:rPr>
        <w:t xml:space="preserve">Figure 2: </w:t>
      </w:r>
      <w:r>
        <w:rPr>
          <w:sz w:val="24"/>
          <w:szCs w:val="24"/>
        </w:rPr>
        <w:t xml:space="preserve">Percent of total tree mortality from LRR at initial and final time points.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 xml:space="preserve">LRR was found within at least 40% of the plots in all 15 of the total stands. Laminated root rot had been found within 100% of the plots by the conclusion of the study in two of the  </w:t>
      </w:r>
      <w:ins w:id="139" w:author="Shawn McMurtrey" w:date="2022-08-19T14:54:00Z">
        <w:r>
          <w:rPr>
            <w:sz w:val="24"/>
            <w:szCs w:val="24"/>
          </w:rPr>
          <w:t xml:space="preserve">unthinned </w:t>
        </w:r>
      </w:ins>
      <w:r>
        <w:rPr>
          <w:sz w:val="24"/>
          <w:szCs w:val="24"/>
        </w:rPr>
        <w:t>stands, two of the stands</w:t>
      </w:r>
      <w:ins w:id="140" w:author="Shawn McMurtrey" w:date="2022-08-19T14:59:00Z">
        <w:r>
          <w:rPr>
            <w:sz w:val="24"/>
            <w:szCs w:val="24"/>
          </w:rPr>
          <w:t xml:space="preserve"> with light thinning</w:t>
        </w:r>
      </w:ins>
      <w:r>
        <w:rPr>
          <w:sz w:val="24"/>
          <w:szCs w:val="24"/>
        </w:rPr>
        <w:t xml:space="preserve">, and one of the </w:t>
      </w:r>
      <w:ins w:id="141" w:author="Shawn McMurtrey" w:date="2022-08-19T15:01:00Z">
        <w:r>
          <w:rPr>
            <w:sz w:val="24"/>
            <w:szCs w:val="24"/>
          </w:rPr>
          <w:t>thinned</w:t>
        </w:r>
      </w:ins>
      <w:r>
        <w:rPr>
          <w:sz w:val="24"/>
          <w:szCs w:val="24"/>
        </w:rPr>
        <w:t xml:space="preserve"> 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vertAlign w:val="superscript"/>
        </w:rPr>
        <w:t>-1</w:t>
      </w:r>
      <w:r>
        <w:rPr>
          <w:sz w:val="24"/>
          <w:szCs w:val="24"/>
        </w:rPr>
        <w:t>)</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sz w:val="24"/>
          <w:szCs w:val="24"/>
          <w:highlight w:val="white"/>
        </w:rPr>
      </w:pPr>
      <w:r>
        <w:rPr>
          <w:sz w:val="24"/>
          <w:szCs w:val="24"/>
          <w:highlight w:val="white"/>
        </w:rPr>
      </w:r>
    </w:p>
    <w:tbl>
      <w:tblPr>
        <w:tblW w:w="9360" w:type="dxa"/>
        <w:jc w:val="left"/>
        <w:tblInd w:w="22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698"/>
        <w:gridCol w:w="1709"/>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Observed</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FVS </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b/>
                <w:bCs/>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78.19903</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90.70344</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76.84222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52.38183</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64.05731</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51.80894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Thin</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61.32331</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68.29341</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color w:val="000000"/>
              </w:rPr>
            </w:pPr>
            <w:r>
              <w:rPr>
                <w:color w:val="000000"/>
              </w:rPr>
              <w:t>58.83134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191.90417</w:t>
            </w:r>
          </w:p>
        </w:tc>
        <w:tc>
          <w:tcPr>
            <w:tcW w:w="1698"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223.05416</w:t>
            </w:r>
          </w:p>
        </w:tc>
        <w:tc>
          <w:tcPr>
            <w:tcW w:w="170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r>
              <w:rPr>
                <w:rFonts w:eastAsia="Times New Roman"/>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lang w:val="en-US"/>
              </w:rPr>
            </w:pPr>
            <w:commentRangeStart w:id="24"/>
            <w:r>
              <w:rPr>
                <w:rFonts w:eastAsia="Times New Roman"/>
                <w:lang w:val="en-US"/>
              </w:rPr>
              <w:t>83% (n = 62/75) </w:t>
            </w:r>
            <w:commentRangeEnd w:id="24"/>
            <w:r>
              <w:commentReference w:id="24"/>
            </w:r>
            <w:r>
              <w:rPr>
                <w:rFonts w:eastAsia="Times New Roman"/>
                <w:lang w:val="en-US"/>
              </w:rPr>
            </w:r>
          </w:p>
        </w:tc>
      </w:tr>
    </w:tbl>
    <w:p>
      <w:pPr>
        <w:pStyle w:val="Normal"/>
        <w:spacing w:lineRule="auto" w:line="480"/>
        <w:rPr>
          <w:sz w:val="24"/>
          <w:szCs w:val="24"/>
        </w:rPr>
      </w:pPr>
      <w:r>
        <w:rPr>
          <w:sz w:val="24"/>
          <w:szCs w:val="24"/>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rPr>
          <w:sz w:val="24"/>
          <w:szCs w:val="24"/>
        </w:rPr>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25"/>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5"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ins w:id="142" w:author="Shawn McMurtrey" w:date="2022-08-15T05:43:00Z"/>
        </w:rPr>
      </w:pPr>
      <w:commentRangeStart w:id="26"/>
      <w:r>
        <w:rPr/>
        <w:drawing>
          <wp:inline distT="0" distB="0" distL="0" distR="0">
            <wp:extent cx="5943600" cy="3390900"/>
            <wp:effectExtent l="0" t="0" r="0" b="0"/>
            <wp:docPr id="7"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pic:cNvPicPr>
                      <a:picLocks noChangeAspect="1" noChangeArrowheads="1"/>
                    </pic:cNvPicPr>
                  </pic:nvPicPr>
                  <pic:blipFill>
                    <a:blip r:embed="rId28"/>
                    <a:stretch>
                      <a:fillRect/>
                    </a:stretch>
                  </pic:blipFill>
                  <pic:spPr bwMode="auto">
                    <a:xfrm>
                      <a:off x="0" y="0"/>
                      <a:ext cx="5943600" cy="3390900"/>
                    </a:xfrm>
                    <a:prstGeom prst="rect">
                      <a:avLst/>
                    </a:prstGeom>
                  </pic:spPr>
                </pic:pic>
              </a:graphicData>
            </a:graphic>
          </wp:inline>
        </w:drawing>
      </w:r>
      <w:commentRangeEnd w:id="26"/>
      <w:r>
        <w:commentReference w:id="26"/>
      </w:r>
      <w:r>
        <w:rPr/>
      </w:r>
    </w:p>
    <w:p>
      <w:pPr>
        <w:sectPr>
          <w:headerReference w:type="default" r:id="rId2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3:</w:t>
      </w:r>
      <w:r>
        <w:rPr>
          <w:sz w:val="24"/>
          <w:szCs w:val="24"/>
        </w:rPr>
        <w:t xml:space="preserve"> Definitive data compared with modelled data depicting mean basal area of the 15 stands. A = </w:t>
      </w:r>
      <w:ins w:id="143" w:author="Shawn McMurtrey" w:date="2022-08-15T05:48:00Z">
        <w:r>
          <w:rPr>
            <w:sz w:val="24"/>
            <w:szCs w:val="24"/>
          </w:rPr>
          <w:t>unthinned</w:t>
        </w:r>
      </w:ins>
      <w:r>
        <w:rPr>
          <w:sz w:val="24"/>
          <w:szCs w:val="24"/>
        </w:rPr>
        <w:t xml:space="preserve"> stands, B = </w:t>
      </w:r>
      <w:ins w:id="144" w:author="Shawn McMurtrey" w:date="2022-08-15T05:49:00Z">
        <w:r>
          <w:rPr>
            <w:sz w:val="24"/>
            <w:szCs w:val="24"/>
          </w:rPr>
          <w:t>light</w:t>
        </w:r>
      </w:ins>
      <w:r>
        <w:rPr>
          <w:sz w:val="24"/>
          <w:szCs w:val="24"/>
        </w:rPr>
        <w:t>ly</w:t>
      </w:r>
      <w:ins w:id="145" w:author="Shawn McMurtrey" w:date="2022-08-15T05:49:00Z">
        <w:r>
          <w:rPr>
            <w:sz w:val="24"/>
            <w:szCs w:val="24"/>
          </w:rPr>
          <w:t xml:space="preserve"> thin</w:t>
        </w:r>
      </w:ins>
      <w:r>
        <w:rPr>
          <w:sz w:val="24"/>
          <w:szCs w:val="24"/>
        </w:rPr>
        <w:t xml:space="preserve">ned stands, C = </w:t>
      </w:r>
      <w:ins w:id="146" w:author="Shawn McMurtrey" w:date="2022-08-15T05:49:00Z">
        <w:r>
          <w:rPr>
            <w:sz w:val="24"/>
            <w:szCs w:val="24"/>
          </w:rPr>
          <w:t>thinned</w:t>
        </w:r>
      </w:ins>
      <w:r>
        <w:rPr>
          <w:sz w:val="24"/>
          <w:szCs w:val="24"/>
        </w:rPr>
        <w:t xml:space="preserve"> stands. </w:t>
      </w:r>
      <w:ins w:id="147" w:author="Shawn McMurtrey" w:date="2022-08-15T05:52:00Z">
        <w:r>
          <w:rPr>
            <w:sz w:val="24"/>
            <w:szCs w:val="24"/>
          </w:rPr>
          <w:t>Error bars are representative of the standard error.</w:t>
        </w:r>
      </w:ins>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w:t>
      </w:r>
      <w:r>
        <w:rPr>
          <w:b/>
          <w:sz w:val="24"/>
          <w:szCs w:val="24"/>
        </w:rPr>
        <w:t>4</w:t>
      </w:r>
      <w:r>
        <w:rPr>
          <w:sz w:val="24"/>
          <w:szCs w:val="24"/>
        </w:rPr>
        <w:t xml:space="preserve">: </w:t>
      </w:r>
      <w:del w:id="148" w:author="Shawn McMurtrey" w:date="2022-09-11T19:07:00Z">
        <w:r>
          <w:rPr>
            <w:sz w:val="24"/>
            <w:szCs w:val="24"/>
          </w:rPr>
          <w:delText>I</w:delText>
        </w:r>
      </w:del>
      <w:r>
        <w:rPr>
          <w:sz w:val="24"/>
          <w:szCs w:val="24"/>
        </w:rPr>
        <w:t xml:space="preserve">Stand level summary statistics for the Apiary study. SE = standard error.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45"/>
        <w:gridCol w:w="603"/>
        <w:gridCol w:w="631"/>
        <w:gridCol w:w="661"/>
        <w:gridCol w:w="630"/>
        <w:gridCol w:w="80"/>
        <w:gridCol w:w="608"/>
        <w:gridCol w:w="635"/>
        <w:gridCol w:w="631"/>
        <w:gridCol w:w="629"/>
        <w:gridCol w:w="91"/>
        <w:gridCol w:w="629"/>
        <w:gridCol w:w="630"/>
        <w:gridCol w:w="631"/>
        <w:gridCol w:w="629"/>
        <w:gridCol w:w="91"/>
        <w:gridCol w:w="629"/>
        <w:gridCol w:w="631"/>
        <w:gridCol w:w="629"/>
        <w:gridCol w:w="631"/>
        <w:gridCol w:w="90"/>
        <w:gridCol w:w="629"/>
        <w:gridCol w:w="631"/>
        <w:gridCol w:w="629"/>
        <w:gridCol w:w="717"/>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2525"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80" w:type="dxa"/>
            <w:tcBorders>
              <w:top w:val="single" w:sz="4" w:space="0" w:color="000000"/>
            </w:tcBorders>
            <w:vAlign w:val="bottom"/>
          </w:tcPr>
          <w:p>
            <w:pPr>
              <w:pStyle w:val="Normal"/>
              <w:widowControl w:val="false"/>
              <w:rPr>
                <w:sz w:val="20"/>
                <w:szCs w:val="20"/>
              </w:rPr>
            </w:pPr>
            <w:r>
              <w:rPr>
                <w:sz w:val="20"/>
                <w:szCs w:val="20"/>
              </w:rPr>
            </w:r>
          </w:p>
        </w:tc>
        <w:tc>
          <w:tcPr>
            <w:tcW w:w="250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1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0"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0" w:type="dxa"/>
            <w:tcBorders>
              <w:top w:val="single" w:sz="4" w:space="0" w:color="000000"/>
            </w:tcBorders>
            <w:vAlign w:val="center"/>
          </w:tcPr>
          <w:p>
            <w:pPr>
              <w:pStyle w:val="Normal"/>
              <w:widowControl w:val="false"/>
              <w:rPr>
                <w:sz w:val="20"/>
                <w:szCs w:val="20"/>
              </w:rPr>
            </w:pPr>
            <w:r>
              <w:rPr>
                <w:sz w:val="20"/>
                <w:szCs w:val="20"/>
              </w:rPr>
            </w:r>
          </w:p>
        </w:tc>
        <w:tc>
          <w:tcPr>
            <w:tcW w:w="2606"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 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Year</w:t>
            </w:r>
          </w:p>
        </w:tc>
        <w:tc>
          <w:tcPr>
            <w:tcW w:w="603"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80" w:type="dxa"/>
            <w:tcBorders/>
            <w:vAlign w:val="bottom"/>
          </w:tcPr>
          <w:p>
            <w:pPr>
              <w:pStyle w:val="Normal"/>
              <w:widowControl w:val="false"/>
              <w:jc w:val="right"/>
              <w:rPr>
                <w:sz w:val="20"/>
                <w:szCs w:val="20"/>
              </w:rPr>
            </w:pPr>
            <w:r>
              <w:rPr>
                <w:sz w:val="20"/>
                <w:szCs w:val="20"/>
              </w:rPr>
            </w:r>
          </w:p>
        </w:tc>
        <w:tc>
          <w:tcPr>
            <w:tcW w:w="608"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9"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0" w:type="dxa"/>
            <w:tcBorders>
              <w:top w:val="single" w:sz="4" w:space="0" w:color="000000"/>
            </w:tcBorders>
            <w:vAlign w:val="bottom"/>
          </w:tcPr>
          <w:p>
            <w:pPr>
              <w:pStyle w:val="Normal"/>
              <w:widowControl w:val="false"/>
              <w:jc w:val="right"/>
              <w:rPr>
                <w:sz w:val="20"/>
                <w:szCs w:val="20"/>
              </w:rPr>
            </w:pPr>
            <w:r>
              <w:rPr>
                <w:sz w:val="20"/>
                <w:szCs w:val="20"/>
              </w:rPr>
              <w:t>1995</w:t>
            </w:r>
          </w:p>
        </w:tc>
        <w:tc>
          <w:tcPr>
            <w:tcW w:w="631" w:type="dxa"/>
            <w:tcBorders>
              <w:top w:val="single" w:sz="4" w:space="0" w:color="000000"/>
            </w:tcBorders>
            <w:vAlign w:val="bottom"/>
          </w:tcPr>
          <w:p>
            <w:pPr>
              <w:pStyle w:val="Normal"/>
              <w:widowControl w:val="false"/>
              <w:jc w:val="right"/>
              <w:rPr>
                <w:sz w:val="20"/>
                <w:szCs w:val="20"/>
              </w:rPr>
            </w:pPr>
            <w:r>
              <w:rPr>
                <w:sz w:val="20"/>
                <w:szCs w:val="20"/>
              </w:rPr>
              <w:t>2011</w:t>
            </w:r>
          </w:p>
        </w:tc>
        <w:tc>
          <w:tcPr>
            <w:tcW w:w="629"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717"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Age</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1" w:type="dxa"/>
            <w:tcBorders>
              <w:bottom w:val="single" w:sz="4" w:space="0" w:color="000000"/>
            </w:tcBorders>
            <w:vAlign w:val="bottom"/>
          </w:tcPr>
          <w:p>
            <w:pPr>
              <w:pStyle w:val="Normal"/>
              <w:widowControl w:val="false"/>
              <w:jc w:val="right"/>
              <w:rPr>
                <w:sz w:val="20"/>
                <w:szCs w:val="20"/>
              </w:rPr>
            </w:pPr>
            <w:r>
              <w:rPr>
                <w:sz w:val="20"/>
                <w:szCs w:val="20"/>
              </w:rPr>
              <w:t>24</w:t>
            </w:r>
          </w:p>
        </w:tc>
        <w:tc>
          <w:tcPr>
            <w:tcW w:w="630" w:type="dxa"/>
            <w:tcBorders>
              <w:bottom w:val="single" w:sz="4" w:space="0" w:color="000000"/>
            </w:tcBorders>
            <w:vAlign w:val="bottom"/>
          </w:tcPr>
          <w:p>
            <w:pPr>
              <w:pStyle w:val="Normal"/>
              <w:widowControl w:val="false"/>
              <w:jc w:val="right"/>
              <w:rPr>
                <w:sz w:val="20"/>
                <w:szCs w:val="20"/>
              </w:rPr>
            </w:pPr>
            <w:r>
              <w:rPr>
                <w:sz w:val="20"/>
                <w:szCs w:val="20"/>
              </w:rPr>
              <w:t>33</w:t>
            </w:r>
          </w:p>
        </w:tc>
        <w:tc>
          <w:tcPr>
            <w:tcW w:w="80" w:type="dxa"/>
            <w:tcBorders/>
            <w:vAlign w:val="bottom"/>
          </w:tcPr>
          <w:p>
            <w:pPr>
              <w:pStyle w:val="Normal"/>
              <w:widowControl w:val="false"/>
              <w:jc w:val="right"/>
              <w:rPr>
                <w:sz w:val="20"/>
                <w:szCs w:val="20"/>
              </w:rPr>
            </w:pPr>
            <w:r>
              <w:rPr>
                <w:sz w:val="20"/>
                <w:szCs w:val="20"/>
              </w:rPr>
            </w:r>
          </w:p>
        </w:tc>
        <w:tc>
          <w:tcPr>
            <w:tcW w:w="60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1" w:type="dxa"/>
            <w:tcBorders>
              <w:bottom w:val="single" w:sz="4" w:space="0" w:color="000000"/>
            </w:tcBorders>
            <w:vAlign w:val="bottom"/>
          </w:tcPr>
          <w:p>
            <w:pPr>
              <w:pStyle w:val="Normal"/>
              <w:widowControl w:val="false"/>
              <w:jc w:val="right"/>
              <w:rPr>
                <w:sz w:val="20"/>
                <w:szCs w:val="20"/>
              </w:rPr>
            </w:pPr>
            <w:r>
              <w:rPr>
                <w:sz w:val="20"/>
                <w:szCs w:val="20"/>
              </w:rPr>
              <w:t>24</w:t>
            </w:r>
          </w:p>
        </w:tc>
        <w:tc>
          <w:tcPr>
            <w:tcW w:w="629" w:type="dxa"/>
            <w:tcBorders>
              <w:bottom w:val="single" w:sz="4" w:space="0" w:color="000000"/>
            </w:tcBorders>
            <w:vAlign w:val="bottom"/>
          </w:tcPr>
          <w:p>
            <w:pPr>
              <w:pStyle w:val="Normal"/>
              <w:widowControl w:val="false"/>
              <w:jc w:val="right"/>
              <w:rPr>
                <w:sz w:val="20"/>
                <w:szCs w:val="20"/>
              </w:rPr>
            </w:pPr>
            <w:r>
              <w:rPr>
                <w:sz w:val="20"/>
                <w:szCs w:val="20"/>
              </w:rPr>
              <w:t>33</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11</w:t>
            </w:r>
          </w:p>
        </w:tc>
        <w:tc>
          <w:tcPr>
            <w:tcW w:w="629"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0"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717"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mean</w:t>
            </w:r>
          </w:p>
        </w:tc>
        <w:tc>
          <w:tcPr>
            <w:tcW w:w="603"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1" w:type="dxa"/>
            <w:tcBorders>
              <w:top w:val="single" w:sz="4" w:space="0" w:color="000000"/>
            </w:tcBorders>
            <w:vAlign w:val="bottom"/>
          </w:tcPr>
          <w:p>
            <w:pPr>
              <w:pStyle w:val="Normal"/>
              <w:widowControl w:val="false"/>
              <w:jc w:val="right"/>
              <w:rPr>
                <w:sz w:val="20"/>
                <w:szCs w:val="20"/>
              </w:rPr>
            </w:pPr>
            <w:r>
              <w:rPr>
                <w:sz w:val="20"/>
                <w:szCs w:val="20"/>
              </w:rPr>
              <w:t>106.7</w:t>
            </w:r>
          </w:p>
        </w:tc>
        <w:tc>
          <w:tcPr>
            <w:tcW w:w="630" w:type="dxa"/>
            <w:tcBorders>
              <w:top w:val="single" w:sz="4" w:space="0" w:color="000000"/>
            </w:tcBorders>
            <w:vAlign w:val="bottom"/>
          </w:tcPr>
          <w:p>
            <w:pPr>
              <w:pStyle w:val="Normal"/>
              <w:widowControl w:val="false"/>
              <w:jc w:val="right"/>
              <w:rPr>
                <w:sz w:val="20"/>
                <w:szCs w:val="20"/>
              </w:rPr>
            </w:pPr>
            <w:r>
              <w:rPr>
                <w:sz w:val="20"/>
                <w:szCs w:val="20"/>
              </w:rPr>
              <w:t>57.0</w:t>
            </w:r>
          </w:p>
        </w:tc>
        <w:tc>
          <w:tcPr>
            <w:tcW w:w="80" w:type="dxa"/>
            <w:tcBorders/>
            <w:vAlign w:val="bottom"/>
          </w:tcPr>
          <w:p>
            <w:pPr>
              <w:pStyle w:val="Normal"/>
              <w:widowControl w:val="false"/>
              <w:jc w:val="right"/>
              <w:rPr>
                <w:sz w:val="20"/>
                <w:szCs w:val="20"/>
              </w:rPr>
            </w:pPr>
            <w:r>
              <w:rPr>
                <w:sz w:val="20"/>
                <w:szCs w:val="20"/>
              </w:rPr>
            </w:r>
          </w:p>
        </w:tc>
        <w:tc>
          <w:tcPr>
            <w:tcW w:w="608"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1" w:type="dxa"/>
            <w:tcBorders>
              <w:top w:val="single" w:sz="4" w:space="0" w:color="000000"/>
            </w:tcBorders>
            <w:vAlign w:val="bottom"/>
          </w:tcPr>
          <w:p>
            <w:pPr>
              <w:pStyle w:val="Normal"/>
              <w:widowControl w:val="false"/>
              <w:jc w:val="right"/>
              <w:rPr>
                <w:sz w:val="20"/>
                <w:szCs w:val="20"/>
              </w:rPr>
            </w:pPr>
            <w:r>
              <w:rPr>
                <w:sz w:val="20"/>
                <w:szCs w:val="20"/>
              </w:rPr>
              <w:t>127.0</w:t>
            </w:r>
          </w:p>
        </w:tc>
        <w:tc>
          <w:tcPr>
            <w:tcW w:w="629" w:type="dxa"/>
            <w:tcBorders>
              <w:top w:val="single" w:sz="4" w:space="0" w:color="000000"/>
            </w:tcBorders>
            <w:vAlign w:val="bottom"/>
          </w:tcPr>
          <w:p>
            <w:pPr>
              <w:pStyle w:val="Normal"/>
              <w:widowControl w:val="false"/>
              <w:jc w:val="right"/>
              <w:rPr>
                <w:sz w:val="20"/>
                <w:szCs w:val="20"/>
              </w:rPr>
            </w:pPr>
            <w:r>
              <w:rPr>
                <w:sz w:val="20"/>
                <w:szCs w:val="20"/>
              </w:rPr>
              <w:t>74.6</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0"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131.6</w:t>
            </w:r>
          </w:p>
        </w:tc>
        <w:tc>
          <w:tcPr>
            <w:tcW w:w="629"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164.8</w:t>
            </w:r>
          </w:p>
        </w:tc>
        <w:tc>
          <w:tcPr>
            <w:tcW w:w="631" w:type="dxa"/>
            <w:tcBorders>
              <w:top w:val="single" w:sz="4" w:space="0" w:color="000000"/>
            </w:tcBorders>
            <w:vAlign w:val="bottom"/>
          </w:tcPr>
          <w:p>
            <w:pPr>
              <w:pStyle w:val="Normal"/>
              <w:widowControl w:val="false"/>
              <w:jc w:val="right"/>
              <w:rPr>
                <w:sz w:val="20"/>
                <w:szCs w:val="20"/>
              </w:rPr>
            </w:pPr>
            <w:r>
              <w:rPr>
                <w:sz w:val="20"/>
                <w:szCs w:val="20"/>
              </w:rPr>
              <w:t>132.6</w:t>
            </w:r>
          </w:p>
        </w:tc>
        <w:tc>
          <w:tcPr>
            <w:tcW w:w="90"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717"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SE</w:t>
            </w:r>
          </w:p>
        </w:tc>
        <w:tc>
          <w:tcPr>
            <w:tcW w:w="603"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1" w:type="dxa"/>
            <w:tcBorders/>
            <w:vAlign w:val="bottom"/>
          </w:tcPr>
          <w:p>
            <w:pPr>
              <w:pStyle w:val="Normal"/>
              <w:widowControl w:val="false"/>
              <w:jc w:val="right"/>
              <w:rPr>
                <w:sz w:val="20"/>
                <w:szCs w:val="20"/>
              </w:rPr>
            </w:pPr>
            <w:r>
              <w:rPr>
                <w:sz w:val="20"/>
                <w:szCs w:val="20"/>
              </w:rPr>
              <w:t>5.6</w:t>
            </w:r>
          </w:p>
        </w:tc>
        <w:tc>
          <w:tcPr>
            <w:tcW w:w="630" w:type="dxa"/>
            <w:tcBorders/>
            <w:vAlign w:val="bottom"/>
          </w:tcPr>
          <w:p>
            <w:pPr>
              <w:pStyle w:val="Normal"/>
              <w:widowControl w:val="false"/>
              <w:jc w:val="right"/>
              <w:rPr>
                <w:sz w:val="20"/>
                <w:szCs w:val="20"/>
              </w:rPr>
            </w:pPr>
            <w:r>
              <w:rPr>
                <w:sz w:val="20"/>
                <w:szCs w:val="20"/>
              </w:rPr>
              <w:t>1.5</w:t>
            </w:r>
          </w:p>
        </w:tc>
        <w:tc>
          <w:tcPr>
            <w:tcW w:w="80" w:type="dxa"/>
            <w:tcBorders/>
            <w:vAlign w:val="bottom"/>
          </w:tcPr>
          <w:p>
            <w:pPr>
              <w:pStyle w:val="Normal"/>
              <w:widowControl w:val="false"/>
              <w:jc w:val="right"/>
              <w:rPr>
                <w:sz w:val="20"/>
                <w:szCs w:val="20"/>
              </w:rPr>
            </w:pPr>
            <w:r>
              <w:rPr>
                <w:sz w:val="20"/>
                <w:szCs w:val="20"/>
              </w:rPr>
            </w:r>
          </w:p>
        </w:tc>
        <w:tc>
          <w:tcPr>
            <w:tcW w:w="608"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1" w:type="dxa"/>
            <w:tcBorders/>
            <w:vAlign w:val="bottom"/>
          </w:tcPr>
          <w:p>
            <w:pPr>
              <w:pStyle w:val="Normal"/>
              <w:widowControl w:val="false"/>
              <w:jc w:val="right"/>
              <w:rPr>
                <w:sz w:val="20"/>
                <w:szCs w:val="20"/>
              </w:rPr>
            </w:pPr>
            <w:r>
              <w:rPr>
                <w:sz w:val="20"/>
                <w:szCs w:val="20"/>
              </w:rPr>
              <w:t>5.8</w:t>
            </w:r>
          </w:p>
        </w:tc>
        <w:tc>
          <w:tcPr>
            <w:tcW w:w="629" w:type="dxa"/>
            <w:tcBorders/>
            <w:vAlign w:val="bottom"/>
          </w:tcPr>
          <w:p>
            <w:pPr>
              <w:pStyle w:val="Normal"/>
              <w:widowControl w:val="false"/>
              <w:jc w:val="right"/>
              <w:rPr>
                <w:sz w:val="20"/>
                <w:szCs w:val="20"/>
              </w:rPr>
            </w:pPr>
            <w:r>
              <w:rPr>
                <w:sz w:val="20"/>
                <w:szCs w:val="20"/>
              </w:rPr>
              <w:t>6.9</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0"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11.7</w:t>
            </w:r>
          </w:p>
        </w:tc>
        <w:tc>
          <w:tcPr>
            <w:tcW w:w="629"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9.7</w:t>
            </w:r>
          </w:p>
        </w:tc>
        <w:tc>
          <w:tcPr>
            <w:tcW w:w="631" w:type="dxa"/>
            <w:tcBorders/>
            <w:vAlign w:val="bottom"/>
          </w:tcPr>
          <w:p>
            <w:pPr>
              <w:pStyle w:val="Normal"/>
              <w:widowControl w:val="false"/>
              <w:jc w:val="right"/>
              <w:rPr>
                <w:sz w:val="20"/>
                <w:szCs w:val="20"/>
              </w:rPr>
            </w:pPr>
            <w:r>
              <w:rPr>
                <w:sz w:val="20"/>
                <w:szCs w:val="20"/>
              </w:rPr>
              <w:t>5.6</w:t>
            </w:r>
          </w:p>
        </w:tc>
        <w:tc>
          <w:tcPr>
            <w:tcW w:w="90"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717"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45" w:type="dxa"/>
            <w:tcBorders/>
            <w:vAlign w:val="bottom"/>
          </w:tcPr>
          <w:p>
            <w:pPr>
              <w:pStyle w:val="Normal"/>
              <w:widowControl w:val="false"/>
              <w:rPr>
                <w:sz w:val="20"/>
                <w:szCs w:val="20"/>
              </w:rPr>
            </w:pPr>
            <w:r>
              <w:rPr>
                <w:sz w:val="20"/>
                <w:szCs w:val="20"/>
              </w:rPr>
              <w:t>Total</w:t>
            </w:r>
          </w:p>
        </w:tc>
        <w:tc>
          <w:tcPr>
            <w:tcW w:w="603"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1"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0" w:type="dxa"/>
            <w:tcBorders>
              <w:bottom w:val="single" w:sz="4" w:space="0" w:color="000000"/>
            </w:tcBorders>
            <w:vAlign w:val="bottom"/>
          </w:tcPr>
          <w:p>
            <w:pPr>
              <w:pStyle w:val="Normal"/>
              <w:widowControl w:val="false"/>
              <w:jc w:val="right"/>
              <w:rPr>
                <w:sz w:val="20"/>
                <w:szCs w:val="20"/>
              </w:rPr>
            </w:pPr>
            <w:r>
              <w:rPr>
                <w:sz w:val="20"/>
                <w:szCs w:val="20"/>
              </w:rPr>
              <w:t>171</w:t>
            </w:r>
          </w:p>
        </w:tc>
        <w:tc>
          <w:tcPr>
            <w:tcW w:w="80" w:type="dxa"/>
            <w:tcBorders>
              <w:bottom w:val="single" w:sz="4" w:space="0" w:color="000000"/>
            </w:tcBorders>
            <w:vAlign w:val="bottom"/>
          </w:tcPr>
          <w:p>
            <w:pPr>
              <w:pStyle w:val="Normal"/>
              <w:widowControl w:val="false"/>
              <w:jc w:val="right"/>
              <w:rPr>
                <w:sz w:val="20"/>
                <w:szCs w:val="20"/>
              </w:rPr>
            </w:pPr>
            <w:r>
              <w:rPr>
                <w:sz w:val="20"/>
                <w:szCs w:val="20"/>
              </w:rPr>
            </w:r>
          </w:p>
        </w:tc>
        <w:tc>
          <w:tcPr>
            <w:tcW w:w="60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1"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9" w:type="dxa"/>
            <w:tcBorders>
              <w:bottom w:val="single" w:sz="4" w:space="0" w:color="000000"/>
            </w:tcBorders>
            <w:vAlign w:val="bottom"/>
          </w:tcPr>
          <w:p>
            <w:pPr>
              <w:pStyle w:val="Normal"/>
              <w:widowControl w:val="false"/>
              <w:jc w:val="right"/>
              <w:rPr>
                <w:sz w:val="20"/>
                <w:szCs w:val="20"/>
              </w:rPr>
            </w:pPr>
            <w:r>
              <w:rPr>
                <w:sz w:val="20"/>
                <w:szCs w:val="20"/>
              </w:rPr>
              <w:t>373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658</w:t>
            </w:r>
          </w:p>
        </w:tc>
        <w:tc>
          <w:tcPr>
            <w:tcW w:w="629"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1" w:type="dxa"/>
            <w:tcBorders>
              <w:bottom w:val="single" w:sz="4" w:space="0" w:color="000000"/>
            </w:tcBorders>
            <w:vAlign w:val="bottom"/>
          </w:tcPr>
          <w:p>
            <w:pPr>
              <w:pStyle w:val="Normal"/>
              <w:widowControl w:val="false"/>
              <w:jc w:val="right"/>
              <w:rPr>
                <w:sz w:val="20"/>
                <w:szCs w:val="20"/>
              </w:rPr>
            </w:pPr>
            <w:r>
              <w:rPr>
                <w:sz w:val="20"/>
                <w:szCs w:val="20"/>
              </w:rPr>
              <w:t>663</w:t>
            </w:r>
          </w:p>
        </w:tc>
        <w:tc>
          <w:tcPr>
            <w:tcW w:w="90"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717"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5" w:type="dxa"/>
            <w:tcBorders/>
          </w:tcPr>
          <w:p>
            <w:pPr>
              <w:pStyle w:val="Normal"/>
              <w:widowControl w:val="false"/>
              <w:rPr>
                <w:sz w:val="24"/>
                <w:szCs w:val="24"/>
              </w:rPr>
            </w:pPr>
            <w:r>
              <w:rPr/>
            </w:r>
          </w:p>
        </w:tc>
        <w:tc>
          <w:tcPr>
            <w:tcW w:w="603"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661" w:type="dxa"/>
            <w:tcBorders/>
          </w:tcPr>
          <w:p>
            <w:pPr>
              <w:pStyle w:val="Normal"/>
              <w:widowControl w:val="false"/>
              <w:rPr>
                <w:sz w:val="24"/>
                <w:szCs w:val="24"/>
              </w:rPr>
            </w:pPr>
            <w:r>
              <w:rPr/>
            </w:r>
          </w:p>
        </w:tc>
        <w:tc>
          <w:tcPr>
            <w:tcW w:w="630" w:type="dxa"/>
            <w:tcBorders/>
          </w:tcPr>
          <w:p>
            <w:pPr>
              <w:pStyle w:val="Normal"/>
              <w:widowControl w:val="false"/>
              <w:rPr>
                <w:sz w:val="24"/>
                <w:szCs w:val="24"/>
              </w:rPr>
            </w:pPr>
            <w:r>
              <w:rPr/>
            </w:r>
          </w:p>
        </w:tc>
        <w:tc>
          <w:tcPr>
            <w:tcW w:w="80" w:type="dxa"/>
            <w:tcBorders/>
          </w:tcPr>
          <w:p>
            <w:pPr>
              <w:pStyle w:val="Normal"/>
              <w:widowControl w:val="false"/>
              <w:rPr>
                <w:sz w:val="24"/>
                <w:szCs w:val="24"/>
              </w:rPr>
            </w:pPr>
            <w:r>
              <w:rPr/>
            </w:r>
          </w:p>
        </w:tc>
        <w:tc>
          <w:tcPr>
            <w:tcW w:w="608" w:type="dxa"/>
            <w:tcBorders/>
          </w:tcPr>
          <w:p>
            <w:pPr>
              <w:pStyle w:val="Normal"/>
              <w:widowControl w:val="false"/>
              <w:rPr>
                <w:sz w:val="24"/>
                <w:szCs w:val="24"/>
              </w:rPr>
            </w:pPr>
            <w:r>
              <w:rPr/>
            </w:r>
          </w:p>
        </w:tc>
        <w:tc>
          <w:tcPr>
            <w:tcW w:w="635"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9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630"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9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90"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631" w:type="dxa"/>
            <w:tcBorders/>
          </w:tcPr>
          <w:p>
            <w:pPr>
              <w:pStyle w:val="Normal"/>
              <w:widowControl w:val="false"/>
              <w:rPr>
                <w:sz w:val="24"/>
                <w:szCs w:val="24"/>
              </w:rPr>
            </w:pPr>
            <w:r>
              <w:rPr/>
            </w:r>
          </w:p>
        </w:tc>
        <w:tc>
          <w:tcPr>
            <w:tcW w:w="629" w:type="dxa"/>
            <w:tcBorders/>
          </w:tcPr>
          <w:p>
            <w:pPr>
              <w:pStyle w:val="Normal"/>
              <w:widowControl w:val="false"/>
              <w:rPr>
                <w:sz w:val="24"/>
                <w:szCs w:val="24"/>
              </w:rPr>
            </w:pPr>
            <w:r>
              <w:rPr/>
            </w:r>
          </w:p>
        </w:tc>
        <w:tc>
          <w:tcPr>
            <w:tcW w:w="717" w:type="dxa"/>
            <w:tcBorders/>
          </w:tcPr>
          <w:p>
            <w:pPr>
              <w:pStyle w:val="Normal"/>
              <w:widowControl w:val="false"/>
              <w:rPr>
                <w:sz w:val="24"/>
                <w:szCs w:val="24"/>
              </w:rPr>
            </w:pPr>
            <w:r>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45"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3"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1" w:type="dxa"/>
            <w:tcBorders/>
            <w:vAlign w:val="bottom"/>
          </w:tcPr>
          <w:p>
            <w:pPr>
              <w:pStyle w:val="Normal"/>
              <w:widowControl w:val="false"/>
              <w:spacing w:lineRule="auto" w:line="240"/>
              <w:jc w:val="right"/>
              <w:rPr>
                <w:sz w:val="20"/>
                <w:szCs w:val="20"/>
              </w:rPr>
            </w:pPr>
            <w:r>
              <w:rPr>
                <w:sz w:val="20"/>
                <w:szCs w:val="20"/>
              </w:rPr>
              <w:t>33.9</w:t>
            </w:r>
          </w:p>
        </w:tc>
        <w:tc>
          <w:tcPr>
            <w:tcW w:w="630" w:type="dxa"/>
            <w:tcBorders/>
            <w:vAlign w:val="bottom"/>
          </w:tcPr>
          <w:p>
            <w:pPr>
              <w:pStyle w:val="Normal"/>
              <w:widowControl w:val="false"/>
              <w:spacing w:lineRule="auto" w:line="240"/>
              <w:jc w:val="right"/>
              <w:rPr>
                <w:sz w:val="20"/>
                <w:szCs w:val="20"/>
              </w:rPr>
            </w:pPr>
            <w:r>
              <w:rPr>
                <w:sz w:val="20"/>
                <w:szCs w:val="20"/>
              </w:rPr>
              <w:t>33.3</w:t>
            </w:r>
          </w:p>
        </w:tc>
        <w:tc>
          <w:tcPr>
            <w:tcW w:w="80" w:type="dxa"/>
            <w:tcBorders/>
            <w:vAlign w:val="bottom"/>
          </w:tcPr>
          <w:p>
            <w:pPr>
              <w:pStyle w:val="Normal"/>
              <w:widowControl w:val="false"/>
              <w:spacing w:lineRule="auto" w:line="240"/>
              <w:jc w:val="right"/>
              <w:rPr>
                <w:sz w:val="20"/>
                <w:szCs w:val="20"/>
              </w:rPr>
            </w:pPr>
            <w:r>
              <w:rPr>
                <w:sz w:val="20"/>
                <w:szCs w:val="20"/>
              </w:rPr>
            </w:r>
          </w:p>
        </w:tc>
        <w:tc>
          <w:tcPr>
            <w:tcW w:w="608"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1" w:type="dxa"/>
            <w:tcBorders/>
            <w:vAlign w:val="bottom"/>
          </w:tcPr>
          <w:p>
            <w:pPr>
              <w:pStyle w:val="Normal"/>
              <w:widowControl w:val="false"/>
              <w:spacing w:lineRule="auto" w:line="240"/>
              <w:jc w:val="right"/>
              <w:rPr>
                <w:sz w:val="20"/>
                <w:szCs w:val="20"/>
              </w:rPr>
            </w:pPr>
            <w:r>
              <w:rPr>
                <w:sz w:val="20"/>
                <w:szCs w:val="20"/>
              </w:rPr>
              <w:t>30.6</w:t>
            </w:r>
          </w:p>
        </w:tc>
        <w:tc>
          <w:tcPr>
            <w:tcW w:w="629" w:type="dxa"/>
            <w:tcBorders/>
            <w:vAlign w:val="bottom"/>
          </w:tcPr>
          <w:p>
            <w:pPr>
              <w:pStyle w:val="Normal"/>
              <w:widowControl w:val="false"/>
              <w:spacing w:lineRule="auto" w:line="240"/>
              <w:jc w:val="right"/>
              <w:rPr>
                <w:sz w:val="20"/>
                <w:szCs w:val="20"/>
              </w:rPr>
            </w:pPr>
            <w:r>
              <w:rPr>
                <w:sz w:val="20"/>
                <w:szCs w:val="20"/>
              </w:rPr>
              <w:t>34.1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0"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10.8</w:t>
            </w:r>
          </w:p>
        </w:tc>
        <w:tc>
          <w:tcPr>
            <w:tcW w:w="629"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7.9</w:t>
            </w:r>
          </w:p>
        </w:tc>
        <w:tc>
          <w:tcPr>
            <w:tcW w:w="631" w:type="dxa"/>
            <w:tcBorders/>
            <w:vAlign w:val="bottom"/>
          </w:tcPr>
          <w:p>
            <w:pPr>
              <w:pStyle w:val="Normal"/>
              <w:widowControl w:val="false"/>
              <w:spacing w:lineRule="auto" w:line="240"/>
              <w:jc w:val="right"/>
              <w:rPr>
                <w:sz w:val="20"/>
                <w:szCs w:val="20"/>
              </w:rPr>
            </w:pPr>
            <w:r>
              <w:rPr>
                <w:sz w:val="20"/>
                <w:szCs w:val="20"/>
              </w:rPr>
              <w:t>19.1</w:t>
            </w:r>
          </w:p>
        </w:tc>
        <w:tc>
          <w:tcPr>
            <w:tcW w:w="90"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717"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45"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3"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1"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80"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0"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0"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717"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45" w:type="dxa"/>
            <w:tcBorders>
              <w:top w:val="single" w:sz="4" w:space="0" w:color="000000"/>
            </w:tcBorders>
            <w:vAlign w:val="bottom"/>
          </w:tcPr>
          <w:p>
            <w:pPr>
              <w:pStyle w:val="Normal"/>
              <w:widowControl w:val="false"/>
              <w:rPr>
                <w:sz w:val="20"/>
                <w:szCs w:val="20"/>
              </w:rPr>
            </w:pPr>
            <w:r>
              <w:rPr>
                <w:sz w:val="20"/>
                <w:szCs w:val="20"/>
              </w:rPr>
            </w:r>
          </w:p>
        </w:tc>
        <w:tc>
          <w:tcPr>
            <w:tcW w:w="603"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1" w:type="dxa"/>
            <w:tcBorders>
              <w:top w:val="single" w:sz="4" w:space="0" w:color="000000"/>
            </w:tcBorders>
            <w:vAlign w:val="bottom"/>
          </w:tcPr>
          <w:p>
            <w:pPr>
              <w:pStyle w:val="Normal"/>
              <w:widowControl w:val="false"/>
              <w:jc w:val="right"/>
              <w:rPr>
                <w:sz w:val="20"/>
                <w:szCs w:val="20"/>
              </w:rPr>
            </w:pPr>
            <w:r>
              <w:rPr>
                <w:sz w:val="20"/>
                <w:szCs w:val="20"/>
              </w:rPr>
            </w:r>
          </w:p>
        </w:tc>
        <w:tc>
          <w:tcPr>
            <w:tcW w:w="630" w:type="dxa"/>
            <w:tcBorders>
              <w:top w:val="single" w:sz="4" w:space="0" w:color="000000"/>
            </w:tcBorders>
            <w:vAlign w:val="bottom"/>
          </w:tcPr>
          <w:p>
            <w:pPr>
              <w:pStyle w:val="Normal"/>
              <w:widowControl w:val="false"/>
              <w:jc w:val="right"/>
              <w:rPr>
                <w:sz w:val="20"/>
                <w:szCs w:val="20"/>
              </w:rPr>
            </w:pPr>
            <w:r>
              <w:rPr>
                <w:sz w:val="20"/>
                <w:szCs w:val="20"/>
              </w:rPr>
            </w:r>
          </w:p>
        </w:tc>
        <w:tc>
          <w:tcPr>
            <w:tcW w:w="80" w:type="dxa"/>
            <w:tcBorders>
              <w:top w:val="single" w:sz="4" w:space="0" w:color="000000"/>
            </w:tcBorders>
            <w:vAlign w:val="bottom"/>
          </w:tcPr>
          <w:p>
            <w:pPr>
              <w:pStyle w:val="Normal"/>
              <w:widowControl w:val="false"/>
              <w:rPr>
                <w:sz w:val="20"/>
                <w:szCs w:val="20"/>
              </w:rPr>
            </w:pPr>
            <w:r>
              <w:rPr>
                <w:sz w:val="20"/>
                <w:szCs w:val="20"/>
              </w:rPr>
            </w:r>
          </w:p>
        </w:tc>
        <w:tc>
          <w:tcPr>
            <w:tcW w:w="608"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0"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90"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717" w:type="dxa"/>
            <w:tcBorders>
              <w:top w:val="single" w:sz="4" w:space="0" w:color="000000"/>
            </w:tcBorders>
            <w:vAlign w:val="bottom"/>
          </w:tcPr>
          <w:p>
            <w:pPr>
              <w:pStyle w:val="Normal"/>
              <w:widowControl w:val="false"/>
              <w:jc w:val="right"/>
              <w:rPr>
                <w:sz w:val="20"/>
                <w:szCs w:val="20"/>
              </w:rPr>
            </w:pPr>
            <w:r>
              <w:rPr>
                <w:sz w:val="20"/>
                <w:szCs w:val="20"/>
              </w:rPr>
            </w:r>
          </w:p>
        </w:tc>
      </w:tr>
    </w:tbl>
    <w:p>
      <w:pPr>
        <w:pStyle w:val="Normal"/>
        <w:rPr>
          <w:sz w:val="24"/>
          <w:szCs w:val="24"/>
        </w:rPr>
      </w:pPr>
      <w:r>
        <w:rPr>
          <w:sz w:val="24"/>
          <w:szCs w:val="24"/>
        </w:rPr>
      </w:r>
    </w:p>
    <w:p>
      <w:pPr>
        <w:sectPr>
          <w:headerReference w:type="default" r:id="rId30"/>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16384"/>
        </w:sectPr>
        <w:pStyle w:val="Normal"/>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8239125" cy="4943475"/>
            <wp:effectExtent l="0" t="0" r="0" b="0"/>
            <wp:docPr id="8"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c 1" descr=""/>
                    <pic:cNvPicPr>
                      <a:picLocks noChangeAspect="1" noChangeArrowheads="1"/>
                    </pic:cNvPicPr>
                  </pic:nvPicPr>
                  <pic:blipFill>
                    <a:blip r:embed="rId31"/>
                    <a:stretch>
                      <a:fillRect/>
                    </a:stretch>
                  </pic:blipFill>
                  <pic:spPr bwMode="auto">
                    <a:xfrm>
                      <a:off x="0" y="0"/>
                      <a:ext cx="8239125" cy="494347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Mean +/- SE stand basal area and proportion of mortality by tree age in the Apiary study.</w:t>
      </w:r>
    </w:p>
    <w:p>
      <w:pPr>
        <w:pStyle w:val="Normal"/>
        <w:spacing w:lineRule="auto" w:line="480"/>
        <w:rPr>
          <w:sz w:val="24"/>
          <w:szCs w:val="24"/>
        </w:rPr>
      </w:pPr>
      <w:r>
        <w:rPr/>
        <w:drawing>
          <wp:inline distT="0" distB="0" distL="0" distR="0">
            <wp:extent cx="7865745" cy="4719320"/>
            <wp:effectExtent l="0" t="0" r="0" b="0"/>
            <wp:docPr id="9"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3" descr=""/>
                    <pic:cNvPicPr>
                      <a:picLocks noChangeAspect="1" noChangeArrowheads="1"/>
                    </pic:cNvPicPr>
                  </pic:nvPicPr>
                  <pic:blipFill>
                    <a:blip r:embed="rId32"/>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5.</w:t>
      </w:r>
      <w:r>
        <w:rPr>
          <w:sz w:val="24"/>
          <w:szCs w:val="24"/>
        </w:rPr>
        <w:t xml:space="preserve"> Douglas fir survival over time in continuous DF treatment vs 12-year rotation treatments. in the Apiary study.</w:t>
      </w:r>
    </w:p>
    <w:p>
      <w:pPr>
        <w:pStyle w:val="Normal"/>
        <w:spacing w:lineRule="auto" w:line="480"/>
        <w:rPr>
          <w:sz w:val="24"/>
          <w:szCs w:val="24"/>
        </w:rPr>
      </w:pPr>
      <w:commentRangeStart w:id="27"/>
      <w:r>
        <w:rPr/>
        <w:drawing>
          <wp:inline distT="0" distB="0" distL="0" distR="0">
            <wp:extent cx="7865745" cy="4719320"/>
            <wp:effectExtent l="0" t="0" r="0" b="0"/>
            <wp:docPr id="10"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4" descr=""/>
                    <pic:cNvPicPr>
                      <a:picLocks noChangeAspect="1" noChangeArrowheads="1"/>
                    </pic:cNvPicPr>
                  </pic:nvPicPr>
                  <pic:blipFill>
                    <a:blip r:embed="rId33"/>
                    <a:stretch>
                      <a:fillRect/>
                    </a:stretch>
                  </pic:blipFill>
                  <pic:spPr bwMode="auto">
                    <a:xfrm>
                      <a:off x="0" y="0"/>
                      <a:ext cx="7865745" cy="4719320"/>
                    </a:xfrm>
                    <a:prstGeom prst="rect">
                      <a:avLst/>
                    </a:prstGeom>
                  </pic:spPr>
                </pic:pic>
              </a:graphicData>
            </a:graphic>
          </wp:inline>
        </w:drawing>
      </w:r>
      <w:commentRangeEnd w:id="27"/>
      <w:r>
        <w:commentReference w:id="27"/>
      </w:r>
      <w:r>
        <w:rPr/>
      </w:r>
    </w:p>
    <w:p>
      <w:pPr>
        <w:sectPr>
          <w:headerReference w:type="default" r:id="rId34"/>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b/>
          <w:sz w:val="24"/>
          <w:szCs w:val="24"/>
        </w:rPr>
        <w:t>Figure 6.</w:t>
      </w:r>
      <w:r>
        <w:rPr>
          <w:sz w:val="24"/>
          <w:szCs w:val="24"/>
        </w:rPr>
        <w:t xml:space="preserve"> Douglas fir survival over time in continuous DF treatment vs 12-year rotation treatments. in the Apiary study. Mortality is divided by suspected cause (LRR= laminated root rot, SUP= suppression).</w:t>
      </w:r>
    </w:p>
    <w:p>
      <w:pPr>
        <w:pStyle w:val="Normal"/>
        <w:spacing w:lineRule="auto" w:line="480"/>
        <w:rPr>
          <w:b/>
          <w:b/>
          <w:sz w:val="28"/>
          <w:szCs w:val="28"/>
        </w:rPr>
      </w:pPr>
      <w:commentRangeStart w:id="28"/>
      <w:r>
        <w:rPr/>
        <w:drawing>
          <wp:inline distT="0" distB="0" distL="0" distR="0">
            <wp:extent cx="5486400" cy="5486400"/>
            <wp:effectExtent l="0" t="0" r="0" b="0"/>
            <wp:docPr id="11" name="Graphic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8" descr=""/>
                    <pic:cNvPicPr>
                      <a:picLocks noChangeAspect="1" noChangeArrowheads="1"/>
                    </pic:cNvPicPr>
                  </pic:nvPicPr>
                  <pic:blipFill>
                    <a:blip r:embed="rId35"/>
                    <a:stretch>
                      <a:fillRect/>
                    </a:stretch>
                  </pic:blipFill>
                  <pic:spPr bwMode="auto">
                    <a:xfrm>
                      <a:off x="0" y="0"/>
                      <a:ext cx="5486400" cy="5486400"/>
                    </a:xfrm>
                    <a:prstGeom prst="rect">
                      <a:avLst/>
                    </a:prstGeom>
                  </pic:spPr>
                </pic:pic>
              </a:graphicData>
            </a:graphic>
          </wp:inline>
        </w:drawing>
      </w:r>
      <w:commentRangeEnd w:id="28"/>
      <w:r>
        <w:commentReference w:id="28"/>
      </w:r>
      <w:r>
        <w:rPr/>
      </w:r>
    </w:p>
    <w:p>
      <w:pPr>
        <w:pStyle w:val="Normal"/>
        <w:spacing w:lineRule="auto" w:line="480"/>
        <w:rPr>
          <w:sz w:val="24"/>
          <w:szCs w:val="24"/>
        </w:rPr>
      </w:pPr>
      <w:r>
        <w:rPr>
          <w:b/>
          <w:sz w:val="24"/>
          <w:szCs w:val="24"/>
        </w:rPr>
        <w:t>Figure 7.</w:t>
      </w:r>
      <w:r>
        <w:rPr>
          <w:sz w:val="24"/>
          <w:szCs w:val="24"/>
        </w:rPr>
        <w:t xml:space="preserve"> Diameter growth of live Douglas fir over time in continuous DF treatment vs 12-year rotation treatments in the Apiary study. Trees are divided by suspected cause of subsequent mortality (LRR= laminated root rot, SUP= suppression).</w:t>
      </w:r>
    </w:p>
    <w:p>
      <w:pPr>
        <w:sectPr>
          <w:headerReference w:type="default" r:id="rId36"/>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16384"/>
        </w:sectPr>
        <w:pStyle w:val="Normal"/>
        <w:spacing w:lineRule="auto" w:line="480"/>
        <w:rPr>
          <w:sz w:val="24"/>
          <w:szCs w:val="24"/>
        </w:rPr>
      </w:pPr>
      <w:r>
        <w:rPr/>
      </w:r>
    </w:p>
    <w:p>
      <w:pPr>
        <w:pStyle w:val="Normal"/>
        <w:spacing w:lineRule="auto" w:line="480"/>
        <w:rPr/>
      </w:pPr>
      <w:r>
        <w:rPr/>
      </w:r>
    </w:p>
    <w:tbl>
      <w:tblPr>
        <w:tblW w:w="11160" w:type="dxa"/>
        <w:jc w:val="left"/>
        <w:tblInd w:w="-30" w:type="dxa"/>
        <w:tblLayout w:type="fixed"/>
        <w:tblCellMar>
          <w:top w:w="0" w:type="dxa"/>
          <w:left w:w="30" w:type="dxa"/>
          <w:bottom w:w="0" w:type="dxa"/>
          <w:right w:w="30" w:type="dxa"/>
        </w:tblCellMar>
      </w:tblPr>
      <w:tblGrid>
        <w:gridCol w:w="2020"/>
        <w:gridCol w:w="500"/>
        <w:gridCol w:w="810"/>
        <w:gridCol w:w="810"/>
        <w:gridCol w:w="180"/>
        <w:gridCol w:w="360"/>
        <w:gridCol w:w="810"/>
        <w:gridCol w:w="900"/>
        <w:gridCol w:w="180"/>
        <w:gridCol w:w="450"/>
        <w:gridCol w:w="900"/>
        <w:gridCol w:w="900"/>
        <w:gridCol w:w="180"/>
        <w:gridCol w:w="360"/>
        <w:gridCol w:w="810"/>
        <w:gridCol w:w="990"/>
      </w:tblGrid>
      <w:tr>
        <w:trPr>
          <w:trHeight w:val="597" w:hRule="atLeast"/>
        </w:trPr>
        <w:tc>
          <w:tcPr>
            <w:tcW w:w="2020" w:type="dxa"/>
            <w:tcBorders/>
            <w:vAlign w:val="bottom"/>
          </w:tcPr>
          <w:p>
            <w:pPr>
              <w:pStyle w:val="Normal"/>
              <w:tabs>
                <w:tab w:val="clear" w:pos="720"/>
              </w:tabs>
              <w:jc w:val="left"/>
              <w:rPr>
                <w:sz w:val="24"/>
                <w:szCs w:val="24"/>
              </w:rPr>
            </w:pPr>
            <w:r>
              <w:rPr/>
            </w:r>
          </w:p>
        </w:tc>
        <w:tc>
          <w:tcPr>
            <w:tcW w:w="2120" w:type="dxa"/>
            <w:gridSpan w:val="3"/>
            <w:tcBorders>
              <w:bottom w:val="single" w:sz="4" w:space="0" w:color="000000"/>
            </w:tcBorders>
            <w:tcMar>
              <w:top w:w="55" w:type="dxa"/>
              <w:left w:w="55" w:type="dxa"/>
              <w:bottom w:w="55" w:type="dxa"/>
              <w:right w:w="55" w:type="dxa"/>
            </w:tcMar>
            <w:vAlign w:val="bottom"/>
          </w:tcPr>
          <w:p>
            <w:pPr>
              <w:pStyle w:val="Normal"/>
              <w:tabs>
                <w:tab w:val="clear" w:pos="720"/>
              </w:tabs>
              <w:jc w:val="center"/>
              <w:rPr>
                <w:sz w:val="24"/>
                <w:szCs w:val="24"/>
              </w:rPr>
            </w:pPr>
            <w:r>
              <w:rPr/>
              <w:t>annual BA increment</w:t>
            </w:r>
          </w:p>
        </w:tc>
        <w:tc>
          <w:tcPr>
            <w:tcW w:w="180" w:type="dxa"/>
            <w:tcBorders/>
            <w:vAlign w:val="bottom"/>
          </w:tcPr>
          <w:p>
            <w:pPr>
              <w:pStyle w:val="Normal"/>
              <w:tabs>
                <w:tab w:val="clear" w:pos="720"/>
              </w:tabs>
              <w:jc w:val="left"/>
              <w:rPr>
                <w:sz w:val="24"/>
                <w:szCs w:val="24"/>
              </w:rPr>
            </w:pPr>
            <w:r>
              <w:rPr/>
            </w:r>
          </w:p>
        </w:tc>
        <w:tc>
          <w:tcPr>
            <w:tcW w:w="2070" w:type="dxa"/>
            <w:gridSpan w:val="3"/>
            <w:tcBorders>
              <w:bottom w:val="single" w:sz="4" w:space="0" w:color="000000"/>
            </w:tcBorders>
            <w:tcMar>
              <w:top w:w="55" w:type="dxa"/>
              <w:left w:w="55" w:type="dxa"/>
              <w:bottom w:w="55" w:type="dxa"/>
              <w:right w:w="55" w:type="dxa"/>
            </w:tcMar>
            <w:vAlign w:val="bottom"/>
          </w:tcPr>
          <w:p>
            <w:pPr>
              <w:pStyle w:val="Normal"/>
              <w:tabs>
                <w:tab w:val="clear" w:pos="720"/>
              </w:tabs>
              <w:jc w:val="center"/>
              <w:rPr>
                <w:sz w:val="24"/>
                <w:szCs w:val="24"/>
              </w:rPr>
            </w:pPr>
            <w:r>
              <w:rPr/>
              <w:t>annual total mortality</w:t>
            </w:r>
          </w:p>
        </w:tc>
        <w:tc>
          <w:tcPr>
            <w:tcW w:w="180" w:type="dxa"/>
            <w:tcBorders/>
            <w:vAlign w:val="bottom"/>
          </w:tcPr>
          <w:p>
            <w:pPr>
              <w:pStyle w:val="Normal"/>
              <w:tabs>
                <w:tab w:val="clear" w:pos="720"/>
              </w:tabs>
              <w:jc w:val="left"/>
              <w:rPr>
                <w:sz w:val="24"/>
                <w:szCs w:val="24"/>
              </w:rPr>
            </w:pPr>
            <w:r>
              <w:rPr/>
            </w:r>
          </w:p>
        </w:tc>
        <w:tc>
          <w:tcPr>
            <w:tcW w:w="2250" w:type="dxa"/>
            <w:gridSpan w:val="3"/>
            <w:tcBorders>
              <w:bottom w:val="single" w:sz="4" w:space="0" w:color="000000"/>
            </w:tcBorders>
            <w:tcMar>
              <w:top w:w="55" w:type="dxa"/>
              <w:left w:w="55" w:type="dxa"/>
              <w:bottom w:w="55" w:type="dxa"/>
              <w:right w:w="55" w:type="dxa"/>
            </w:tcMar>
            <w:vAlign w:val="bottom"/>
          </w:tcPr>
          <w:p>
            <w:pPr>
              <w:pStyle w:val="Normal"/>
              <w:tabs>
                <w:tab w:val="clear" w:pos="720"/>
              </w:tabs>
              <w:jc w:val="center"/>
              <w:rPr>
                <w:sz w:val="24"/>
                <w:szCs w:val="24"/>
              </w:rPr>
            </w:pPr>
            <w:r>
              <w:rPr/>
              <w:t xml:space="preserve">annual LRR </w:t>
              <w:br/>
              <w:t>Mortality</w:t>
            </w:r>
          </w:p>
        </w:tc>
        <w:tc>
          <w:tcPr>
            <w:tcW w:w="180" w:type="dxa"/>
            <w:tcBorders/>
            <w:vAlign w:val="bottom"/>
          </w:tcPr>
          <w:p>
            <w:pPr>
              <w:pStyle w:val="Normal"/>
              <w:tabs>
                <w:tab w:val="clear" w:pos="720"/>
              </w:tabs>
              <w:jc w:val="left"/>
              <w:rPr>
                <w:sz w:val="24"/>
                <w:szCs w:val="24"/>
              </w:rPr>
            </w:pPr>
            <w:r>
              <w:rPr/>
            </w:r>
          </w:p>
        </w:tc>
        <w:tc>
          <w:tcPr>
            <w:tcW w:w="2160" w:type="dxa"/>
            <w:gridSpan w:val="3"/>
            <w:tcBorders>
              <w:bottom w:val="single" w:sz="4" w:space="0" w:color="000000"/>
            </w:tcBorders>
            <w:tcMar>
              <w:top w:w="55" w:type="dxa"/>
              <w:left w:w="55" w:type="dxa"/>
              <w:bottom w:w="55" w:type="dxa"/>
              <w:right w:w="55" w:type="dxa"/>
            </w:tcMar>
            <w:vAlign w:val="bottom"/>
          </w:tcPr>
          <w:p>
            <w:pPr>
              <w:pStyle w:val="Normal"/>
              <w:tabs>
                <w:tab w:val="clear" w:pos="720"/>
              </w:tabs>
              <w:jc w:val="center"/>
              <w:rPr>
                <w:sz w:val="24"/>
                <w:szCs w:val="24"/>
              </w:rPr>
            </w:pPr>
            <w:r>
              <w:rPr/>
              <w:t>annual suppression mortality</w:t>
            </w:r>
          </w:p>
        </w:tc>
      </w:tr>
      <w:tr>
        <w:trPr>
          <w:trHeight w:val="611" w:hRule="atLeast"/>
        </w:trPr>
        <w:tc>
          <w:tcPr>
            <w:tcW w:w="202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Source</w:t>
            </w:r>
          </w:p>
        </w:tc>
        <w:tc>
          <w:tcPr>
            <w:tcW w:w="5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Test stat.*</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Test stat.*</w:t>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45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df</w:t>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Test stat.*</w:t>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p</w:t>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Test stat.*</w:t>
            </w:r>
          </w:p>
        </w:tc>
        <w:tc>
          <w:tcPr>
            <w:tcW w:w="99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p</w:t>
            </w:r>
          </w:p>
        </w:tc>
      </w:tr>
      <w:tr>
        <w:trPr>
          <w:trHeight w:val="300" w:hRule="atLeast"/>
        </w:trPr>
        <w:tc>
          <w:tcPr>
            <w:tcW w:w="2020" w:type="dxa"/>
            <w:tcBorders/>
            <w:vAlign w:val="bottom"/>
          </w:tcPr>
          <w:p>
            <w:pPr>
              <w:pStyle w:val="Normal"/>
              <w:tabs>
                <w:tab w:val="clear" w:pos="720"/>
              </w:tabs>
              <w:jc w:val="left"/>
              <w:rPr>
                <w:sz w:val="24"/>
                <w:szCs w:val="24"/>
              </w:rPr>
            </w:pPr>
            <w:r>
              <w:rPr>
                <w:b/>
              </w:rPr>
              <w:t>EARLY</w:t>
            </w:r>
          </w:p>
        </w:tc>
        <w:tc>
          <w:tcPr>
            <w:tcW w:w="50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990" w:type="dxa"/>
            <w:tcBorders/>
            <w:vAlign w:val="bottom"/>
          </w:tcPr>
          <w:p>
            <w:pPr>
              <w:pStyle w:val="Normal"/>
              <w:tabs>
                <w:tab w:val="clear" w:pos="720"/>
              </w:tabs>
              <w:jc w:val="left"/>
              <w:rPr>
                <w:sz w:val="24"/>
                <w:szCs w:val="24"/>
              </w:rPr>
            </w:pPr>
            <w:r>
              <w:rPr/>
            </w:r>
          </w:p>
        </w:tc>
      </w:tr>
      <w:tr>
        <w:trPr>
          <w:trHeight w:val="276" w:hRule="atLeast"/>
        </w:trPr>
        <w:tc>
          <w:tcPr>
            <w:tcW w:w="2020" w:type="dxa"/>
            <w:tcBorders/>
            <w:vAlign w:val="bottom"/>
          </w:tcPr>
          <w:p>
            <w:pPr>
              <w:pStyle w:val="Normal"/>
              <w:tabs>
                <w:tab w:val="clear" w:pos="720"/>
              </w:tabs>
              <w:jc w:val="left"/>
              <w:rPr>
                <w:sz w:val="24"/>
                <w:szCs w:val="24"/>
              </w:rPr>
            </w:pPr>
            <w:r>
              <w:rPr/>
              <w:t>Block</w:t>
            </w:r>
          </w:p>
        </w:tc>
        <w:tc>
          <w:tcPr>
            <w:tcW w:w="500" w:type="dxa"/>
            <w:tcBorders/>
            <w:vAlign w:val="bottom"/>
          </w:tcPr>
          <w:p>
            <w:pPr>
              <w:pStyle w:val="Normal"/>
              <w:tabs>
                <w:tab w:val="clear" w:pos="720"/>
              </w:tabs>
              <w:jc w:val="right"/>
              <w:rPr>
                <w:sz w:val="24"/>
                <w:szCs w:val="24"/>
              </w:rPr>
            </w:pPr>
            <w:r>
              <w:rPr/>
              <w:t>1</w:t>
            </w:r>
          </w:p>
        </w:tc>
        <w:tc>
          <w:tcPr>
            <w:tcW w:w="810" w:type="dxa"/>
            <w:tcBorders/>
            <w:vAlign w:val="bottom"/>
          </w:tcPr>
          <w:p>
            <w:pPr>
              <w:pStyle w:val="Normal"/>
              <w:tabs>
                <w:tab w:val="clear" w:pos="720"/>
              </w:tabs>
              <w:jc w:val="right"/>
              <w:rPr>
                <w:sz w:val="24"/>
                <w:szCs w:val="24"/>
              </w:rPr>
            </w:pPr>
            <w:r>
              <w:rPr/>
              <w:t>1.1120</w:t>
            </w:r>
          </w:p>
        </w:tc>
        <w:tc>
          <w:tcPr>
            <w:tcW w:w="810" w:type="dxa"/>
            <w:tcBorders/>
            <w:vAlign w:val="bottom"/>
          </w:tcPr>
          <w:p>
            <w:pPr>
              <w:pStyle w:val="Normal"/>
              <w:tabs>
                <w:tab w:val="clear" w:pos="720"/>
              </w:tabs>
              <w:jc w:val="right"/>
              <w:rPr>
                <w:sz w:val="24"/>
                <w:szCs w:val="24"/>
              </w:rPr>
            </w:pPr>
            <w:r>
              <w:rPr/>
              <w:t>0.2916</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right"/>
              <w:rPr>
                <w:sz w:val="24"/>
                <w:szCs w:val="24"/>
              </w:rPr>
            </w:pPr>
            <w:r>
              <w:rPr/>
              <w:t>NA</w:t>
            </w:r>
          </w:p>
        </w:tc>
        <w:tc>
          <w:tcPr>
            <w:tcW w:w="900" w:type="dxa"/>
            <w:tcBorders/>
            <w:vAlign w:val="bottom"/>
          </w:tcPr>
          <w:p>
            <w:pPr>
              <w:pStyle w:val="Normal"/>
              <w:tabs>
                <w:tab w:val="clear" w:pos="720"/>
              </w:tabs>
              <w:jc w:val="right"/>
              <w:rPr>
                <w:sz w:val="24"/>
                <w:szCs w:val="24"/>
              </w:rPr>
            </w:pPr>
            <w:r>
              <w:rPr/>
              <w:t>NA</w:t>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right"/>
              <w:rPr>
                <w:sz w:val="24"/>
                <w:szCs w:val="24"/>
              </w:rPr>
            </w:pPr>
            <w:r>
              <w:rPr/>
              <w:t>1</w:t>
            </w:r>
          </w:p>
        </w:tc>
        <w:tc>
          <w:tcPr>
            <w:tcW w:w="900" w:type="dxa"/>
            <w:tcBorders/>
            <w:vAlign w:val="bottom"/>
          </w:tcPr>
          <w:p>
            <w:pPr>
              <w:pStyle w:val="Normal"/>
              <w:tabs>
                <w:tab w:val="clear" w:pos="720"/>
              </w:tabs>
              <w:jc w:val="right"/>
              <w:rPr>
                <w:sz w:val="24"/>
                <w:szCs w:val="24"/>
              </w:rPr>
            </w:pPr>
            <w:r>
              <w:rPr/>
              <w:t>6.492</w:t>
            </w:r>
          </w:p>
        </w:tc>
        <w:tc>
          <w:tcPr>
            <w:tcW w:w="900" w:type="dxa"/>
            <w:tcBorders/>
            <w:vAlign w:val="bottom"/>
          </w:tcPr>
          <w:p>
            <w:pPr>
              <w:pStyle w:val="Normal"/>
              <w:tabs>
                <w:tab w:val="clear" w:pos="720"/>
              </w:tabs>
              <w:jc w:val="right"/>
              <w:rPr>
                <w:sz w:val="24"/>
                <w:szCs w:val="24"/>
              </w:rPr>
            </w:pPr>
            <w:r>
              <w:rPr>
                <w:b/>
              </w:rPr>
              <w:t>0.0108</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right"/>
              <w:rPr>
                <w:sz w:val="24"/>
                <w:szCs w:val="24"/>
              </w:rPr>
            </w:pPr>
            <w:r>
              <w:rPr/>
              <w:t>1</w:t>
            </w:r>
          </w:p>
        </w:tc>
        <w:tc>
          <w:tcPr>
            <w:tcW w:w="810" w:type="dxa"/>
            <w:tcBorders/>
            <w:vAlign w:val="bottom"/>
          </w:tcPr>
          <w:p>
            <w:pPr>
              <w:pStyle w:val="Normal"/>
              <w:tabs>
                <w:tab w:val="clear" w:pos="720"/>
              </w:tabs>
              <w:jc w:val="right"/>
              <w:rPr>
                <w:sz w:val="24"/>
                <w:szCs w:val="24"/>
              </w:rPr>
            </w:pPr>
            <w:r>
              <w:rPr/>
              <w:t>3.0168</w:t>
            </w:r>
          </w:p>
        </w:tc>
        <w:tc>
          <w:tcPr>
            <w:tcW w:w="990" w:type="dxa"/>
            <w:tcBorders/>
            <w:vAlign w:val="bottom"/>
          </w:tcPr>
          <w:p>
            <w:pPr>
              <w:pStyle w:val="Normal"/>
              <w:tabs>
                <w:tab w:val="clear" w:pos="720"/>
              </w:tabs>
              <w:jc w:val="right"/>
              <w:rPr>
                <w:sz w:val="24"/>
                <w:szCs w:val="24"/>
              </w:rPr>
            </w:pPr>
            <w:r>
              <w:rPr/>
              <w:t>0.0824</w:t>
            </w:r>
          </w:p>
        </w:tc>
      </w:tr>
      <w:tr>
        <w:trPr>
          <w:trHeight w:val="300" w:hRule="atLeast"/>
        </w:trPr>
        <w:tc>
          <w:tcPr>
            <w:tcW w:w="2020" w:type="dxa"/>
            <w:tcBorders/>
            <w:vAlign w:val="bottom"/>
          </w:tcPr>
          <w:p>
            <w:pPr>
              <w:pStyle w:val="Normal"/>
              <w:tabs>
                <w:tab w:val="clear" w:pos="720"/>
              </w:tabs>
              <w:jc w:val="left"/>
              <w:rPr>
                <w:sz w:val="24"/>
                <w:szCs w:val="24"/>
              </w:rPr>
            </w:pPr>
            <w:r>
              <w:rPr/>
              <w:t>Treatment (A,B,D,E)</w:t>
            </w:r>
          </w:p>
        </w:tc>
        <w:tc>
          <w:tcPr>
            <w:tcW w:w="500" w:type="dxa"/>
            <w:tcBorders/>
            <w:vAlign w:val="bottom"/>
          </w:tcPr>
          <w:p>
            <w:pPr>
              <w:pStyle w:val="Normal"/>
              <w:tabs>
                <w:tab w:val="clear" w:pos="720"/>
              </w:tabs>
              <w:jc w:val="right"/>
              <w:rPr>
                <w:sz w:val="24"/>
                <w:szCs w:val="24"/>
              </w:rPr>
            </w:pPr>
            <w:r>
              <w:rPr/>
              <w:t>3</w:t>
            </w:r>
          </w:p>
        </w:tc>
        <w:tc>
          <w:tcPr>
            <w:tcW w:w="810" w:type="dxa"/>
            <w:tcBorders/>
            <w:vAlign w:val="bottom"/>
          </w:tcPr>
          <w:p>
            <w:pPr>
              <w:pStyle w:val="Normal"/>
              <w:tabs>
                <w:tab w:val="clear" w:pos="720"/>
              </w:tabs>
              <w:jc w:val="right"/>
              <w:rPr>
                <w:sz w:val="24"/>
                <w:szCs w:val="24"/>
              </w:rPr>
            </w:pPr>
            <w:r>
              <w:rPr/>
              <w:t>6.0979</w:t>
            </w:r>
          </w:p>
        </w:tc>
        <w:tc>
          <w:tcPr>
            <w:tcW w:w="810" w:type="dxa"/>
            <w:tcBorders/>
            <w:vAlign w:val="bottom"/>
          </w:tcPr>
          <w:p>
            <w:pPr>
              <w:pStyle w:val="Normal"/>
              <w:tabs>
                <w:tab w:val="clear" w:pos="720"/>
              </w:tabs>
              <w:jc w:val="right"/>
              <w:rPr>
                <w:sz w:val="24"/>
                <w:szCs w:val="24"/>
              </w:rPr>
            </w:pPr>
            <w:r>
              <w:rPr>
                <w:b/>
              </w:rPr>
              <w:t>0.0080</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right"/>
              <w:rPr>
                <w:sz w:val="24"/>
                <w:szCs w:val="24"/>
              </w:rPr>
            </w:pPr>
            <w:r>
              <w:rPr/>
              <w:t>3</w:t>
            </w:r>
          </w:p>
        </w:tc>
        <w:tc>
          <w:tcPr>
            <w:tcW w:w="810" w:type="dxa"/>
            <w:tcBorders/>
            <w:vAlign w:val="bottom"/>
          </w:tcPr>
          <w:p>
            <w:pPr>
              <w:pStyle w:val="Normal"/>
              <w:tabs>
                <w:tab w:val="clear" w:pos="720"/>
              </w:tabs>
              <w:jc w:val="right"/>
              <w:rPr>
                <w:sz w:val="24"/>
                <w:szCs w:val="24"/>
              </w:rPr>
            </w:pPr>
            <w:r>
              <w:rPr/>
              <w:t>6.2550</w:t>
            </w:r>
          </w:p>
        </w:tc>
        <w:tc>
          <w:tcPr>
            <w:tcW w:w="900" w:type="dxa"/>
            <w:tcBorders/>
            <w:vAlign w:val="bottom"/>
          </w:tcPr>
          <w:p>
            <w:pPr>
              <w:pStyle w:val="Normal"/>
              <w:tabs>
                <w:tab w:val="clear" w:pos="720"/>
              </w:tabs>
              <w:jc w:val="right"/>
              <w:rPr>
                <w:sz w:val="24"/>
                <w:szCs w:val="24"/>
              </w:rPr>
            </w:pPr>
            <w:r>
              <w:rPr>
                <w:b/>
              </w:rPr>
              <w:t>0.0047</w:t>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right"/>
              <w:rPr>
                <w:sz w:val="24"/>
                <w:szCs w:val="24"/>
              </w:rPr>
            </w:pPr>
            <w:r>
              <w:rPr/>
              <w:t>3</w:t>
            </w:r>
          </w:p>
        </w:tc>
        <w:tc>
          <w:tcPr>
            <w:tcW w:w="900" w:type="dxa"/>
            <w:tcBorders/>
            <w:vAlign w:val="bottom"/>
          </w:tcPr>
          <w:p>
            <w:pPr>
              <w:pStyle w:val="Normal"/>
              <w:tabs>
                <w:tab w:val="clear" w:pos="720"/>
              </w:tabs>
              <w:jc w:val="right"/>
              <w:rPr>
                <w:sz w:val="24"/>
                <w:szCs w:val="24"/>
              </w:rPr>
            </w:pPr>
            <w:r>
              <w:rPr/>
              <w:t>5.8110</w:t>
            </w:r>
          </w:p>
        </w:tc>
        <w:tc>
          <w:tcPr>
            <w:tcW w:w="900" w:type="dxa"/>
            <w:tcBorders/>
            <w:vAlign w:val="bottom"/>
          </w:tcPr>
          <w:p>
            <w:pPr>
              <w:pStyle w:val="Normal"/>
              <w:tabs>
                <w:tab w:val="clear" w:pos="720"/>
              </w:tabs>
              <w:jc w:val="right"/>
              <w:rPr>
                <w:sz w:val="24"/>
                <w:szCs w:val="24"/>
              </w:rPr>
            </w:pPr>
            <w:r>
              <w:rPr>
                <w:b/>
              </w:rPr>
              <w:t>0.0093</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right"/>
              <w:rPr>
                <w:sz w:val="24"/>
                <w:szCs w:val="24"/>
              </w:rPr>
            </w:pPr>
            <w:r>
              <w:rPr/>
              <w:t>3</w:t>
            </w:r>
          </w:p>
        </w:tc>
        <w:tc>
          <w:tcPr>
            <w:tcW w:w="810" w:type="dxa"/>
            <w:tcBorders/>
            <w:vAlign w:val="bottom"/>
          </w:tcPr>
          <w:p>
            <w:pPr>
              <w:pStyle w:val="Normal"/>
              <w:tabs>
                <w:tab w:val="clear" w:pos="720"/>
              </w:tabs>
              <w:jc w:val="right"/>
              <w:rPr>
                <w:sz w:val="24"/>
                <w:szCs w:val="24"/>
              </w:rPr>
            </w:pPr>
            <w:r>
              <w:rPr/>
              <w:t>9.2687</w:t>
            </w:r>
          </w:p>
        </w:tc>
        <w:tc>
          <w:tcPr>
            <w:tcW w:w="990" w:type="dxa"/>
            <w:tcBorders/>
            <w:vAlign w:val="bottom"/>
          </w:tcPr>
          <w:p>
            <w:pPr>
              <w:pStyle w:val="Normal"/>
              <w:tabs>
                <w:tab w:val="clear" w:pos="720"/>
              </w:tabs>
              <w:jc w:val="right"/>
              <w:rPr>
                <w:sz w:val="24"/>
                <w:szCs w:val="24"/>
              </w:rPr>
            </w:pPr>
            <w:r>
              <w:rPr>
                <w:b/>
              </w:rPr>
              <w:t>0.0014</w:t>
            </w:r>
          </w:p>
        </w:tc>
      </w:tr>
      <w:tr>
        <w:trPr>
          <w:trHeight w:val="300" w:hRule="atLeast"/>
        </w:trPr>
        <w:tc>
          <w:tcPr>
            <w:tcW w:w="202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45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13</w:t>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9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r>
      <w:tr>
        <w:trPr>
          <w:trHeight w:val="300" w:hRule="atLeast"/>
        </w:trPr>
        <w:tc>
          <w:tcPr>
            <w:tcW w:w="2020" w:type="dxa"/>
            <w:tcBorders/>
            <w:vAlign w:val="bottom"/>
          </w:tcPr>
          <w:p>
            <w:pPr>
              <w:pStyle w:val="Normal"/>
              <w:tabs>
                <w:tab w:val="clear" w:pos="720"/>
              </w:tabs>
              <w:jc w:val="left"/>
              <w:rPr>
                <w:sz w:val="24"/>
                <w:szCs w:val="24"/>
              </w:rPr>
            </w:pPr>
            <w:r>
              <w:rPr>
                <w:b/>
              </w:rPr>
              <w:t>MIDDLE</w:t>
            </w:r>
          </w:p>
        </w:tc>
        <w:tc>
          <w:tcPr>
            <w:tcW w:w="50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900" w:type="dxa"/>
            <w:tcBorders/>
            <w:vAlign w:val="bottom"/>
          </w:tcPr>
          <w:p>
            <w:pPr>
              <w:pStyle w:val="Normal"/>
              <w:tabs>
                <w:tab w:val="clear" w:pos="720"/>
              </w:tabs>
              <w:jc w:val="left"/>
              <w:rPr>
                <w:sz w:val="24"/>
                <w:szCs w:val="24"/>
              </w:rPr>
            </w:pPr>
            <w:r>
              <w:rPr/>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left"/>
              <w:rPr>
                <w:sz w:val="24"/>
                <w:szCs w:val="24"/>
              </w:rPr>
            </w:pPr>
            <w:r>
              <w:rPr/>
            </w:r>
          </w:p>
        </w:tc>
        <w:tc>
          <w:tcPr>
            <w:tcW w:w="990" w:type="dxa"/>
            <w:tcBorders/>
            <w:vAlign w:val="bottom"/>
          </w:tcPr>
          <w:p>
            <w:pPr>
              <w:pStyle w:val="Normal"/>
              <w:tabs>
                <w:tab w:val="clear" w:pos="720"/>
              </w:tabs>
              <w:jc w:val="left"/>
              <w:rPr>
                <w:sz w:val="24"/>
                <w:szCs w:val="24"/>
              </w:rPr>
            </w:pPr>
            <w:r>
              <w:rPr/>
            </w:r>
          </w:p>
        </w:tc>
      </w:tr>
      <w:tr>
        <w:trPr>
          <w:trHeight w:val="276" w:hRule="atLeast"/>
        </w:trPr>
        <w:tc>
          <w:tcPr>
            <w:tcW w:w="2020" w:type="dxa"/>
            <w:tcBorders/>
            <w:vAlign w:val="bottom"/>
          </w:tcPr>
          <w:p>
            <w:pPr>
              <w:pStyle w:val="Normal"/>
              <w:tabs>
                <w:tab w:val="clear" w:pos="720"/>
              </w:tabs>
              <w:jc w:val="left"/>
              <w:rPr>
                <w:sz w:val="24"/>
                <w:szCs w:val="24"/>
              </w:rPr>
            </w:pPr>
            <w:r>
              <w:rPr/>
              <w:t>Block</w:t>
            </w:r>
          </w:p>
        </w:tc>
        <w:tc>
          <w:tcPr>
            <w:tcW w:w="500" w:type="dxa"/>
            <w:tcBorders/>
            <w:vAlign w:val="bottom"/>
          </w:tcPr>
          <w:p>
            <w:pPr>
              <w:pStyle w:val="Normal"/>
              <w:tabs>
                <w:tab w:val="clear" w:pos="720"/>
              </w:tabs>
              <w:jc w:val="right"/>
              <w:rPr>
                <w:sz w:val="24"/>
                <w:szCs w:val="24"/>
              </w:rPr>
            </w:pPr>
            <w:r>
              <w:rPr/>
              <w:t>1</w:t>
            </w:r>
          </w:p>
        </w:tc>
        <w:tc>
          <w:tcPr>
            <w:tcW w:w="810" w:type="dxa"/>
            <w:tcBorders/>
            <w:vAlign w:val="bottom"/>
          </w:tcPr>
          <w:p>
            <w:pPr>
              <w:pStyle w:val="Normal"/>
              <w:tabs>
                <w:tab w:val="clear" w:pos="720"/>
              </w:tabs>
              <w:jc w:val="right"/>
              <w:rPr>
                <w:sz w:val="24"/>
                <w:szCs w:val="24"/>
              </w:rPr>
            </w:pPr>
            <w:r>
              <w:rPr/>
              <w:t>0.6195</w:t>
            </w:r>
          </w:p>
        </w:tc>
        <w:tc>
          <w:tcPr>
            <w:tcW w:w="810" w:type="dxa"/>
            <w:tcBorders/>
            <w:vAlign w:val="bottom"/>
          </w:tcPr>
          <w:p>
            <w:pPr>
              <w:pStyle w:val="Normal"/>
              <w:tabs>
                <w:tab w:val="clear" w:pos="720"/>
              </w:tabs>
              <w:jc w:val="right"/>
              <w:rPr>
                <w:sz w:val="24"/>
                <w:szCs w:val="24"/>
              </w:rPr>
            </w:pPr>
            <w:r>
              <w:rPr/>
              <w:t>0.4312</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right"/>
              <w:rPr>
                <w:sz w:val="24"/>
                <w:szCs w:val="24"/>
              </w:rPr>
            </w:pPr>
            <w:r>
              <w:rPr/>
              <w:t>NA</w:t>
            </w:r>
          </w:p>
        </w:tc>
        <w:tc>
          <w:tcPr>
            <w:tcW w:w="900" w:type="dxa"/>
            <w:tcBorders/>
            <w:vAlign w:val="bottom"/>
          </w:tcPr>
          <w:p>
            <w:pPr>
              <w:pStyle w:val="Normal"/>
              <w:tabs>
                <w:tab w:val="clear" w:pos="720"/>
              </w:tabs>
              <w:jc w:val="right"/>
              <w:rPr>
                <w:sz w:val="24"/>
                <w:szCs w:val="24"/>
              </w:rPr>
            </w:pPr>
            <w:r>
              <w:rPr/>
              <w:t>NA</w:t>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right"/>
              <w:rPr>
                <w:sz w:val="24"/>
                <w:szCs w:val="24"/>
              </w:rPr>
            </w:pPr>
            <w:r>
              <w:rPr/>
              <w:t>1</w:t>
            </w:r>
          </w:p>
        </w:tc>
        <w:tc>
          <w:tcPr>
            <w:tcW w:w="900" w:type="dxa"/>
            <w:tcBorders/>
            <w:vAlign w:val="bottom"/>
          </w:tcPr>
          <w:p>
            <w:pPr>
              <w:pStyle w:val="Normal"/>
              <w:tabs>
                <w:tab w:val="clear" w:pos="720"/>
              </w:tabs>
              <w:jc w:val="right"/>
              <w:rPr>
                <w:sz w:val="24"/>
                <w:szCs w:val="24"/>
              </w:rPr>
            </w:pPr>
            <w:r>
              <w:rPr/>
              <w:t>10.287</w:t>
            </w:r>
          </w:p>
        </w:tc>
        <w:tc>
          <w:tcPr>
            <w:tcW w:w="900" w:type="dxa"/>
            <w:tcBorders/>
            <w:vAlign w:val="bottom"/>
          </w:tcPr>
          <w:p>
            <w:pPr>
              <w:pStyle w:val="Normal"/>
              <w:tabs>
                <w:tab w:val="clear" w:pos="720"/>
              </w:tabs>
              <w:jc w:val="right"/>
              <w:rPr>
                <w:sz w:val="24"/>
                <w:szCs w:val="24"/>
              </w:rPr>
            </w:pPr>
            <w:r>
              <w:rPr>
                <w:b/>
              </w:rPr>
              <w:t>0.00134</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left"/>
              <w:rPr>
                <w:sz w:val="24"/>
                <w:szCs w:val="24"/>
              </w:rPr>
            </w:pPr>
            <w:r>
              <w:rPr/>
            </w:r>
          </w:p>
        </w:tc>
        <w:tc>
          <w:tcPr>
            <w:tcW w:w="810" w:type="dxa"/>
            <w:tcBorders/>
            <w:vAlign w:val="bottom"/>
          </w:tcPr>
          <w:p>
            <w:pPr>
              <w:pStyle w:val="Normal"/>
              <w:tabs>
                <w:tab w:val="clear" w:pos="720"/>
              </w:tabs>
              <w:jc w:val="right"/>
              <w:rPr>
                <w:sz w:val="24"/>
                <w:szCs w:val="24"/>
              </w:rPr>
            </w:pPr>
            <w:r>
              <w:rPr/>
              <w:t>NA</w:t>
            </w:r>
          </w:p>
        </w:tc>
        <w:tc>
          <w:tcPr>
            <w:tcW w:w="990" w:type="dxa"/>
            <w:tcBorders/>
            <w:vAlign w:val="bottom"/>
          </w:tcPr>
          <w:p>
            <w:pPr>
              <w:pStyle w:val="Normal"/>
              <w:tabs>
                <w:tab w:val="clear" w:pos="720"/>
              </w:tabs>
              <w:jc w:val="right"/>
              <w:rPr>
                <w:sz w:val="24"/>
                <w:szCs w:val="24"/>
              </w:rPr>
            </w:pPr>
            <w:r>
              <w:rPr/>
              <w:t>NA</w:t>
            </w:r>
          </w:p>
        </w:tc>
      </w:tr>
      <w:tr>
        <w:trPr>
          <w:trHeight w:val="300" w:hRule="atLeast"/>
        </w:trPr>
        <w:tc>
          <w:tcPr>
            <w:tcW w:w="2020" w:type="dxa"/>
            <w:tcBorders/>
            <w:vAlign w:val="bottom"/>
          </w:tcPr>
          <w:p>
            <w:pPr>
              <w:pStyle w:val="Normal"/>
              <w:tabs>
                <w:tab w:val="clear" w:pos="720"/>
              </w:tabs>
              <w:jc w:val="left"/>
              <w:rPr>
                <w:sz w:val="24"/>
                <w:szCs w:val="24"/>
              </w:rPr>
            </w:pPr>
            <w:r>
              <w:rPr/>
              <w:t>Treatment (A,B,C)</w:t>
            </w:r>
          </w:p>
        </w:tc>
        <w:tc>
          <w:tcPr>
            <w:tcW w:w="500" w:type="dxa"/>
            <w:tcBorders/>
            <w:vAlign w:val="bottom"/>
          </w:tcPr>
          <w:p>
            <w:pPr>
              <w:pStyle w:val="Normal"/>
              <w:tabs>
                <w:tab w:val="clear" w:pos="720"/>
              </w:tabs>
              <w:jc w:val="right"/>
              <w:rPr>
                <w:sz w:val="24"/>
                <w:szCs w:val="24"/>
              </w:rPr>
            </w:pPr>
            <w:r>
              <w:rPr/>
              <w:t>2</w:t>
            </w:r>
          </w:p>
        </w:tc>
        <w:tc>
          <w:tcPr>
            <w:tcW w:w="810" w:type="dxa"/>
            <w:tcBorders/>
            <w:vAlign w:val="bottom"/>
          </w:tcPr>
          <w:p>
            <w:pPr>
              <w:pStyle w:val="Normal"/>
              <w:tabs>
                <w:tab w:val="clear" w:pos="720"/>
              </w:tabs>
              <w:jc w:val="right"/>
              <w:rPr>
                <w:sz w:val="24"/>
                <w:szCs w:val="24"/>
              </w:rPr>
            </w:pPr>
            <w:r>
              <w:rPr/>
              <w:t>1.6408</w:t>
            </w:r>
          </w:p>
        </w:tc>
        <w:tc>
          <w:tcPr>
            <w:tcW w:w="810" w:type="dxa"/>
            <w:tcBorders/>
            <w:vAlign w:val="bottom"/>
          </w:tcPr>
          <w:p>
            <w:pPr>
              <w:pStyle w:val="Normal"/>
              <w:tabs>
                <w:tab w:val="clear" w:pos="720"/>
              </w:tabs>
              <w:jc w:val="right"/>
              <w:rPr>
                <w:sz w:val="24"/>
                <w:szCs w:val="24"/>
              </w:rPr>
            </w:pPr>
            <w:r>
              <w:rPr/>
              <w:t>0.2530</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right"/>
              <w:rPr>
                <w:sz w:val="24"/>
                <w:szCs w:val="24"/>
              </w:rPr>
            </w:pPr>
            <w:r>
              <w:rPr/>
              <w:t>2</w:t>
            </w:r>
          </w:p>
        </w:tc>
        <w:tc>
          <w:tcPr>
            <w:tcW w:w="810" w:type="dxa"/>
            <w:tcBorders/>
            <w:vAlign w:val="bottom"/>
          </w:tcPr>
          <w:p>
            <w:pPr>
              <w:pStyle w:val="Normal"/>
              <w:tabs>
                <w:tab w:val="clear" w:pos="720"/>
              </w:tabs>
              <w:jc w:val="right"/>
              <w:rPr>
                <w:sz w:val="24"/>
                <w:szCs w:val="24"/>
              </w:rPr>
            </w:pPr>
            <w:r>
              <w:rPr/>
              <w:t>2.7470</w:t>
            </w:r>
          </w:p>
        </w:tc>
        <w:tc>
          <w:tcPr>
            <w:tcW w:w="900" w:type="dxa"/>
            <w:tcBorders/>
            <w:vAlign w:val="bottom"/>
          </w:tcPr>
          <w:p>
            <w:pPr>
              <w:pStyle w:val="Normal"/>
              <w:tabs>
                <w:tab w:val="clear" w:pos="720"/>
              </w:tabs>
              <w:jc w:val="right"/>
              <w:rPr>
                <w:sz w:val="24"/>
                <w:szCs w:val="24"/>
              </w:rPr>
            </w:pPr>
            <w:r>
              <w:rPr/>
              <w:t>0.1012</w:t>
            </w:r>
          </w:p>
        </w:tc>
        <w:tc>
          <w:tcPr>
            <w:tcW w:w="180" w:type="dxa"/>
            <w:tcBorders/>
            <w:vAlign w:val="bottom"/>
          </w:tcPr>
          <w:p>
            <w:pPr>
              <w:pStyle w:val="Normal"/>
              <w:tabs>
                <w:tab w:val="clear" w:pos="720"/>
              </w:tabs>
              <w:jc w:val="left"/>
              <w:rPr>
                <w:sz w:val="24"/>
                <w:szCs w:val="24"/>
              </w:rPr>
            </w:pPr>
            <w:r>
              <w:rPr/>
            </w:r>
          </w:p>
        </w:tc>
        <w:tc>
          <w:tcPr>
            <w:tcW w:w="450" w:type="dxa"/>
            <w:tcBorders/>
            <w:vAlign w:val="bottom"/>
          </w:tcPr>
          <w:p>
            <w:pPr>
              <w:pStyle w:val="Normal"/>
              <w:tabs>
                <w:tab w:val="clear" w:pos="720"/>
              </w:tabs>
              <w:jc w:val="right"/>
              <w:rPr>
                <w:sz w:val="24"/>
                <w:szCs w:val="24"/>
              </w:rPr>
            </w:pPr>
            <w:r>
              <w:rPr/>
              <w:t>2</w:t>
            </w:r>
          </w:p>
        </w:tc>
        <w:tc>
          <w:tcPr>
            <w:tcW w:w="900" w:type="dxa"/>
            <w:tcBorders/>
            <w:vAlign w:val="bottom"/>
          </w:tcPr>
          <w:p>
            <w:pPr>
              <w:pStyle w:val="Normal"/>
              <w:tabs>
                <w:tab w:val="clear" w:pos="720"/>
              </w:tabs>
              <w:jc w:val="right"/>
              <w:rPr>
                <w:sz w:val="24"/>
                <w:szCs w:val="24"/>
              </w:rPr>
            </w:pPr>
            <w:r>
              <w:rPr/>
              <w:t>1.9691</w:t>
            </w:r>
          </w:p>
        </w:tc>
        <w:tc>
          <w:tcPr>
            <w:tcW w:w="900" w:type="dxa"/>
            <w:tcBorders/>
            <w:vAlign w:val="bottom"/>
          </w:tcPr>
          <w:p>
            <w:pPr>
              <w:pStyle w:val="Normal"/>
              <w:tabs>
                <w:tab w:val="clear" w:pos="720"/>
              </w:tabs>
              <w:jc w:val="right"/>
              <w:rPr>
                <w:sz w:val="24"/>
                <w:szCs w:val="24"/>
              </w:rPr>
            </w:pPr>
            <w:r>
              <w:rPr/>
              <w:t>0.2004</w:t>
            </w:r>
          </w:p>
        </w:tc>
        <w:tc>
          <w:tcPr>
            <w:tcW w:w="180" w:type="dxa"/>
            <w:tcBorders/>
            <w:vAlign w:val="bottom"/>
          </w:tcPr>
          <w:p>
            <w:pPr>
              <w:pStyle w:val="Normal"/>
              <w:tabs>
                <w:tab w:val="clear" w:pos="720"/>
              </w:tabs>
              <w:jc w:val="left"/>
              <w:rPr>
                <w:sz w:val="24"/>
                <w:szCs w:val="24"/>
              </w:rPr>
            </w:pPr>
            <w:r>
              <w:rPr/>
            </w:r>
          </w:p>
        </w:tc>
        <w:tc>
          <w:tcPr>
            <w:tcW w:w="360" w:type="dxa"/>
            <w:tcBorders/>
            <w:vAlign w:val="bottom"/>
          </w:tcPr>
          <w:p>
            <w:pPr>
              <w:pStyle w:val="Normal"/>
              <w:tabs>
                <w:tab w:val="clear" w:pos="720"/>
              </w:tabs>
              <w:jc w:val="right"/>
              <w:rPr>
                <w:sz w:val="24"/>
                <w:szCs w:val="24"/>
              </w:rPr>
            </w:pPr>
            <w:r>
              <w:rPr/>
              <w:t>2</w:t>
            </w:r>
          </w:p>
        </w:tc>
        <w:tc>
          <w:tcPr>
            <w:tcW w:w="810" w:type="dxa"/>
            <w:tcBorders/>
            <w:vAlign w:val="bottom"/>
          </w:tcPr>
          <w:p>
            <w:pPr>
              <w:pStyle w:val="Normal"/>
              <w:tabs>
                <w:tab w:val="clear" w:pos="720"/>
              </w:tabs>
              <w:jc w:val="right"/>
              <w:rPr>
                <w:sz w:val="24"/>
                <w:szCs w:val="24"/>
              </w:rPr>
            </w:pPr>
            <w:r>
              <w:rPr/>
              <w:t>2.1129</w:t>
            </w:r>
          </w:p>
        </w:tc>
        <w:tc>
          <w:tcPr>
            <w:tcW w:w="990" w:type="dxa"/>
            <w:tcBorders/>
            <w:vAlign w:val="bottom"/>
          </w:tcPr>
          <w:p>
            <w:pPr>
              <w:pStyle w:val="Normal"/>
              <w:tabs>
                <w:tab w:val="clear" w:pos="720"/>
              </w:tabs>
              <w:jc w:val="right"/>
              <w:rPr>
                <w:sz w:val="24"/>
                <w:szCs w:val="24"/>
              </w:rPr>
            </w:pPr>
            <w:r>
              <w:rPr/>
              <w:t>0.1716</w:t>
            </w:r>
          </w:p>
        </w:tc>
      </w:tr>
      <w:tr>
        <w:trPr>
          <w:trHeight w:val="300" w:hRule="atLeast"/>
        </w:trPr>
        <w:tc>
          <w:tcPr>
            <w:tcW w:w="202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t>Error</w:t>
            </w:r>
          </w:p>
        </w:tc>
        <w:tc>
          <w:tcPr>
            <w:tcW w:w="50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8</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45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8</w:t>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0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18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360" w:type="dxa"/>
            <w:tcBorders>
              <w:bottom w:val="single" w:sz="4" w:space="0" w:color="000000"/>
            </w:tcBorders>
            <w:tcMar>
              <w:top w:w="55" w:type="dxa"/>
              <w:left w:w="55" w:type="dxa"/>
              <w:bottom w:w="55" w:type="dxa"/>
              <w:right w:w="55" w:type="dxa"/>
            </w:tcMar>
            <w:vAlign w:val="bottom"/>
          </w:tcPr>
          <w:p>
            <w:pPr>
              <w:pStyle w:val="Normal"/>
              <w:tabs>
                <w:tab w:val="clear" w:pos="720"/>
              </w:tabs>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c>
          <w:tcPr>
            <w:tcW w:w="990" w:type="dxa"/>
            <w:tcBorders>
              <w:bottom w:val="single" w:sz="4" w:space="0" w:color="000000"/>
            </w:tcBorders>
            <w:tcMar>
              <w:top w:w="55" w:type="dxa"/>
              <w:left w:w="55" w:type="dxa"/>
              <w:bottom w:w="55" w:type="dxa"/>
              <w:right w:w="55" w:type="dxa"/>
            </w:tcMar>
            <w:vAlign w:val="bottom"/>
          </w:tcPr>
          <w:p>
            <w:pPr>
              <w:pStyle w:val="Normal"/>
              <w:tabs>
                <w:tab w:val="clear" w:pos="720"/>
              </w:tabs>
              <w:jc w:val="left"/>
              <w:rPr>
                <w:sz w:val="24"/>
                <w:szCs w:val="24"/>
              </w:rPr>
            </w:pPr>
            <w:r>
              <w:rPr/>
            </w:r>
          </w:p>
        </w:tc>
      </w:tr>
    </w:tbl>
    <w:p>
      <w:pPr>
        <w:pStyle w:val="Normal"/>
        <w:rPr>
          <w:sz w:val="24"/>
          <w:szCs w:val="24"/>
        </w:rPr>
      </w:pPr>
      <w:r>
        <w:rPr/>
      </w:r>
    </w:p>
    <w:p>
      <w:pPr>
        <w:pStyle w:val="Normal"/>
        <w:spacing w:lineRule="auto" w:line="480"/>
        <w:rPr>
          <w:sz w:val="24"/>
          <w:szCs w:val="24"/>
        </w:rPr>
      </w:pPr>
      <w:r>
        <w:rPr>
          <w:b/>
          <w:sz w:val="24"/>
          <w:szCs w:val="24"/>
        </w:rPr>
        <w:t>T</w:t>
      </w:r>
      <w:r>
        <w:rPr>
          <w:b/>
          <w:sz w:val="24"/>
          <w:szCs w:val="24"/>
        </w:rPr>
        <w:t xml:space="preserve">able </w:t>
      </w:r>
      <w:r>
        <w:rPr>
          <w:b/>
          <w:sz w:val="24"/>
          <w:szCs w:val="24"/>
        </w:rPr>
        <w:t>5</w:t>
      </w:r>
      <w:r>
        <w:rPr>
          <w:b/>
          <w:sz w:val="24"/>
          <w:szCs w:val="24"/>
        </w:rPr>
        <w:t>.</w:t>
      </w:r>
      <w:r>
        <w:rPr>
          <w:sz w:val="24"/>
          <w:szCs w:val="24"/>
        </w:rPr>
        <w:t xml:space="preserve"> </w:t>
      </w:r>
      <w:r>
        <w:rPr>
          <w:sz w:val="24"/>
          <w:szCs w:val="24"/>
        </w:rPr>
        <w:t xml:space="preserve">ANOVA and liklihood ratio test statistics and probabilities for linear (mixed) models of block and treatment effects on </w:t>
      </w:r>
      <w:r>
        <w:rPr>
          <w:sz w:val="24"/>
          <w:szCs w:val="24"/>
        </w:rPr>
        <w:t xml:space="preserve"> annual basal area growth </w:t>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w:t>
      </w:r>
      <w:r>
        <w:rPr>
          <w:sz w:val="24"/>
          <w:szCs w:val="24"/>
        </w:rPr>
        <w:t>ies</w:t>
      </w:r>
      <w:r>
        <w:rPr>
          <w:sz w:val="24"/>
          <w:szCs w:val="24"/>
        </w:rPr>
        <w:t xml:space="preserve"> across early, middle, and late measurement periods. *</w:t>
      </w:r>
      <w:r>
        <w:rPr>
          <w:sz w:val="24"/>
          <w:szCs w:val="24"/>
        </w:rPr>
        <w:t>T</w:t>
      </w:r>
      <w:r>
        <w:rPr>
          <w:sz w:val="24"/>
          <w:szCs w:val="24"/>
        </w:rPr>
        <w:t xml:space="preserve">est statistic: random effect of block= LRT; fixed effect of treatment = F. </w:t>
      </w:r>
      <w:r>
        <w:rPr>
          <w:sz w:val="24"/>
          <w:szCs w:val="24"/>
        </w:rPr>
        <w:t>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r>
    </w:p>
    <w:tbl>
      <w:tblPr>
        <w:tblW w:w="9630" w:type="dxa"/>
        <w:jc w:val="left"/>
        <w:tblInd w:w="-5" w:type="dxa"/>
        <w:tblLayout w:type="fixed"/>
        <w:tblCellMar>
          <w:top w:w="55" w:type="dxa"/>
          <w:left w:w="55" w:type="dxa"/>
          <w:bottom w:w="55" w:type="dxa"/>
          <w:right w:w="55" w:type="dxa"/>
        </w:tblCellMar>
      </w:tblPr>
      <w:tblGrid>
        <w:gridCol w:w="994"/>
        <w:gridCol w:w="963"/>
        <w:gridCol w:w="964"/>
        <w:gridCol w:w="190"/>
        <w:gridCol w:w="965"/>
        <w:gridCol w:w="1144"/>
        <w:gridCol w:w="90"/>
        <w:gridCol w:w="836"/>
        <w:gridCol w:w="1234"/>
        <w:gridCol w:w="180"/>
        <w:gridCol w:w="900"/>
        <w:gridCol w:w="1170"/>
      </w:tblGrid>
      <w:tr>
        <w:trPr>
          <w:trHeight w:val="630" w:hRule="atLeast"/>
        </w:trPr>
        <w:tc>
          <w:tcPr>
            <w:tcW w:w="994" w:type="dxa"/>
            <w:tcBorders>
              <w:top w:val="single" w:sz="4" w:space="0" w:color="000000"/>
            </w:tcBorders>
            <w:vAlign w:val="bottom"/>
          </w:tcPr>
          <w:p>
            <w:pPr>
              <w:pStyle w:val="Normal"/>
              <w:tabs>
                <w:tab w:val="clear" w:pos="720"/>
              </w:tabs>
              <w:jc w:val="left"/>
              <w:rPr>
                <w:sz w:val="24"/>
                <w:szCs w:val="24"/>
              </w:rPr>
            </w:pPr>
            <w:r>
              <w:rPr/>
            </w:r>
          </w:p>
        </w:tc>
        <w:tc>
          <w:tcPr>
            <w:tcW w:w="1927" w:type="dxa"/>
            <w:gridSpan w:val="2"/>
            <w:tcBorders>
              <w:top w:val="single" w:sz="4" w:space="0" w:color="000000"/>
              <w:bottom w:val="single" w:sz="4" w:space="0" w:color="000000"/>
            </w:tcBorders>
            <w:vAlign w:val="bottom"/>
          </w:tcPr>
          <w:p>
            <w:pPr>
              <w:pStyle w:val="Normal"/>
              <w:tabs>
                <w:tab w:val="clear" w:pos="720"/>
              </w:tabs>
              <w:jc w:val="center"/>
              <w:rPr>
                <w:sz w:val="24"/>
                <w:szCs w:val="24"/>
              </w:rPr>
            </w:pPr>
            <w:r>
              <w:rPr/>
              <w:t>annual BA increment</w:t>
            </w:r>
          </w:p>
        </w:tc>
        <w:tc>
          <w:tcPr>
            <w:tcW w:w="190" w:type="dxa"/>
            <w:tcBorders>
              <w:top w:val="single" w:sz="4" w:space="0" w:color="000000"/>
            </w:tcBorders>
            <w:vAlign w:val="bottom"/>
          </w:tcPr>
          <w:p>
            <w:pPr>
              <w:pStyle w:val="Normal"/>
              <w:tabs>
                <w:tab w:val="clear" w:pos="720"/>
              </w:tabs>
              <w:jc w:val="left"/>
              <w:rPr>
                <w:sz w:val="24"/>
                <w:szCs w:val="24"/>
              </w:rPr>
            </w:pPr>
            <w:r>
              <w:rPr/>
            </w:r>
          </w:p>
        </w:tc>
        <w:tc>
          <w:tcPr>
            <w:tcW w:w="2109" w:type="dxa"/>
            <w:gridSpan w:val="2"/>
            <w:tcBorders>
              <w:top w:val="single" w:sz="4" w:space="0" w:color="000000"/>
              <w:bottom w:val="single" w:sz="4" w:space="0" w:color="000000"/>
            </w:tcBorders>
            <w:vAlign w:val="bottom"/>
          </w:tcPr>
          <w:p>
            <w:pPr>
              <w:pStyle w:val="Normal"/>
              <w:tabs>
                <w:tab w:val="clear" w:pos="720"/>
              </w:tabs>
              <w:jc w:val="center"/>
              <w:rPr>
                <w:sz w:val="24"/>
                <w:szCs w:val="24"/>
              </w:rPr>
            </w:pPr>
            <w:r>
              <w:rPr/>
              <w:t>annual total mortality</w:t>
            </w:r>
          </w:p>
        </w:tc>
        <w:tc>
          <w:tcPr>
            <w:tcW w:w="90" w:type="dxa"/>
            <w:tcBorders>
              <w:top w:val="single" w:sz="4" w:space="0" w:color="000000"/>
            </w:tcBorders>
            <w:vAlign w:val="bottom"/>
          </w:tcPr>
          <w:p>
            <w:pPr>
              <w:pStyle w:val="Normal"/>
              <w:tabs>
                <w:tab w:val="clear" w:pos="720"/>
              </w:tabs>
              <w:jc w:val="left"/>
              <w:rPr>
                <w:sz w:val="24"/>
                <w:szCs w:val="24"/>
              </w:rPr>
            </w:pPr>
            <w:r>
              <w:rPr/>
            </w:r>
          </w:p>
        </w:tc>
        <w:tc>
          <w:tcPr>
            <w:tcW w:w="2070" w:type="dxa"/>
            <w:gridSpan w:val="2"/>
            <w:tcBorders>
              <w:top w:val="single" w:sz="4" w:space="0" w:color="000000"/>
              <w:bottom w:val="single" w:sz="4" w:space="0" w:color="000000"/>
            </w:tcBorders>
            <w:vAlign w:val="bottom"/>
          </w:tcPr>
          <w:p>
            <w:pPr>
              <w:pStyle w:val="Normal"/>
              <w:tabs>
                <w:tab w:val="clear" w:pos="720"/>
              </w:tabs>
              <w:jc w:val="center"/>
              <w:rPr>
                <w:sz w:val="24"/>
                <w:szCs w:val="24"/>
              </w:rPr>
            </w:pPr>
            <w:r>
              <w:rPr/>
              <w:t>annual LRR mortality</w:t>
            </w:r>
          </w:p>
        </w:tc>
        <w:tc>
          <w:tcPr>
            <w:tcW w:w="180" w:type="dxa"/>
            <w:tcBorders>
              <w:top w:val="single" w:sz="4" w:space="0" w:color="000000"/>
            </w:tcBorders>
            <w:vAlign w:val="bottom"/>
          </w:tcPr>
          <w:p>
            <w:pPr>
              <w:pStyle w:val="Normal"/>
              <w:tabs>
                <w:tab w:val="clear" w:pos="720"/>
              </w:tabs>
              <w:jc w:val="left"/>
              <w:rPr>
                <w:sz w:val="24"/>
                <w:szCs w:val="24"/>
              </w:rPr>
            </w:pPr>
            <w:r>
              <w:rPr/>
            </w:r>
          </w:p>
        </w:tc>
        <w:tc>
          <w:tcPr>
            <w:tcW w:w="2070" w:type="dxa"/>
            <w:gridSpan w:val="2"/>
            <w:tcBorders>
              <w:top w:val="single" w:sz="4" w:space="0" w:color="000000"/>
              <w:bottom w:val="single" w:sz="4" w:space="0" w:color="000000"/>
            </w:tcBorders>
            <w:vAlign w:val="bottom"/>
          </w:tcPr>
          <w:p>
            <w:pPr>
              <w:pStyle w:val="Normal"/>
              <w:tabs>
                <w:tab w:val="clear" w:pos="720"/>
              </w:tabs>
              <w:jc w:val="center"/>
              <w:rPr>
                <w:sz w:val="24"/>
                <w:szCs w:val="24"/>
              </w:rPr>
            </w:pPr>
            <w:r>
              <w:rPr/>
              <w:t>annual suppression mortality</w:t>
            </w:r>
          </w:p>
        </w:tc>
      </w:tr>
      <w:tr>
        <w:trPr>
          <w:trHeight w:val="300" w:hRule="atLeast"/>
        </w:trPr>
        <w:tc>
          <w:tcPr>
            <w:tcW w:w="994" w:type="dxa"/>
            <w:tcBorders>
              <w:bottom w:val="single" w:sz="4" w:space="0" w:color="000000"/>
            </w:tcBorders>
            <w:vAlign w:val="bottom"/>
          </w:tcPr>
          <w:p>
            <w:pPr>
              <w:pStyle w:val="Normal"/>
              <w:tabs>
                <w:tab w:val="clear" w:pos="720"/>
              </w:tabs>
              <w:jc w:val="left"/>
              <w:rPr>
                <w:sz w:val="24"/>
                <w:szCs w:val="24"/>
              </w:rPr>
            </w:pPr>
            <w:r>
              <w:rPr/>
            </w:r>
          </w:p>
        </w:tc>
        <w:tc>
          <w:tcPr>
            <w:tcW w:w="963" w:type="dxa"/>
            <w:tcBorders>
              <w:bottom w:val="single" w:sz="4" w:space="0" w:color="000000"/>
            </w:tcBorders>
            <w:vAlign w:val="bottom"/>
          </w:tcPr>
          <w:p>
            <w:pPr>
              <w:pStyle w:val="Normal"/>
              <w:tabs>
                <w:tab w:val="clear" w:pos="720"/>
              </w:tabs>
              <w:jc w:val="left"/>
              <w:rPr>
                <w:sz w:val="24"/>
                <w:szCs w:val="24"/>
              </w:rPr>
            </w:pPr>
            <w:r>
              <w:rPr/>
              <w:t>mean</w:t>
            </w:r>
          </w:p>
        </w:tc>
        <w:tc>
          <w:tcPr>
            <w:tcW w:w="964" w:type="dxa"/>
            <w:tcBorders>
              <w:bottom w:val="single" w:sz="4" w:space="0" w:color="000000"/>
            </w:tcBorders>
            <w:vAlign w:val="bottom"/>
          </w:tcPr>
          <w:p>
            <w:pPr>
              <w:pStyle w:val="Normal"/>
              <w:tabs>
                <w:tab w:val="clear" w:pos="720"/>
              </w:tabs>
              <w:jc w:val="left"/>
              <w:rPr>
                <w:sz w:val="24"/>
                <w:szCs w:val="24"/>
              </w:rPr>
            </w:pPr>
            <w:r>
              <w:rPr/>
              <w:t>SE</w:t>
            </w:r>
          </w:p>
        </w:tc>
        <w:tc>
          <w:tcPr>
            <w:tcW w:w="190"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left"/>
              <w:rPr>
                <w:sz w:val="24"/>
                <w:szCs w:val="24"/>
              </w:rPr>
            </w:pPr>
            <w:r>
              <w:rPr/>
              <w:t>mean</w:t>
            </w:r>
          </w:p>
        </w:tc>
        <w:tc>
          <w:tcPr>
            <w:tcW w:w="1144" w:type="dxa"/>
            <w:tcBorders>
              <w:bottom w:val="single" w:sz="4" w:space="0" w:color="000000"/>
            </w:tcBorders>
            <w:vAlign w:val="bottom"/>
          </w:tcPr>
          <w:p>
            <w:pPr>
              <w:pStyle w:val="Normal"/>
              <w:tabs>
                <w:tab w:val="clear" w:pos="720"/>
              </w:tabs>
              <w:jc w:val="left"/>
              <w:rPr>
                <w:sz w:val="24"/>
                <w:szCs w:val="24"/>
              </w:rPr>
            </w:pPr>
            <w:r>
              <w:rPr/>
              <w:t>SE</w:t>
            </w:r>
          </w:p>
        </w:tc>
        <w:tc>
          <w:tcPr>
            <w:tcW w:w="90" w:type="dxa"/>
            <w:tcBorders>
              <w:bottom w:val="single" w:sz="4" w:space="0" w:color="000000"/>
            </w:tcBorders>
            <w:vAlign w:val="bottom"/>
          </w:tcPr>
          <w:p>
            <w:pPr>
              <w:pStyle w:val="Normal"/>
              <w:tabs>
                <w:tab w:val="clear" w:pos="720"/>
              </w:tabs>
              <w:jc w:val="left"/>
              <w:rPr>
                <w:sz w:val="24"/>
                <w:szCs w:val="24"/>
              </w:rPr>
            </w:pPr>
            <w:r>
              <w:rPr/>
            </w:r>
          </w:p>
        </w:tc>
        <w:tc>
          <w:tcPr>
            <w:tcW w:w="836" w:type="dxa"/>
            <w:tcBorders>
              <w:bottom w:val="single" w:sz="4" w:space="0" w:color="000000"/>
            </w:tcBorders>
            <w:vAlign w:val="bottom"/>
          </w:tcPr>
          <w:p>
            <w:pPr>
              <w:pStyle w:val="Normal"/>
              <w:tabs>
                <w:tab w:val="clear" w:pos="720"/>
              </w:tabs>
              <w:jc w:val="left"/>
              <w:rPr>
                <w:sz w:val="24"/>
                <w:szCs w:val="24"/>
              </w:rPr>
            </w:pPr>
            <w:r>
              <w:rPr/>
              <w:t>mean</w:t>
            </w:r>
          </w:p>
        </w:tc>
        <w:tc>
          <w:tcPr>
            <w:tcW w:w="1234" w:type="dxa"/>
            <w:tcBorders>
              <w:bottom w:val="single" w:sz="4" w:space="0" w:color="000000"/>
            </w:tcBorders>
            <w:vAlign w:val="bottom"/>
          </w:tcPr>
          <w:p>
            <w:pPr>
              <w:pStyle w:val="Normal"/>
              <w:tabs>
                <w:tab w:val="clear" w:pos="720"/>
              </w:tabs>
              <w:jc w:val="left"/>
              <w:rPr>
                <w:sz w:val="24"/>
                <w:szCs w:val="24"/>
              </w:rPr>
            </w:pPr>
            <w:r>
              <w:rPr/>
              <w:t>SE</w:t>
            </w:r>
          </w:p>
        </w:tc>
        <w:tc>
          <w:tcPr>
            <w:tcW w:w="180" w:type="dxa"/>
            <w:tcBorders>
              <w:bottom w:val="single" w:sz="4" w:space="0" w:color="000000"/>
            </w:tcBorders>
            <w:vAlign w:val="bottom"/>
          </w:tcPr>
          <w:p>
            <w:pPr>
              <w:pStyle w:val="Normal"/>
              <w:tabs>
                <w:tab w:val="clear" w:pos="720"/>
              </w:tabs>
              <w:jc w:val="left"/>
              <w:rPr>
                <w:sz w:val="24"/>
                <w:szCs w:val="24"/>
              </w:rPr>
            </w:pPr>
            <w:r>
              <w:rPr/>
            </w:r>
          </w:p>
        </w:tc>
        <w:tc>
          <w:tcPr>
            <w:tcW w:w="900" w:type="dxa"/>
            <w:tcBorders>
              <w:bottom w:val="single" w:sz="4" w:space="0" w:color="000000"/>
            </w:tcBorders>
            <w:vAlign w:val="bottom"/>
          </w:tcPr>
          <w:p>
            <w:pPr>
              <w:pStyle w:val="Normal"/>
              <w:tabs>
                <w:tab w:val="clear" w:pos="720"/>
              </w:tabs>
              <w:jc w:val="left"/>
              <w:rPr>
                <w:sz w:val="24"/>
                <w:szCs w:val="24"/>
              </w:rPr>
            </w:pPr>
            <w:r>
              <w:rPr/>
              <w:t>mean</w:t>
            </w:r>
          </w:p>
        </w:tc>
        <w:tc>
          <w:tcPr>
            <w:tcW w:w="1170" w:type="dxa"/>
            <w:tcBorders>
              <w:bottom w:val="single" w:sz="4" w:space="0" w:color="000000"/>
            </w:tcBorders>
            <w:vAlign w:val="bottom"/>
          </w:tcPr>
          <w:p>
            <w:pPr>
              <w:pStyle w:val="Normal"/>
              <w:tabs>
                <w:tab w:val="clear" w:pos="720"/>
              </w:tabs>
              <w:jc w:val="left"/>
              <w:rPr>
                <w:sz w:val="24"/>
                <w:szCs w:val="24"/>
              </w:rPr>
            </w:pPr>
            <w:r>
              <w:rPr/>
              <w:t>SE</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b/>
              </w:rPr>
              <w:t>EARLY</w:t>
            </w:r>
          </w:p>
        </w:tc>
        <w:tc>
          <w:tcPr>
            <w:tcW w:w="963"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4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23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70" w:type="dxa"/>
            <w:tcBorders/>
            <w:tcMar>
              <w:top w:w="0" w:type="dxa"/>
              <w:left w:w="30" w:type="dxa"/>
              <w:bottom w:w="0" w:type="dxa"/>
              <w:right w:w="30" w:type="dxa"/>
            </w:tcMar>
            <w:vAlign w:val="bottom"/>
          </w:tcPr>
          <w:p>
            <w:pPr>
              <w:pStyle w:val="Normal"/>
              <w:tabs>
                <w:tab w:val="clear" w:pos="720"/>
              </w:tabs>
              <w:jc w:val="left"/>
              <w:rPr>
                <w:sz w:val="24"/>
                <w:szCs w:val="24"/>
              </w:rPr>
            </w:pPr>
            <w:r>
              <w:rPr/>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tabs>
                <w:tab w:val="clear" w:pos="720"/>
              </w:tabs>
              <w:jc w:val="right"/>
              <w:rPr>
                <w:sz w:val="24"/>
                <w:szCs w:val="24"/>
              </w:rPr>
            </w:pPr>
            <w:r>
              <w:rPr/>
              <w:t>1.7795</w:t>
            </w:r>
          </w:p>
        </w:tc>
        <w:tc>
          <w:tcPr>
            <w:tcW w:w="964" w:type="dxa"/>
            <w:tcBorders/>
            <w:tcMar>
              <w:top w:w="0" w:type="dxa"/>
              <w:left w:w="30" w:type="dxa"/>
              <w:bottom w:w="0" w:type="dxa"/>
              <w:right w:w="30" w:type="dxa"/>
            </w:tcMar>
            <w:vAlign w:val="bottom"/>
          </w:tcPr>
          <w:p>
            <w:pPr>
              <w:pStyle w:val="Normal"/>
              <w:tabs>
                <w:tab w:val="clear" w:pos="720"/>
              </w:tabs>
              <w:jc w:val="right"/>
              <w:rPr>
                <w:sz w:val="24"/>
                <w:szCs w:val="24"/>
              </w:rPr>
            </w:pPr>
            <w:r>
              <w:rPr/>
              <w:t>0.1730</w:t>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0.0207</w:t>
            </w:r>
          </w:p>
        </w:tc>
        <w:tc>
          <w:tcPr>
            <w:tcW w:w="1144" w:type="dxa"/>
            <w:tcBorders/>
            <w:tcMar>
              <w:top w:w="0" w:type="dxa"/>
              <w:left w:w="30" w:type="dxa"/>
              <w:bottom w:w="0" w:type="dxa"/>
              <w:right w:w="30" w:type="dxa"/>
            </w:tcMar>
            <w:vAlign w:val="bottom"/>
          </w:tcPr>
          <w:p>
            <w:pPr>
              <w:pStyle w:val="Normal"/>
              <w:tabs>
                <w:tab w:val="clear" w:pos="720"/>
              </w:tabs>
              <w:jc w:val="right"/>
              <w:rPr>
                <w:sz w:val="24"/>
                <w:szCs w:val="24"/>
              </w:rPr>
            </w:pPr>
            <w:r>
              <w:rPr/>
              <w:t>0.0002</w:t>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right"/>
              <w:rPr>
                <w:sz w:val="24"/>
                <w:szCs w:val="24"/>
              </w:rPr>
            </w:pPr>
            <w:r>
              <w:rPr/>
              <w:t>0.0071</w:t>
            </w:r>
          </w:p>
        </w:tc>
        <w:tc>
          <w:tcPr>
            <w:tcW w:w="1234" w:type="dxa"/>
            <w:tcBorders/>
            <w:tcMar>
              <w:top w:w="0" w:type="dxa"/>
              <w:left w:w="30" w:type="dxa"/>
              <w:bottom w:w="0" w:type="dxa"/>
              <w:right w:w="30" w:type="dxa"/>
            </w:tcMar>
            <w:vAlign w:val="bottom"/>
          </w:tcPr>
          <w:p>
            <w:pPr>
              <w:pStyle w:val="Normal"/>
              <w:tabs>
                <w:tab w:val="clear" w:pos="720"/>
              </w:tabs>
              <w:jc w:val="right"/>
              <w:rPr>
                <w:sz w:val="24"/>
                <w:szCs w:val="24"/>
              </w:rPr>
            </w:pPr>
            <w:r>
              <w:rPr/>
              <w:t>3.00E-04</w:t>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right"/>
              <w:rPr>
                <w:sz w:val="24"/>
                <w:szCs w:val="24"/>
              </w:rPr>
            </w:pPr>
            <w:r>
              <w:rPr/>
              <w:t>0.0090</w:t>
            </w:r>
          </w:p>
        </w:tc>
        <w:tc>
          <w:tcPr>
            <w:tcW w:w="1170" w:type="dxa"/>
            <w:tcBorders/>
            <w:tcMar>
              <w:top w:w="0" w:type="dxa"/>
              <w:left w:w="30" w:type="dxa"/>
              <w:bottom w:w="0" w:type="dxa"/>
              <w:right w:w="30" w:type="dxa"/>
            </w:tcMar>
            <w:vAlign w:val="bottom"/>
          </w:tcPr>
          <w:p>
            <w:pPr>
              <w:pStyle w:val="Normal"/>
              <w:tabs>
                <w:tab w:val="clear" w:pos="720"/>
              </w:tabs>
              <w:jc w:val="right"/>
              <w:rPr>
                <w:sz w:val="24"/>
                <w:szCs w:val="24"/>
              </w:rPr>
            </w:pPr>
            <w:r>
              <w:rPr/>
              <w:t>3.00E-04</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tabs>
                <w:tab w:val="clear" w:pos="720"/>
              </w:tabs>
              <w:jc w:val="right"/>
              <w:rPr>
                <w:sz w:val="24"/>
                <w:szCs w:val="24"/>
              </w:rPr>
            </w:pPr>
            <w:r>
              <w:rPr/>
              <w:t>1.8214</w:t>
            </w:r>
          </w:p>
        </w:tc>
        <w:tc>
          <w:tcPr>
            <w:tcW w:w="964" w:type="dxa"/>
            <w:tcBorders/>
            <w:tcMar>
              <w:top w:w="0" w:type="dxa"/>
              <w:left w:w="30" w:type="dxa"/>
              <w:bottom w:w="0" w:type="dxa"/>
              <w:right w:w="30" w:type="dxa"/>
            </w:tcMar>
            <w:vAlign w:val="bottom"/>
          </w:tcPr>
          <w:p>
            <w:pPr>
              <w:pStyle w:val="Normal"/>
              <w:tabs>
                <w:tab w:val="clear" w:pos="720"/>
              </w:tabs>
              <w:jc w:val="right"/>
              <w:rPr>
                <w:sz w:val="24"/>
                <w:szCs w:val="24"/>
              </w:rPr>
            </w:pPr>
            <w:r>
              <w:rPr/>
              <w:t>0.1376</w:t>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0.0133</w:t>
            </w:r>
          </w:p>
        </w:tc>
        <w:tc>
          <w:tcPr>
            <w:tcW w:w="1144" w:type="dxa"/>
            <w:tcBorders/>
            <w:tcMar>
              <w:top w:w="0" w:type="dxa"/>
              <w:left w:w="30" w:type="dxa"/>
              <w:bottom w:w="0" w:type="dxa"/>
              <w:right w:w="30" w:type="dxa"/>
            </w:tcMar>
            <w:vAlign w:val="bottom"/>
          </w:tcPr>
          <w:p>
            <w:pPr>
              <w:pStyle w:val="Normal"/>
              <w:tabs>
                <w:tab w:val="clear" w:pos="720"/>
              </w:tabs>
              <w:jc w:val="right"/>
              <w:rPr>
                <w:sz w:val="24"/>
                <w:szCs w:val="24"/>
              </w:rPr>
            </w:pPr>
            <w:r>
              <w:rPr/>
              <w:t>0.0001</w:t>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right"/>
              <w:rPr>
                <w:sz w:val="24"/>
                <w:szCs w:val="24"/>
              </w:rPr>
            </w:pPr>
            <w:r>
              <w:rPr/>
              <w:t>0.0045</w:t>
            </w:r>
          </w:p>
        </w:tc>
        <w:tc>
          <w:tcPr>
            <w:tcW w:w="1234" w:type="dxa"/>
            <w:tcBorders/>
            <w:tcMar>
              <w:top w:w="0" w:type="dxa"/>
              <w:left w:w="30" w:type="dxa"/>
              <w:bottom w:w="0" w:type="dxa"/>
              <w:right w:w="30" w:type="dxa"/>
            </w:tcMar>
            <w:vAlign w:val="bottom"/>
          </w:tcPr>
          <w:p>
            <w:pPr>
              <w:pStyle w:val="Normal"/>
              <w:tabs>
                <w:tab w:val="clear" w:pos="720"/>
              </w:tabs>
              <w:jc w:val="right"/>
              <w:rPr>
                <w:sz w:val="24"/>
                <w:szCs w:val="24"/>
              </w:rPr>
            </w:pPr>
            <w:r>
              <w:rPr/>
              <w:t>2.00E-04</w:t>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right"/>
              <w:rPr>
                <w:sz w:val="24"/>
                <w:szCs w:val="24"/>
              </w:rPr>
            </w:pPr>
            <w:r>
              <w:rPr/>
              <w:t>0.0038</w:t>
            </w:r>
          </w:p>
        </w:tc>
        <w:tc>
          <w:tcPr>
            <w:tcW w:w="1170" w:type="dxa"/>
            <w:tcBorders/>
            <w:tcMar>
              <w:top w:w="0" w:type="dxa"/>
              <w:left w:w="30" w:type="dxa"/>
              <w:bottom w:w="0" w:type="dxa"/>
              <w:right w:w="30" w:type="dxa"/>
            </w:tcMar>
            <w:vAlign w:val="bottom"/>
          </w:tcPr>
          <w:p>
            <w:pPr>
              <w:pStyle w:val="Normal"/>
              <w:tabs>
                <w:tab w:val="clear" w:pos="720"/>
              </w:tabs>
              <w:jc w:val="right"/>
              <w:rPr>
                <w:sz w:val="24"/>
                <w:szCs w:val="24"/>
              </w:rPr>
            </w:pPr>
            <w:r>
              <w:rPr/>
              <w:t>2.00E-04</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t>RA25</w:t>
            </w:r>
          </w:p>
        </w:tc>
        <w:tc>
          <w:tcPr>
            <w:tcW w:w="963" w:type="dxa"/>
            <w:tcBorders/>
            <w:tcMar>
              <w:top w:w="0" w:type="dxa"/>
              <w:left w:w="30" w:type="dxa"/>
              <w:bottom w:w="0" w:type="dxa"/>
              <w:right w:w="30" w:type="dxa"/>
            </w:tcMar>
            <w:vAlign w:val="bottom"/>
          </w:tcPr>
          <w:p>
            <w:pPr>
              <w:pStyle w:val="Normal"/>
              <w:tabs>
                <w:tab w:val="clear" w:pos="720"/>
              </w:tabs>
              <w:jc w:val="right"/>
              <w:rPr>
                <w:sz w:val="24"/>
                <w:szCs w:val="24"/>
              </w:rPr>
            </w:pPr>
            <w:r>
              <w:rPr/>
              <w:t>1.8810</w:t>
            </w:r>
          </w:p>
        </w:tc>
        <w:tc>
          <w:tcPr>
            <w:tcW w:w="964" w:type="dxa"/>
            <w:tcBorders/>
            <w:tcMar>
              <w:top w:w="0" w:type="dxa"/>
              <w:left w:w="30" w:type="dxa"/>
              <w:bottom w:w="0" w:type="dxa"/>
              <w:right w:w="30" w:type="dxa"/>
            </w:tcMar>
            <w:vAlign w:val="bottom"/>
          </w:tcPr>
          <w:p>
            <w:pPr>
              <w:pStyle w:val="Normal"/>
              <w:tabs>
                <w:tab w:val="clear" w:pos="720"/>
              </w:tabs>
              <w:jc w:val="right"/>
              <w:rPr>
                <w:sz w:val="24"/>
                <w:szCs w:val="24"/>
              </w:rPr>
            </w:pPr>
            <w:r>
              <w:rPr/>
              <w:t>0.1376</w:t>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0.0075</w:t>
            </w:r>
          </w:p>
        </w:tc>
        <w:tc>
          <w:tcPr>
            <w:tcW w:w="1144" w:type="dxa"/>
            <w:tcBorders/>
            <w:tcMar>
              <w:top w:w="0" w:type="dxa"/>
              <w:left w:w="30" w:type="dxa"/>
              <w:bottom w:w="0" w:type="dxa"/>
              <w:right w:w="30" w:type="dxa"/>
            </w:tcMar>
            <w:vAlign w:val="bottom"/>
          </w:tcPr>
          <w:p>
            <w:pPr>
              <w:pStyle w:val="Normal"/>
              <w:tabs>
                <w:tab w:val="clear" w:pos="720"/>
              </w:tabs>
              <w:jc w:val="right"/>
              <w:rPr>
                <w:sz w:val="24"/>
                <w:szCs w:val="24"/>
              </w:rPr>
            </w:pPr>
            <w:r>
              <w:rPr/>
              <w:t>0.0001</w:t>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right"/>
              <w:rPr>
                <w:sz w:val="24"/>
                <w:szCs w:val="24"/>
              </w:rPr>
            </w:pPr>
            <w:r>
              <w:rPr/>
              <w:t>0.0052</w:t>
            </w:r>
          </w:p>
        </w:tc>
        <w:tc>
          <w:tcPr>
            <w:tcW w:w="1234" w:type="dxa"/>
            <w:tcBorders/>
            <w:tcMar>
              <w:top w:w="0" w:type="dxa"/>
              <w:left w:w="30" w:type="dxa"/>
              <w:bottom w:w="0" w:type="dxa"/>
              <w:right w:w="30" w:type="dxa"/>
            </w:tcMar>
            <w:vAlign w:val="bottom"/>
          </w:tcPr>
          <w:p>
            <w:pPr>
              <w:pStyle w:val="Normal"/>
              <w:tabs>
                <w:tab w:val="clear" w:pos="720"/>
              </w:tabs>
              <w:jc w:val="right"/>
              <w:rPr>
                <w:sz w:val="24"/>
                <w:szCs w:val="24"/>
              </w:rPr>
            </w:pPr>
            <w:r>
              <w:rPr/>
              <w:t>2.00E-04</w:t>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right"/>
              <w:rPr>
                <w:sz w:val="24"/>
                <w:szCs w:val="24"/>
              </w:rPr>
            </w:pPr>
            <w:r>
              <w:rPr/>
              <w:t>0.0099</w:t>
            </w:r>
          </w:p>
        </w:tc>
        <w:tc>
          <w:tcPr>
            <w:tcW w:w="1170" w:type="dxa"/>
            <w:tcBorders/>
            <w:tcMar>
              <w:top w:w="0" w:type="dxa"/>
              <w:left w:w="30" w:type="dxa"/>
              <w:bottom w:w="0" w:type="dxa"/>
              <w:right w:w="30" w:type="dxa"/>
            </w:tcMar>
            <w:vAlign w:val="bottom"/>
          </w:tcPr>
          <w:p>
            <w:pPr>
              <w:pStyle w:val="Normal"/>
              <w:tabs>
                <w:tab w:val="clear" w:pos="720"/>
              </w:tabs>
              <w:jc w:val="right"/>
              <w:rPr>
                <w:sz w:val="24"/>
                <w:szCs w:val="24"/>
              </w:rPr>
            </w:pPr>
            <w:r>
              <w:rPr/>
              <w:t>2.00E-04</w:t>
            </w:r>
          </w:p>
        </w:tc>
      </w:tr>
      <w:tr>
        <w:trPr>
          <w:trHeight w:val="300" w:hRule="atLeast"/>
        </w:trPr>
        <w:tc>
          <w:tcPr>
            <w:tcW w:w="994" w:type="dxa"/>
            <w:tcBorders>
              <w:bottom w:val="single" w:sz="4" w:space="0" w:color="000000"/>
            </w:tcBorders>
            <w:vAlign w:val="bottom"/>
          </w:tcPr>
          <w:p>
            <w:pPr>
              <w:pStyle w:val="Normal"/>
              <w:tabs>
                <w:tab w:val="clear" w:pos="720"/>
              </w:tabs>
              <w:jc w:val="left"/>
              <w:rPr>
                <w:sz w:val="24"/>
                <w:szCs w:val="24"/>
              </w:rPr>
            </w:pPr>
            <w:r>
              <w:rPr/>
              <w:t>CW25</w:t>
            </w:r>
          </w:p>
        </w:tc>
        <w:tc>
          <w:tcPr>
            <w:tcW w:w="963" w:type="dxa"/>
            <w:tcBorders>
              <w:bottom w:val="single" w:sz="4" w:space="0" w:color="000000"/>
            </w:tcBorders>
            <w:vAlign w:val="bottom"/>
          </w:tcPr>
          <w:p>
            <w:pPr>
              <w:pStyle w:val="Normal"/>
              <w:tabs>
                <w:tab w:val="clear" w:pos="720"/>
              </w:tabs>
              <w:jc w:val="right"/>
              <w:rPr>
                <w:sz w:val="24"/>
                <w:szCs w:val="24"/>
              </w:rPr>
            </w:pPr>
            <w:r>
              <w:rPr/>
              <w:t>1.2416</w:t>
            </w:r>
          </w:p>
        </w:tc>
        <w:tc>
          <w:tcPr>
            <w:tcW w:w="964" w:type="dxa"/>
            <w:tcBorders>
              <w:bottom w:val="single" w:sz="4" w:space="0" w:color="000000"/>
            </w:tcBorders>
            <w:vAlign w:val="bottom"/>
          </w:tcPr>
          <w:p>
            <w:pPr>
              <w:pStyle w:val="Normal"/>
              <w:tabs>
                <w:tab w:val="clear" w:pos="720"/>
              </w:tabs>
              <w:jc w:val="right"/>
              <w:rPr>
                <w:sz w:val="24"/>
                <w:szCs w:val="24"/>
              </w:rPr>
            </w:pPr>
            <w:r>
              <w:rPr/>
              <w:t>0.1376</w:t>
            </w:r>
          </w:p>
        </w:tc>
        <w:tc>
          <w:tcPr>
            <w:tcW w:w="190"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0.0141</w:t>
            </w:r>
          </w:p>
        </w:tc>
        <w:tc>
          <w:tcPr>
            <w:tcW w:w="1144" w:type="dxa"/>
            <w:tcBorders>
              <w:bottom w:val="single" w:sz="4" w:space="0" w:color="000000"/>
            </w:tcBorders>
            <w:vAlign w:val="bottom"/>
          </w:tcPr>
          <w:p>
            <w:pPr>
              <w:pStyle w:val="Normal"/>
              <w:tabs>
                <w:tab w:val="clear" w:pos="720"/>
              </w:tabs>
              <w:jc w:val="right"/>
              <w:rPr>
                <w:sz w:val="24"/>
                <w:szCs w:val="24"/>
              </w:rPr>
            </w:pPr>
            <w:r>
              <w:rPr/>
              <w:t>0.0001</w:t>
            </w:r>
          </w:p>
        </w:tc>
        <w:tc>
          <w:tcPr>
            <w:tcW w:w="90" w:type="dxa"/>
            <w:tcBorders>
              <w:bottom w:val="single" w:sz="4" w:space="0" w:color="000000"/>
            </w:tcBorders>
            <w:vAlign w:val="bottom"/>
          </w:tcPr>
          <w:p>
            <w:pPr>
              <w:pStyle w:val="Normal"/>
              <w:tabs>
                <w:tab w:val="clear" w:pos="720"/>
              </w:tabs>
              <w:jc w:val="left"/>
              <w:rPr>
                <w:sz w:val="24"/>
                <w:szCs w:val="24"/>
              </w:rPr>
            </w:pPr>
            <w:r>
              <w:rPr/>
            </w:r>
          </w:p>
        </w:tc>
        <w:tc>
          <w:tcPr>
            <w:tcW w:w="836" w:type="dxa"/>
            <w:tcBorders>
              <w:bottom w:val="single" w:sz="4" w:space="0" w:color="000000"/>
            </w:tcBorders>
            <w:vAlign w:val="bottom"/>
          </w:tcPr>
          <w:p>
            <w:pPr>
              <w:pStyle w:val="Normal"/>
              <w:tabs>
                <w:tab w:val="clear" w:pos="720"/>
              </w:tabs>
              <w:jc w:val="right"/>
              <w:rPr>
                <w:sz w:val="24"/>
                <w:szCs w:val="24"/>
              </w:rPr>
            </w:pPr>
            <w:r>
              <w:rPr/>
              <w:t>0.0008</w:t>
            </w:r>
          </w:p>
        </w:tc>
        <w:tc>
          <w:tcPr>
            <w:tcW w:w="1234" w:type="dxa"/>
            <w:tcBorders>
              <w:bottom w:val="single" w:sz="4" w:space="0" w:color="000000"/>
            </w:tcBorders>
            <w:vAlign w:val="bottom"/>
          </w:tcPr>
          <w:p>
            <w:pPr>
              <w:pStyle w:val="Normal"/>
              <w:tabs>
                <w:tab w:val="clear" w:pos="720"/>
              </w:tabs>
              <w:jc w:val="right"/>
              <w:rPr>
                <w:sz w:val="24"/>
                <w:szCs w:val="24"/>
              </w:rPr>
            </w:pPr>
            <w:r>
              <w:rPr/>
              <w:t>2.00E-04</w:t>
            </w:r>
          </w:p>
        </w:tc>
        <w:tc>
          <w:tcPr>
            <w:tcW w:w="180" w:type="dxa"/>
            <w:tcBorders>
              <w:bottom w:val="single" w:sz="4" w:space="0" w:color="000000"/>
            </w:tcBorders>
            <w:vAlign w:val="bottom"/>
          </w:tcPr>
          <w:p>
            <w:pPr>
              <w:pStyle w:val="Normal"/>
              <w:tabs>
                <w:tab w:val="clear" w:pos="720"/>
              </w:tabs>
              <w:jc w:val="left"/>
              <w:rPr>
                <w:sz w:val="24"/>
                <w:szCs w:val="24"/>
              </w:rPr>
            </w:pPr>
            <w:r>
              <w:rPr/>
            </w:r>
          </w:p>
        </w:tc>
        <w:tc>
          <w:tcPr>
            <w:tcW w:w="900" w:type="dxa"/>
            <w:tcBorders>
              <w:bottom w:val="single" w:sz="4" w:space="0" w:color="000000"/>
            </w:tcBorders>
            <w:vAlign w:val="bottom"/>
          </w:tcPr>
          <w:p>
            <w:pPr>
              <w:pStyle w:val="Normal"/>
              <w:tabs>
                <w:tab w:val="clear" w:pos="720"/>
              </w:tabs>
              <w:jc w:val="right"/>
              <w:rPr>
                <w:sz w:val="24"/>
                <w:szCs w:val="24"/>
              </w:rPr>
            </w:pPr>
            <w:r>
              <w:rPr/>
              <w:t>0.0198</w:t>
            </w:r>
          </w:p>
        </w:tc>
        <w:tc>
          <w:tcPr>
            <w:tcW w:w="1170" w:type="dxa"/>
            <w:tcBorders>
              <w:bottom w:val="single" w:sz="4" w:space="0" w:color="000000"/>
            </w:tcBorders>
            <w:vAlign w:val="bottom"/>
          </w:tcPr>
          <w:p>
            <w:pPr>
              <w:pStyle w:val="Normal"/>
              <w:tabs>
                <w:tab w:val="clear" w:pos="720"/>
              </w:tabs>
              <w:jc w:val="right"/>
              <w:rPr>
                <w:sz w:val="24"/>
                <w:szCs w:val="24"/>
              </w:rPr>
            </w:pPr>
            <w:r>
              <w:rPr/>
              <w:t>2.00E-04</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b/>
              </w:rPr>
              <w:t>MIDDLE</w:t>
            </w:r>
          </w:p>
        </w:tc>
        <w:tc>
          <w:tcPr>
            <w:tcW w:w="963"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4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23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70" w:type="dxa"/>
            <w:tcBorders/>
            <w:tcMar>
              <w:top w:w="0" w:type="dxa"/>
              <w:left w:w="30" w:type="dxa"/>
              <w:bottom w:w="0" w:type="dxa"/>
              <w:right w:w="30" w:type="dxa"/>
            </w:tcMar>
            <w:vAlign w:val="bottom"/>
          </w:tcPr>
          <w:p>
            <w:pPr>
              <w:pStyle w:val="Normal"/>
              <w:tabs>
                <w:tab w:val="clear" w:pos="720"/>
              </w:tabs>
              <w:jc w:val="left"/>
              <w:rPr>
                <w:sz w:val="24"/>
                <w:szCs w:val="24"/>
              </w:rPr>
            </w:pPr>
            <w:r>
              <w:rPr/>
            </w:r>
          </w:p>
        </w:tc>
      </w:tr>
      <w:tr>
        <w:trPr>
          <w:trHeight w:val="276"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t>RA12</w:t>
            </w:r>
          </w:p>
        </w:tc>
        <w:tc>
          <w:tcPr>
            <w:tcW w:w="963" w:type="dxa"/>
            <w:tcBorders/>
            <w:tcMar>
              <w:top w:w="0" w:type="dxa"/>
              <w:left w:w="30" w:type="dxa"/>
              <w:bottom w:w="0" w:type="dxa"/>
              <w:right w:w="30" w:type="dxa"/>
            </w:tcMar>
            <w:vAlign w:val="bottom"/>
          </w:tcPr>
          <w:p>
            <w:pPr>
              <w:pStyle w:val="Normal"/>
              <w:tabs>
                <w:tab w:val="clear" w:pos="720"/>
              </w:tabs>
              <w:jc w:val="right"/>
              <w:rPr>
                <w:sz w:val="24"/>
                <w:szCs w:val="24"/>
              </w:rPr>
            </w:pPr>
            <w:r>
              <w:rPr/>
              <w:t>1.1994</w:t>
            </w:r>
          </w:p>
        </w:tc>
        <w:tc>
          <w:tcPr>
            <w:tcW w:w="964" w:type="dxa"/>
            <w:tcBorders/>
            <w:tcMar>
              <w:top w:w="0" w:type="dxa"/>
              <w:left w:w="30" w:type="dxa"/>
              <w:bottom w:w="0" w:type="dxa"/>
              <w:right w:w="30" w:type="dxa"/>
            </w:tcMar>
            <w:vAlign w:val="bottom"/>
          </w:tcPr>
          <w:p>
            <w:pPr>
              <w:pStyle w:val="Normal"/>
              <w:tabs>
                <w:tab w:val="clear" w:pos="720"/>
              </w:tabs>
              <w:jc w:val="right"/>
              <w:rPr>
                <w:sz w:val="24"/>
                <w:szCs w:val="24"/>
              </w:rPr>
            </w:pPr>
            <w:r>
              <w:rPr/>
              <w:t>0.1544</w:t>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0.0252</w:t>
            </w:r>
          </w:p>
        </w:tc>
        <w:tc>
          <w:tcPr>
            <w:tcW w:w="1144" w:type="dxa"/>
            <w:tcBorders/>
            <w:tcMar>
              <w:top w:w="0" w:type="dxa"/>
              <w:left w:w="30" w:type="dxa"/>
              <w:bottom w:w="0" w:type="dxa"/>
              <w:right w:w="30" w:type="dxa"/>
            </w:tcMar>
            <w:vAlign w:val="bottom"/>
          </w:tcPr>
          <w:p>
            <w:pPr>
              <w:pStyle w:val="Normal"/>
              <w:tabs>
                <w:tab w:val="clear" w:pos="720"/>
              </w:tabs>
              <w:jc w:val="right"/>
              <w:rPr>
                <w:sz w:val="24"/>
                <w:szCs w:val="24"/>
              </w:rPr>
            </w:pPr>
            <w:r>
              <w:rPr/>
              <w:t>4.17E-05</w:t>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right"/>
              <w:rPr>
                <w:sz w:val="24"/>
                <w:szCs w:val="24"/>
              </w:rPr>
            </w:pPr>
            <w:r>
              <w:rPr/>
              <w:t>0.0095</w:t>
            </w:r>
          </w:p>
        </w:tc>
        <w:tc>
          <w:tcPr>
            <w:tcW w:w="1234" w:type="dxa"/>
            <w:tcBorders/>
            <w:tcMar>
              <w:top w:w="0" w:type="dxa"/>
              <w:left w:w="30" w:type="dxa"/>
              <w:bottom w:w="0" w:type="dxa"/>
              <w:right w:w="30" w:type="dxa"/>
            </w:tcMar>
            <w:vAlign w:val="bottom"/>
          </w:tcPr>
          <w:p>
            <w:pPr>
              <w:pStyle w:val="Normal"/>
              <w:tabs>
                <w:tab w:val="clear" w:pos="720"/>
              </w:tabs>
              <w:jc w:val="right"/>
              <w:rPr>
                <w:sz w:val="24"/>
                <w:szCs w:val="24"/>
              </w:rPr>
            </w:pPr>
            <w:r>
              <w:rPr/>
              <w:t>1.30E-04</w:t>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right"/>
              <w:rPr>
                <w:sz w:val="24"/>
                <w:szCs w:val="24"/>
              </w:rPr>
            </w:pPr>
            <w:r>
              <w:rPr/>
              <w:t>0.0071</w:t>
            </w:r>
          </w:p>
        </w:tc>
        <w:tc>
          <w:tcPr>
            <w:tcW w:w="1170" w:type="dxa"/>
            <w:tcBorders/>
            <w:tcMar>
              <w:top w:w="0" w:type="dxa"/>
              <w:left w:w="30" w:type="dxa"/>
              <w:bottom w:w="0" w:type="dxa"/>
              <w:right w:w="30" w:type="dxa"/>
            </w:tcMar>
            <w:vAlign w:val="bottom"/>
          </w:tcPr>
          <w:p>
            <w:pPr>
              <w:pStyle w:val="Normal"/>
              <w:tabs>
                <w:tab w:val="clear" w:pos="720"/>
              </w:tabs>
              <w:jc w:val="right"/>
              <w:rPr>
                <w:sz w:val="24"/>
                <w:szCs w:val="24"/>
              </w:rPr>
            </w:pPr>
            <w:r>
              <w:rPr/>
              <w:t>1.35E-04</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t>CW12</w:t>
            </w:r>
          </w:p>
        </w:tc>
        <w:tc>
          <w:tcPr>
            <w:tcW w:w="963" w:type="dxa"/>
            <w:tcBorders/>
            <w:tcMar>
              <w:top w:w="0" w:type="dxa"/>
              <w:left w:w="30" w:type="dxa"/>
              <w:bottom w:w="0" w:type="dxa"/>
              <w:right w:w="30" w:type="dxa"/>
            </w:tcMar>
            <w:vAlign w:val="bottom"/>
          </w:tcPr>
          <w:p>
            <w:pPr>
              <w:pStyle w:val="Normal"/>
              <w:tabs>
                <w:tab w:val="clear" w:pos="720"/>
              </w:tabs>
              <w:jc w:val="right"/>
              <w:rPr>
                <w:sz w:val="24"/>
                <w:szCs w:val="24"/>
              </w:rPr>
            </w:pPr>
            <w:r>
              <w:rPr/>
              <w:t>1.3071</w:t>
            </w:r>
          </w:p>
        </w:tc>
        <w:tc>
          <w:tcPr>
            <w:tcW w:w="964" w:type="dxa"/>
            <w:tcBorders/>
            <w:tcMar>
              <w:top w:w="0" w:type="dxa"/>
              <w:left w:w="30" w:type="dxa"/>
              <w:bottom w:w="0" w:type="dxa"/>
              <w:right w:w="30" w:type="dxa"/>
            </w:tcMar>
            <w:vAlign w:val="bottom"/>
          </w:tcPr>
          <w:p>
            <w:pPr>
              <w:pStyle w:val="Normal"/>
              <w:tabs>
                <w:tab w:val="clear" w:pos="720"/>
              </w:tabs>
              <w:jc w:val="right"/>
              <w:rPr>
                <w:sz w:val="24"/>
                <w:szCs w:val="24"/>
              </w:rPr>
            </w:pPr>
            <w:r>
              <w:rPr/>
              <w:t>0.1227</w:t>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0.0214</w:t>
            </w:r>
          </w:p>
        </w:tc>
        <w:tc>
          <w:tcPr>
            <w:tcW w:w="1144" w:type="dxa"/>
            <w:tcBorders/>
            <w:tcMar>
              <w:top w:w="0" w:type="dxa"/>
              <w:left w:w="30" w:type="dxa"/>
              <w:bottom w:w="0" w:type="dxa"/>
              <w:right w:w="30" w:type="dxa"/>
            </w:tcMar>
            <w:vAlign w:val="bottom"/>
          </w:tcPr>
          <w:p>
            <w:pPr>
              <w:pStyle w:val="Normal"/>
              <w:tabs>
                <w:tab w:val="clear" w:pos="720"/>
              </w:tabs>
              <w:jc w:val="right"/>
              <w:rPr>
                <w:sz w:val="24"/>
                <w:szCs w:val="24"/>
              </w:rPr>
            </w:pPr>
            <w:r>
              <w:rPr/>
              <w:t>2.50E-05</w:t>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right"/>
              <w:rPr>
                <w:sz w:val="24"/>
                <w:szCs w:val="24"/>
              </w:rPr>
            </w:pPr>
            <w:r>
              <w:rPr/>
              <w:t>0.0073</w:t>
            </w:r>
          </w:p>
        </w:tc>
        <w:tc>
          <w:tcPr>
            <w:tcW w:w="1234" w:type="dxa"/>
            <w:tcBorders/>
            <w:tcMar>
              <w:top w:w="0" w:type="dxa"/>
              <w:left w:w="30" w:type="dxa"/>
              <w:bottom w:w="0" w:type="dxa"/>
              <w:right w:w="30" w:type="dxa"/>
            </w:tcMar>
            <w:vAlign w:val="bottom"/>
          </w:tcPr>
          <w:p>
            <w:pPr>
              <w:pStyle w:val="Normal"/>
              <w:tabs>
                <w:tab w:val="clear" w:pos="720"/>
              </w:tabs>
              <w:jc w:val="right"/>
              <w:rPr>
                <w:sz w:val="24"/>
                <w:szCs w:val="24"/>
              </w:rPr>
            </w:pPr>
            <w:r>
              <w:rPr/>
              <w:t>1.10E-04</w:t>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right"/>
              <w:rPr>
                <w:sz w:val="24"/>
                <w:szCs w:val="24"/>
              </w:rPr>
            </w:pPr>
            <w:r>
              <w:rPr/>
              <w:t>0.0080</w:t>
            </w:r>
          </w:p>
        </w:tc>
        <w:tc>
          <w:tcPr>
            <w:tcW w:w="1170" w:type="dxa"/>
            <w:tcBorders/>
            <w:tcMar>
              <w:top w:w="0" w:type="dxa"/>
              <w:left w:w="30" w:type="dxa"/>
              <w:bottom w:w="0" w:type="dxa"/>
              <w:right w:w="30" w:type="dxa"/>
            </w:tcMar>
            <w:vAlign w:val="bottom"/>
          </w:tcPr>
          <w:p>
            <w:pPr>
              <w:pStyle w:val="Normal"/>
              <w:tabs>
                <w:tab w:val="clear" w:pos="720"/>
              </w:tabs>
              <w:jc w:val="right"/>
              <w:rPr>
                <w:sz w:val="24"/>
                <w:szCs w:val="24"/>
              </w:rPr>
            </w:pPr>
            <w:r>
              <w:rPr/>
              <w:t>8.09E-05</w:t>
            </w:r>
          </w:p>
        </w:tc>
      </w:tr>
      <w:tr>
        <w:trPr>
          <w:trHeight w:val="300" w:hRule="atLeast"/>
        </w:trPr>
        <w:tc>
          <w:tcPr>
            <w:tcW w:w="994" w:type="dxa"/>
            <w:tcBorders>
              <w:bottom w:val="single" w:sz="4" w:space="0" w:color="000000"/>
            </w:tcBorders>
            <w:vAlign w:val="bottom"/>
          </w:tcPr>
          <w:p>
            <w:pPr>
              <w:pStyle w:val="Normal"/>
              <w:tabs>
                <w:tab w:val="clear" w:pos="720"/>
              </w:tabs>
              <w:jc w:val="left"/>
              <w:rPr>
                <w:sz w:val="24"/>
                <w:szCs w:val="24"/>
              </w:rPr>
            </w:pPr>
            <w:r>
              <w:rPr/>
              <w:t>DF</w:t>
            </w:r>
          </w:p>
        </w:tc>
        <w:tc>
          <w:tcPr>
            <w:tcW w:w="963" w:type="dxa"/>
            <w:tcBorders>
              <w:bottom w:val="single" w:sz="4" w:space="0" w:color="000000"/>
            </w:tcBorders>
            <w:vAlign w:val="bottom"/>
          </w:tcPr>
          <w:p>
            <w:pPr>
              <w:pStyle w:val="Normal"/>
              <w:tabs>
                <w:tab w:val="clear" w:pos="720"/>
              </w:tabs>
              <w:jc w:val="right"/>
              <w:rPr>
                <w:sz w:val="24"/>
                <w:szCs w:val="24"/>
              </w:rPr>
            </w:pPr>
            <w:r>
              <w:rPr/>
              <w:t>1.4956</w:t>
            </w:r>
          </w:p>
        </w:tc>
        <w:tc>
          <w:tcPr>
            <w:tcW w:w="964" w:type="dxa"/>
            <w:tcBorders>
              <w:bottom w:val="single" w:sz="4" w:space="0" w:color="000000"/>
            </w:tcBorders>
            <w:vAlign w:val="bottom"/>
          </w:tcPr>
          <w:p>
            <w:pPr>
              <w:pStyle w:val="Normal"/>
              <w:tabs>
                <w:tab w:val="clear" w:pos="720"/>
              </w:tabs>
              <w:jc w:val="right"/>
              <w:rPr>
                <w:sz w:val="24"/>
                <w:szCs w:val="24"/>
              </w:rPr>
            </w:pPr>
            <w:r>
              <w:rPr/>
              <w:t>0.1227</w:t>
            </w:r>
          </w:p>
        </w:tc>
        <w:tc>
          <w:tcPr>
            <w:tcW w:w="190"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0.0203</w:t>
            </w:r>
          </w:p>
        </w:tc>
        <w:tc>
          <w:tcPr>
            <w:tcW w:w="1144" w:type="dxa"/>
            <w:tcBorders>
              <w:bottom w:val="single" w:sz="4" w:space="0" w:color="000000"/>
            </w:tcBorders>
            <w:vAlign w:val="bottom"/>
          </w:tcPr>
          <w:p>
            <w:pPr>
              <w:pStyle w:val="Normal"/>
              <w:tabs>
                <w:tab w:val="clear" w:pos="720"/>
              </w:tabs>
              <w:jc w:val="right"/>
              <w:rPr>
                <w:sz w:val="24"/>
                <w:szCs w:val="24"/>
              </w:rPr>
            </w:pPr>
            <w:r>
              <w:rPr/>
              <w:t>2.50E-05</w:t>
            </w:r>
          </w:p>
        </w:tc>
        <w:tc>
          <w:tcPr>
            <w:tcW w:w="90" w:type="dxa"/>
            <w:tcBorders>
              <w:bottom w:val="single" w:sz="4" w:space="0" w:color="000000"/>
            </w:tcBorders>
            <w:vAlign w:val="bottom"/>
          </w:tcPr>
          <w:p>
            <w:pPr>
              <w:pStyle w:val="Normal"/>
              <w:tabs>
                <w:tab w:val="clear" w:pos="720"/>
              </w:tabs>
              <w:jc w:val="left"/>
              <w:rPr>
                <w:sz w:val="24"/>
                <w:szCs w:val="24"/>
              </w:rPr>
            </w:pPr>
            <w:r>
              <w:rPr/>
            </w:r>
          </w:p>
        </w:tc>
        <w:tc>
          <w:tcPr>
            <w:tcW w:w="836" w:type="dxa"/>
            <w:tcBorders>
              <w:bottom w:val="single" w:sz="4" w:space="0" w:color="000000"/>
            </w:tcBorders>
            <w:vAlign w:val="bottom"/>
          </w:tcPr>
          <w:p>
            <w:pPr>
              <w:pStyle w:val="Normal"/>
              <w:tabs>
                <w:tab w:val="clear" w:pos="720"/>
              </w:tabs>
              <w:jc w:val="right"/>
              <w:rPr>
                <w:sz w:val="24"/>
                <w:szCs w:val="24"/>
              </w:rPr>
            </w:pPr>
            <w:r>
              <w:rPr/>
              <w:t>0.0093</w:t>
            </w:r>
          </w:p>
        </w:tc>
        <w:tc>
          <w:tcPr>
            <w:tcW w:w="1234" w:type="dxa"/>
            <w:tcBorders>
              <w:bottom w:val="single" w:sz="4" w:space="0" w:color="000000"/>
            </w:tcBorders>
            <w:vAlign w:val="bottom"/>
          </w:tcPr>
          <w:p>
            <w:pPr>
              <w:pStyle w:val="Normal"/>
              <w:tabs>
                <w:tab w:val="clear" w:pos="720"/>
              </w:tabs>
              <w:jc w:val="right"/>
              <w:rPr>
                <w:sz w:val="24"/>
                <w:szCs w:val="24"/>
              </w:rPr>
            </w:pPr>
            <w:r>
              <w:rPr/>
              <w:t>1.10E-04</w:t>
            </w:r>
          </w:p>
        </w:tc>
        <w:tc>
          <w:tcPr>
            <w:tcW w:w="180" w:type="dxa"/>
            <w:tcBorders>
              <w:bottom w:val="single" w:sz="4" w:space="0" w:color="000000"/>
            </w:tcBorders>
            <w:vAlign w:val="bottom"/>
          </w:tcPr>
          <w:p>
            <w:pPr>
              <w:pStyle w:val="Normal"/>
              <w:tabs>
                <w:tab w:val="clear" w:pos="720"/>
              </w:tabs>
              <w:jc w:val="left"/>
              <w:rPr>
                <w:sz w:val="24"/>
                <w:szCs w:val="24"/>
              </w:rPr>
            </w:pPr>
            <w:r>
              <w:rPr/>
            </w:r>
          </w:p>
        </w:tc>
        <w:tc>
          <w:tcPr>
            <w:tcW w:w="900" w:type="dxa"/>
            <w:tcBorders>
              <w:bottom w:val="single" w:sz="4" w:space="0" w:color="000000"/>
            </w:tcBorders>
            <w:vAlign w:val="bottom"/>
          </w:tcPr>
          <w:p>
            <w:pPr>
              <w:pStyle w:val="Normal"/>
              <w:tabs>
                <w:tab w:val="clear" w:pos="720"/>
              </w:tabs>
              <w:jc w:val="right"/>
              <w:rPr>
                <w:sz w:val="24"/>
                <w:szCs w:val="24"/>
              </w:rPr>
            </w:pPr>
            <w:r>
              <w:rPr/>
              <w:t>0.0041</w:t>
            </w:r>
          </w:p>
        </w:tc>
        <w:tc>
          <w:tcPr>
            <w:tcW w:w="1170" w:type="dxa"/>
            <w:tcBorders>
              <w:bottom w:val="single" w:sz="4" w:space="0" w:color="000000"/>
            </w:tcBorders>
            <w:vAlign w:val="bottom"/>
          </w:tcPr>
          <w:p>
            <w:pPr>
              <w:pStyle w:val="Normal"/>
              <w:tabs>
                <w:tab w:val="clear" w:pos="720"/>
              </w:tabs>
              <w:jc w:val="right"/>
              <w:rPr>
                <w:sz w:val="24"/>
                <w:szCs w:val="24"/>
              </w:rPr>
            </w:pPr>
            <w:r>
              <w:rPr/>
              <w:t>8.09E-05</w:t>
            </w:r>
          </w:p>
        </w:tc>
      </w:tr>
      <w:tr>
        <w:trPr>
          <w:trHeight w:val="300" w:hRule="atLeast"/>
        </w:trPr>
        <w:tc>
          <w:tcPr>
            <w:tcW w:w="994" w:type="dxa"/>
            <w:tcBorders/>
            <w:tcMar>
              <w:top w:w="0" w:type="dxa"/>
              <w:left w:w="30" w:type="dxa"/>
              <w:bottom w:w="0" w:type="dxa"/>
              <w:right w:w="30" w:type="dxa"/>
            </w:tcMar>
            <w:vAlign w:val="bottom"/>
          </w:tcPr>
          <w:p>
            <w:pPr>
              <w:pStyle w:val="Normal"/>
              <w:tabs>
                <w:tab w:val="clear" w:pos="720"/>
              </w:tabs>
              <w:jc w:val="left"/>
              <w:rPr>
                <w:sz w:val="24"/>
                <w:szCs w:val="24"/>
              </w:rPr>
            </w:pPr>
            <w:r>
              <w:rPr>
                <w:b/>
              </w:rPr>
              <w:t>LATE</w:t>
            </w:r>
          </w:p>
        </w:tc>
        <w:tc>
          <w:tcPr>
            <w:tcW w:w="963"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4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83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234"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8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00"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170" w:type="dxa"/>
            <w:tcBorders/>
            <w:tcMar>
              <w:top w:w="0" w:type="dxa"/>
              <w:left w:w="30" w:type="dxa"/>
              <w:bottom w:w="0" w:type="dxa"/>
              <w:right w:w="30" w:type="dxa"/>
            </w:tcMar>
            <w:vAlign w:val="bottom"/>
          </w:tcPr>
          <w:p>
            <w:pPr>
              <w:pStyle w:val="Normal"/>
              <w:tabs>
                <w:tab w:val="clear" w:pos="720"/>
              </w:tabs>
              <w:jc w:val="left"/>
              <w:rPr>
                <w:sz w:val="24"/>
                <w:szCs w:val="24"/>
              </w:rPr>
            </w:pPr>
            <w:r>
              <w:rPr/>
            </w:r>
          </w:p>
        </w:tc>
      </w:tr>
      <w:tr>
        <w:trPr>
          <w:trHeight w:val="276" w:hRule="atLeast"/>
        </w:trPr>
        <w:tc>
          <w:tcPr>
            <w:tcW w:w="994" w:type="dxa"/>
            <w:tcBorders>
              <w:bottom w:val="single" w:sz="4" w:space="0" w:color="000000"/>
            </w:tcBorders>
            <w:vAlign w:val="bottom"/>
          </w:tcPr>
          <w:p>
            <w:pPr>
              <w:pStyle w:val="Normal"/>
              <w:tabs>
                <w:tab w:val="clear" w:pos="720"/>
              </w:tabs>
              <w:jc w:val="left"/>
              <w:rPr>
                <w:sz w:val="24"/>
                <w:szCs w:val="24"/>
              </w:rPr>
            </w:pPr>
            <w:r>
              <w:rPr/>
              <w:t>DF</w:t>
            </w:r>
          </w:p>
        </w:tc>
        <w:tc>
          <w:tcPr>
            <w:tcW w:w="963" w:type="dxa"/>
            <w:tcBorders>
              <w:bottom w:val="single" w:sz="4" w:space="0" w:color="000000"/>
            </w:tcBorders>
            <w:vAlign w:val="bottom"/>
          </w:tcPr>
          <w:p>
            <w:pPr>
              <w:pStyle w:val="Normal"/>
              <w:tabs>
                <w:tab w:val="clear" w:pos="720"/>
              </w:tabs>
              <w:jc w:val="right"/>
              <w:rPr>
                <w:sz w:val="24"/>
                <w:szCs w:val="24"/>
              </w:rPr>
            </w:pPr>
            <w:r>
              <w:rPr/>
              <w:t>0.2703</w:t>
            </w:r>
          </w:p>
        </w:tc>
        <w:tc>
          <w:tcPr>
            <w:tcW w:w="964" w:type="dxa"/>
            <w:tcBorders>
              <w:bottom w:val="single" w:sz="4" w:space="0" w:color="000000"/>
            </w:tcBorders>
            <w:vAlign w:val="bottom"/>
          </w:tcPr>
          <w:p>
            <w:pPr>
              <w:pStyle w:val="Normal"/>
              <w:tabs>
                <w:tab w:val="clear" w:pos="720"/>
              </w:tabs>
              <w:jc w:val="right"/>
              <w:rPr>
                <w:sz w:val="24"/>
                <w:szCs w:val="24"/>
              </w:rPr>
            </w:pPr>
            <w:r>
              <w:rPr/>
              <w:t>0.2395</w:t>
            </w:r>
          </w:p>
        </w:tc>
        <w:tc>
          <w:tcPr>
            <w:tcW w:w="190"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0.0204</w:t>
            </w:r>
          </w:p>
        </w:tc>
        <w:tc>
          <w:tcPr>
            <w:tcW w:w="1144" w:type="dxa"/>
            <w:tcBorders>
              <w:bottom w:val="single" w:sz="4" w:space="0" w:color="000000"/>
            </w:tcBorders>
            <w:vAlign w:val="bottom"/>
          </w:tcPr>
          <w:p>
            <w:pPr>
              <w:pStyle w:val="Normal"/>
              <w:tabs>
                <w:tab w:val="clear" w:pos="720"/>
              </w:tabs>
              <w:jc w:val="right"/>
              <w:rPr>
                <w:sz w:val="24"/>
                <w:szCs w:val="24"/>
              </w:rPr>
            </w:pPr>
            <w:r>
              <w:rPr/>
              <w:t>0.0013</w:t>
            </w:r>
          </w:p>
        </w:tc>
        <w:tc>
          <w:tcPr>
            <w:tcW w:w="90" w:type="dxa"/>
            <w:tcBorders>
              <w:bottom w:val="single" w:sz="4" w:space="0" w:color="000000"/>
            </w:tcBorders>
            <w:vAlign w:val="bottom"/>
          </w:tcPr>
          <w:p>
            <w:pPr>
              <w:pStyle w:val="Normal"/>
              <w:tabs>
                <w:tab w:val="clear" w:pos="720"/>
              </w:tabs>
              <w:jc w:val="left"/>
              <w:rPr>
                <w:sz w:val="24"/>
                <w:szCs w:val="24"/>
              </w:rPr>
            </w:pPr>
            <w:r>
              <w:rPr/>
            </w:r>
          </w:p>
        </w:tc>
        <w:tc>
          <w:tcPr>
            <w:tcW w:w="836" w:type="dxa"/>
            <w:tcBorders>
              <w:bottom w:val="single" w:sz="4" w:space="0" w:color="000000"/>
            </w:tcBorders>
            <w:vAlign w:val="bottom"/>
          </w:tcPr>
          <w:p>
            <w:pPr>
              <w:pStyle w:val="Normal"/>
              <w:tabs>
                <w:tab w:val="clear" w:pos="720"/>
              </w:tabs>
              <w:jc w:val="right"/>
              <w:rPr>
                <w:sz w:val="24"/>
                <w:szCs w:val="24"/>
              </w:rPr>
            </w:pPr>
            <w:r>
              <w:rPr/>
              <w:t>0.0074</w:t>
            </w:r>
          </w:p>
        </w:tc>
        <w:tc>
          <w:tcPr>
            <w:tcW w:w="1234" w:type="dxa"/>
            <w:tcBorders>
              <w:bottom w:val="single" w:sz="4" w:space="0" w:color="000000"/>
            </w:tcBorders>
            <w:vAlign w:val="bottom"/>
          </w:tcPr>
          <w:p>
            <w:pPr>
              <w:pStyle w:val="Normal"/>
              <w:tabs>
                <w:tab w:val="clear" w:pos="720"/>
              </w:tabs>
              <w:jc w:val="right"/>
              <w:rPr>
                <w:sz w:val="24"/>
                <w:szCs w:val="24"/>
              </w:rPr>
            </w:pPr>
            <w:r>
              <w:rPr/>
              <w:t>0.0029</w:t>
            </w:r>
          </w:p>
        </w:tc>
        <w:tc>
          <w:tcPr>
            <w:tcW w:w="180" w:type="dxa"/>
            <w:tcBorders>
              <w:bottom w:val="single" w:sz="4" w:space="0" w:color="000000"/>
            </w:tcBorders>
            <w:vAlign w:val="bottom"/>
          </w:tcPr>
          <w:p>
            <w:pPr>
              <w:pStyle w:val="Normal"/>
              <w:tabs>
                <w:tab w:val="clear" w:pos="720"/>
              </w:tabs>
              <w:jc w:val="left"/>
              <w:rPr>
                <w:sz w:val="24"/>
                <w:szCs w:val="24"/>
              </w:rPr>
            </w:pPr>
            <w:r>
              <w:rPr/>
            </w:r>
          </w:p>
        </w:tc>
        <w:tc>
          <w:tcPr>
            <w:tcW w:w="900" w:type="dxa"/>
            <w:tcBorders>
              <w:bottom w:val="single" w:sz="4" w:space="0" w:color="000000"/>
            </w:tcBorders>
            <w:vAlign w:val="bottom"/>
          </w:tcPr>
          <w:p>
            <w:pPr>
              <w:pStyle w:val="Normal"/>
              <w:tabs>
                <w:tab w:val="clear" w:pos="720"/>
              </w:tabs>
              <w:jc w:val="right"/>
              <w:rPr>
                <w:sz w:val="24"/>
                <w:szCs w:val="24"/>
              </w:rPr>
            </w:pPr>
            <w:r>
              <w:rPr/>
              <w:t>-0.0010</w:t>
            </w:r>
          </w:p>
        </w:tc>
        <w:tc>
          <w:tcPr>
            <w:tcW w:w="1170" w:type="dxa"/>
            <w:tcBorders>
              <w:bottom w:val="single" w:sz="4" w:space="0" w:color="000000"/>
            </w:tcBorders>
            <w:vAlign w:val="bottom"/>
          </w:tcPr>
          <w:p>
            <w:pPr>
              <w:pStyle w:val="Normal"/>
              <w:tabs>
                <w:tab w:val="clear" w:pos="720"/>
              </w:tabs>
              <w:jc w:val="right"/>
              <w:rPr>
                <w:sz w:val="24"/>
                <w:szCs w:val="24"/>
              </w:rPr>
            </w:pPr>
            <w:r>
              <w:rPr/>
              <w:t>0.0022</w:t>
            </w:r>
          </w:p>
        </w:tc>
      </w:tr>
    </w:tbl>
    <w:p>
      <w:pPr>
        <w:pStyle w:val="Normal"/>
        <w:rPr>
          <w:sz w:val="24"/>
          <w:szCs w:val="24"/>
        </w:rPr>
      </w:pPr>
      <w:r>
        <w:rPr/>
      </w:r>
    </w:p>
    <w:p>
      <w:pPr>
        <w:pStyle w:val="Normal"/>
        <w:spacing w:lineRule="auto" w:line="480"/>
        <w:rPr>
          <w:sz w:val="24"/>
          <w:szCs w:val="24"/>
        </w:rPr>
      </w:pPr>
      <w:r>
        <w:rPr>
          <w:b/>
          <w:sz w:val="24"/>
          <w:szCs w:val="24"/>
        </w:rPr>
        <w:t xml:space="preserve">Table </w:t>
      </w:r>
      <w:r>
        <w:rPr>
          <w:b/>
          <w:sz w:val="24"/>
          <w:szCs w:val="24"/>
        </w:rPr>
        <w:t>6</w:t>
      </w:r>
      <w:r>
        <w:rPr>
          <w:b/>
          <w:sz w:val="24"/>
          <w:szCs w:val="24"/>
        </w:rPr>
        <w:t>.</w:t>
      </w:r>
      <w:r>
        <w:rPr>
          <w:sz w:val="24"/>
          <w:szCs w:val="24"/>
        </w:rPr>
        <w:t xml:space="preserve"> </w:t>
      </w:r>
      <w:r>
        <w:rPr>
          <w:sz w:val="24"/>
          <w:szCs w:val="24"/>
        </w:rPr>
        <w:t xml:space="preserve">Treatment means +/- standard error for annual basal area growth </w:t>
        <w:br/>
      </w:r>
      <w:r>
        <w:rPr>
          <w:b w:val="false"/>
          <w:bCs w:val="false"/>
          <w:position w:val="0"/>
          <w:sz w:val="24"/>
          <w:sz w:val="24"/>
          <w:szCs w:val="24"/>
          <w:vertAlign w:val="baseline"/>
        </w:rPr>
        <w:t>(m</w:t>
      </w:r>
      <w:r>
        <w:rPr>
          <w:b w:val="false"/>
          <w:bCs w:val="false"/>
          <w:sz w:val="24"/>
          <w:szCs w:val="24"/>
          <w:vertAlign w:val="superscript"/>
        </w:rPr>
        <w:t>2</w:t>
      </w:r>
      <w:r>
        <w:rPr>
          <w:b w:val="false"/>
          <w:bCs w:val="false"/>
          <w:position w:val="0"/>
          <w:sz w:val="24"/>
          <w:sz w:val="24"/>
          <w:szCs w:val="24"/>
          <w:vertAlign w:val="baseline"/>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sz w:val="24"/>
          <w:szCs w:val="24"/>
        </w:rPr>
        <w:t>, total proportional mortality, and cause-specifc proportional mortality across early, middle, and late measurement periods. Late time period means for all variables are measured means. Annual total mortality means for early and middle time periods, and suppression mortality for middle time period are estimated marginal means. All others means are are least-squares means.</w:t>
      </w:r>
    </w:p>
    <w:p>
      <w:pPr>
        <w:pStyle w:val="Normal"/>
        <w:spacing w:lineRule="auto" w:line="480"/>
        <w:rPr>
          <w:sz w:val="24"/>
          <w:szCs w:val="24"/>
        </w:rPr>
      </w:pPr>
      <w:r>
        <w:rPr/>
      </w:r>
    </w:p>
    <w:p>
      <w:pPr>
        <w:sectPr>
          <w:headerReference w:type="default" r:id="rId37"/>
          <w:type w:val="nextPage"/>
          <w:pgSz w:orient="landscape" w:w="15840" w:h="12240"/>
          <w:pgMar w:left="1134" w:right="1134" w:header="0" w:top="1134" w:footer="0" w:bottom="1134" w:gutter="0"/>
          <w:lnNumType w:countBy="1" w:restart="continuous" w:distance="283"/>
          <w:pgNumType w:fmt="decimal"/>
          <w:formProt w:val="false"/>
          <w:textDirection w:val="lrTb"/>
        </w:sectPr>
        <w:pStyle w:val="Normal"/>
        <w:spacing w:lineRule="auto" w:line="480"/>
        <w:rPr>
          <w:sz w:val="24"/>
          <w:szCs w:val="24"/>
        </w:rPr>
      </w:pPr>
      <w:r>
        <w:rPr/>
      </w:r>
    </w:p>
    <w:p>
      <w:pPr>
        <w:pStyle w:val="Normal"/>
        <w:spacing w:lineRule="auto" w:line="480"/>
        <w:rPr/>
      </w:pPr>
      <w:r>
        <w:rPr/>
      </w:r>
    </w:p>
    <w:tbl>
      <w:tblPr>
        <w:tblW w:w="5952" w:type="dxa"/>
        <w:jc w:val="left"/>
        <w:tblInd w:w="-5" w:type="dxa"/>
        <w:tblLayout w:type="fixed"/>
        <w:tblCellMar>
          <w:top w:w="55" w:type="dxa"/>
          <w:left w:w="55" w:type="dxa"/>
          <w:bottom w:w="55" w:type="dxa"/>
          <w:right w:w="55" w:type="dxa"/>
        </w:tblCellMar>
      </w:tblPr>
      <w:tblGrid>
        <w:gridCol w:w="993"/>
        <w:gridCol w:w="1255"/>
        <w:gridCol w:w="189"/>
        <w:gridCol w:w="965"/>
        <w:gridCol w:w="157"/>
        <w:gridCol w:w="965"/>
        <w:gridCol w:w="126"/>
        <w:gridCol w:w="1301"/>
      </w:tblGrid>
      <w:tr>
        <w:trPr>
          <w:trHeight w:val="1200" w:hRule="atLeast"/>
        </w:trPr>
        <w:tc>
          <w:tcPr>
            <w:tcW w:w="993" w:type="dxa"/>
            <w:tcBorders>
              <w:top w:val="single" w:sz="4" w:space="0" w:color="000000"/>
            </w:tcBorders>
            <w:vAlign w:val="bottom"/>
          </w:tcPr>
          <w:p>
            <w:pPr>
              <w:pStyle w:val="Normal"/>
              <w:tabs>
                <w:tab w:val="clear" w:pos="720"/>
              </w:tabs>
              <w:jc w:val="left"/>
              <w:rPr>
                <w:sz w:val="24"/>
                <w:szCs w:val="24"/>
              </w:rPr>
            </w:pPr>
            <w:r>
              <w:rPr/>
            </w:r>
          </w:p>
        </w:tc>
        <w:tc>
          <w:tcPr>
            <w:tcW w:w="1255" w:type="dxa"/>
            <w:tcBorders>
              <w:top w:val="single" w:sz="4" w:space="0" w:color="000000"/>
              <w:bottom w:val="single" w:sz="4" w:space="0" w:color="000000"/>
            </w:tcBorders>
            <w:vAlign w:val="bottom"/>
          </w:tcPr>
          <w:p>
            <w:pPr>
              <w:pStyle w:val="Normal"/>
              <w:tabs>
                <w:tab w:val="clear" w:pos="720"/>
              </w:tabs>
              <w:jc w:val="center"/>
              <w:rPr>
                <w:sz w:val="24"/>
                <w:szCs w:val="24"/>
              </w:rPr>
            </w:pPr>
            <w:r>
              <w:rPr/>
              <w:t>annual BA increment</w:t>
            </w:r>
          </w:p>
        </w:tc>
        <w:tc>
          <w:tcPr>
            <w:tcW w:w="189" w:type="dxa"/>
            <w:tcBorders>
              <w:top w:val="single" w:sz="4" w:space="0" w:color="000000"/>
            </w:tcBorders>
            <w:vAlign w:val="bottom"/>
          </w:tcPr>
          <w:p>
            <w:pPr>
              <w:pStyle w:val="Normal"/>
              <w:tabs>
                <w:tab w:val="clear" w:pos="720"/>
              </w:tabs>
              <w:jc w:val="left"/>
              <w:rPr>
                <w:sz w:val="24"/>
                <w:szCs w:val="24"/>
              </w:rPr>
            </w:pPr>
            <w:r>
              <w:rPr/>
            </w:r>
          </w:p>
        </w:tc>
        <w:tc>
          <w:tcPr>
            <w:tcW w:w="965" w:type="dxa"/>
            <w:tcBorders>
              <w:top w:val="single" w:sz="4" w:space="0" w:color="000000"/>
              <w:bottom w:val="single" w:sz="4" w:space="0" w:color="000000"/>
            </w:tcBorders>
            <w:vAlign w:val="bottom"/>
          </w:tcPr>
          <w:p>
            <w:pPr>
              <w:pStyle w:val="Normal"/>
              <w:tabs>
                <w:tab w:val="clear" w:pos="720"/>
              </w:tabs>
              <w:jc w:val="center"/>
              <w:rPr>
                <w:sz w:val="24"/>
                <w:szCs w:val="24"/>
              </w:rPr>
            </w:pPr>
            <w:r>
              <w:rPr/>
              <w:t>annual total mortality</w:t>
            </w:r>
          </w:p>
        </w:tc>
        <w:tc>
          <w:tcPr>
            <w:tcW w:w="157" w:type="dxa"/>
            <w:tcBorders>
              <w:top w:val="single" w:sz="4" w:space="0" w:color="000000"/>
            </w:tcBorders>
            <w:vAlign w:val="bottom"/>
          </w:tcPr>
          <w:p>
            <w:pPr>
              <w:pStyle w:val="Normal"/>
              <w:tabs>
                <w:tab w:val="clear" w:pos="720"/>
              </w:tabs>
              <w:jc w:val="left"/>
              <w:rPr>
                <w:sz w:val="24"/>
                <w:szCs w:val="24"/>
              </w:rPr>
            </w:pPr>
            <w:r>
              <w:rPr/>
            </w:r>
          </w:p>
        </w:tc>
        <w:tc>
          <w:tcPr>
            <w:tcW w:w="965" w:type="dxa"/>
            <w:tcBorders>
              <w:top w:val="single" w:sz="4" w:space="0" w:color="000000"/>
              <w:bottom w:val="single" w:sz="4" w:space="0" w:color="000000"/>
            </w:tcBorders>
            <w:vAlign w:val="bottom"/>
          </w:tcPr>
          <w:p>
            <w:pPr>
              <w:pStyle w:val="Normal"/>
              <w:tabs>
                <w:tab w:val="clear" w:pos="720"/>
              </w:tabs>
              <w:jc w:val="center"/>
              <w:rPr>
                <w:sz w:val="24"/>
                <w:szCs w:val="24"/>
              </w:rPr>
            </w:pPr>
            <w:r>
              <w:rPr/>
              <w:t>annual LRR mortality</w:t>
            </w:r>
          </w:p>
        </w:tc>
        <w:tc>
          <w:tcPr>
            <w:tcW w:w="126" w:type="dxa"/>
            <w:tcBorders>
              <w:top w:val="single" w:sz="4" w:space="0" w:color="000000"/>
            </w:tcBorders>
            <w:vAlign w:val="bottom"/>
          </w:tcPr>
          <w:p>
            <w:pPr>
              <w:pStyle w:val="Normal"/>
              <w:tabs>
                <w:tab w:val="clear" w:pos="720"/>
              </w:tabs>
              <w:jc w:val="left"/>
              <w:rPr>
                <w:sz w:val="24"/>
                <w:szCs w:val="24"/>
              </w:rPr>
            </w:pPr>
            <w:r>
              <w:rPr/>
            </w:r>
          </w:p>
        </w:tc>
        <w:tc>
          <w:tcPr>
            <w:tcW w:w="1301" w:type="dxa"/>
            <w:tcBorders>
              <w:top w:val="single" w:sz="4" w:space="0" w:color="000000"/>
              <w:bottom w:val="single" w:sz="4" w:space="0" w:color="000000"/>
            </w:tcBorders>
            <w:vAlign w:val="bottom"/>
          </w:tcPr>
          <w:p>
            <w:pPr>
              <w:pStyle w:val="Normal"/>
              <w:tabs>
                <w:tab w:val="clear" w:pos="720"/>
              </w:tabs>
              <w:jc w:val="center"/>
              <w:rPr>
                <w:sz w:val="24"/>
                <w:szCs w:val="24"/>
              </w:rPr>
            </w:pPr>
            <w:r>
              <w:rPr/>
              <w:t>annual suppression mortality</w:t>
            </w:r>
          </w:p>
        </w:tc>
      </w:tr>
      <w:tr>
        <w:trPr>
          <w:trHeight w:val="300" w:hRule="atLeast"/>
        </w:trPr>
        <w:tc>
          <w:tcPr>
            <w:tcW w:w="993" w:type="dxa"/>
            <w:tcBorders>
              <w:bottom w:val="single" w:sz="4" w:space="0" w:color="000000"/>
            </w:tcBorders>
            <w:vAlign w:val="bottom"/>
          </w:tcPr>
          <w:p>
            <w:pPr>
              <w:pStyle w:val="Normal"/>
              <w:tabs>
                <w:tab w:val="clear" w:pos="720"/>
              </w:tabs>
              <w:jc w:val="left"/>
              <w:rPr>
                <w:sz w:val="24"/>
                <w:szCs w:val="24"/>
              </w:rPr>
            </w:pPr>
            <w:r>
              <w:rPr/>
            </w:r>
          </w:p>
        </w:tc>
        <w:tc>
          <w:tcPr>
            <w:tcW w:w="1255" w:type="dxa"/>
            <w:tcBorders>
              <w:bottom w:val="single" w:sz="4" w:space="0" w:color="000000"/>
            </w:tcBorders>
            <w:vAlign w:val="bottom"/>
          </w:tcPr>
          <w:p>
            <w:pPr>
              <w:pStyle w:val="Normal"/>
              <w:tabs>
                <w:tab w:val="clear" w:pos="720"/>
              </w:tabs>
              <w:jc w:val="left"/>
              <w:rPr>
                <w:sz w:val="24"/>
                <w:szCs w:val="24"/>
              </w:rPr>
            </w:pPr>
            <w:r>
              <w:rPr/>
              <w:t>intercept</w:t>
            </w:r>
          </w:p>
        </w:tc>
        <w:tc>
          <w:tcPr>
            <w:tcW w:w="189"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left"/>
              <w:rPr>
                <w:sz w:val="24"/>
                <w:szCs w:val="24"/>
              </w:rPr>
            </w:pPr>
            <w:r>
              <w:rPr/>
              <w:t>intercept</w:t>
            </w:r>
          </w:p>
        </w:tc>
        <w:tc>
          <w:tcPr>
            <w:tcW w:w="157"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left"/>
              <w:rPr>
                <w:sz w:val="24"/>
                <w:szCs w:val="24"/>
              </w:rPr>
            </w:pPr>
            <w:r>
              <w:rPr/>
              <w:t>intercept</w:t>
            </w:r>
          </w:p>
        </w:tc>
        <w:tc>
          <w:tcPr>
            <w:tcW w:w="126" w:type="dxa"/>
            <w:tcBorders>
              <w:bottom w:val="single" w:sz="4" w:space="0" w:color="000000"/>
            </w:tcBorders>
            <w:vAlign w:val="bottom"/>
          </w:tcPr>
          <w:p>
            <w:pPr>
              <w:pStyle w:val="Normal"/>
              <w:tabs>
                <w:tab w:val="clear" w:pos="720"/>
              </w:tabs>
              <w:jc w:val="left"/>
              <w:rPr>
                <w:sz w:val="24"/>
                <w:szCs w:val="24"/>
              </w:rPr>
            </w:pPr>
            <w:r>
              <w:rPr/>
            </w:r>
          </w:p>
        </w:tc>
        <w:tc>
          <w:tcPr>
            <w:tcW w:w="1301" w:type="dxa"/>
            <w:tcBorders>
              <w:bottom w:val="single" w:sz="4" w:space="0" w:color="000000"/>
            </w:tcBorders>
            <w:vAlign w:val="bottom"/>
          </w:tcPr>
          <w:p>
            <w:pPr>
              <w:pStyle w:val="Normal"/>
              <w:tabs>
                <w:tab w:val="clear" w:pos="720"/>
              </w:tabs>
              <w:jc w:val="left"/>
              <w:rPr>
                <w:sz w:val="24"/>
                <w:szCs w:val="24"/>
              </w:rPr>
            </w:pPr>
            <w:r>
              <w:rPr/>
              <w:t>intercept</w:t>
            </w:r>
          </w:p>
        </w:tc>
      </w:tr>
      <w:tr>
        <w:trPr>
          <w:trHeight w:val="300"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b/>
              </w:rPr>
              <w:t>EARLY</w:t>
            </w:r>
          </w:p>
        </w:tc>
        <w:tc>
          <w:tcPr>
            <w:tcW w:w="125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left"/>
              <w:rPr>
                <w:sz w:val="24"/>
                <w:szCs w:val="24"/>
              </w:rPr>
            </w:pPr>
            <w:r>
              <w:rPr/>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0.0474</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-0.0128</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0.0133</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0.0628</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-0.0061</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-0.0007</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-0.1856</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-0.0130</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0.0118</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-0.0701</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-0.0103</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0.0065</w:t>
            </w:r>
          </w:p>
        </w:tc>
      </w:tr>
      <w:tr>
        <w:trPr>
          <w:trHeight w:val="276" w:hRule="atLeast"/>
        </w:trPr>
        <w:tc>
          <w:tcPr>
            <w:tcW w:w="993" w:type="dxa"/>
            <w:tcBorders>
              <w:bottom w:val="single" w:sz="4" w:space="0" w:color="000000"/>
            </w:tcBorders>
            <w:vAlign w:val="bottom"/>
          </w:tcPr>
          <w:p>
            <w:pPr>
              <w:pStyle w:val="Normal"/>
              <w:tabs>
                <w:tab w:val="clear" w:pos="720"/>
              </w:tabs>
              <w:jc w:val="left"/>
              <w:rPr>
                <w:sz w:val="24"/>
                <w:szCs w:val="24"/>
              </w:rPr>
            </w:pPr>
            <w:r>
              <w:rPr/>
              <w:t>B5</w:t>
            </w:r>
          </w:p>
        </w:tc>
        <w:tc>
          <w:tcPr>
            <w:tcW w:w="1255" w:type="dxa"/>
            <w:tcBorders>
              <w:bottom w:val="single" w:sz="4" w:space="0" w:color="000000"/>
            </w:tcBorders>
            <w:vAlign w:val="bottom"/>
          </w:tcPr>
          <w:p>
            <w:pPr>
              <w:pStyle w:val="Normal"/>
              <w:tabs>
                <w:tab w:val="clear" w:pos="720"/>
              </w:tabs>
              <w:jc w:val="right"/>
              <w:rPr>
                <w:sz w:val="24"/>
                <w:szCs w:val="24"/>
              </w:rPr>
            </w:pPr>
            <w:r>
              <w:rPr/>
              <w:t>0.1455</w:t>
            </w:r>
          </w:p>
        </w:tc>
        <w:tc>
          <w:tcPr>
            <w:tcW w:w="189"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NA</w:t>
            </w:r>
          </w:p>
        </w:tc>
        <w:tc>
          <w:tcPr>
            <w:tcW w:w="157"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0.0421</w:t>
            </w:r>
          </w:p>
        </w:tc>
        <w:tc>
          <w:tcPr>
            <w:tcW w:w="126" w:type="dxa"/>
            <w:tcBorders>
              <w:bottom w:val="single" w:sz="4" w:space="0" w:color="000000"/>
            </w:tcBorders>
            <w:vAlign w:val="bottom"/>
          </w:tcPr>
          <w:p>
            <w:pPr>
              <w:pStyle w:val="Normal"/>
              <w:tabs>
                <w:tab w:val="clear" w:pos="720"/>
              </w:tabs>
              <w:jc w:val="left"/>
              <w:rPr>
                <w:sz w:val="24"/>
                <w:szCs w:val="24"/>
              </w:rPr>
            </w:pPr>
            <w:r>
              <w:rPr/>
            </w:r>
          </w:p>
        </w:tc>
        <w:tc>
          <w:tcPr>
            <w:tcW w:w="1301" w:type="dxa"/>
            <w:tcBorders>
              <w:bottom w:val="single" w:sz="4" w:space="0" w:color="000000"/>
            </w:tcBorders>
            <w:vAlign w:val="bottom"/>
          </w:tcPr>
          <w:p>
            <w:pPr>
              <w:pStyle w:val="Normal"/>
              <w:tabs>
                <w:tab w:val="clear" w:pos="720"/>
              </w:tabs>
              <w:jc w:val="right"/>
              <w:rPr>
                <w:sz w:val="24"/>
                <w:szCs w:val="24"/>
              </w:rPr>
            </w:pPr>
            <w:r>
              <w:rPr/>
              <w:t>-0.0309</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b/>
              </w:rPr>
              <w:t>MIDDLE</w:t>
            </w:r>
          </w:p>
        </w:tc>
        <w:tc>
          <w:tcPr>
            <w:tcW w:w="125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left"/>
              <w:rPr>
                <w:sz w:val="24"/>
                <w:szCs w:val="24"/>
              </w:rPr>
            </w:pPr>
            <w:r>
              <w:rPr/>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B1</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0.15530</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-0.0175</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B2</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0.04924</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-0.0109</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B3</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0.01595</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0.0045</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r>
      <w:tr>
        <w:trPr>
          <w:trHeight w:val="276" w:hRule="atLeast"/>
        </w:trPr>
        <w:tc>
          <w:tcPr>
            <w:tcW w:w="993" w:type="dxa"/>
            <w:tcBorders/>
            <w:tcMar>
              <w:top w:w="0" w:type="dxa"/>
              <w:left w:w="30" w:type="dxa"/>
              <w:bottom w:w="0" w:type="dxa"/>
              <w:right w:w="30" w:type="dxa"/>
            </w:tcMar>
            <w:vAlign w:val="bottom"/>
          </w:tcPr>
          <w:p>
            <w:pPr>
              <w:pStyle w:val="Normal"/>
              <w:tabs>
                <w:tab w:val="clear" w:pos="720"/>
              </w:tabs>
              <w:jc w:val="left"/>
              <w:rPr>
                <w:sz w:val="24"/>
                <w:szCs w:val="24"/>
              </w:rPr>
            </w:pPr>
            <w:r>
              <w:rPr/>
              <w:t>B4</w:t>
            </w:r>
          </w:p>
        </w:tc>
        <w:tc>
          <w:tcPr>
            <w:tcW w:w="1255" w:type="dxa"/>
            <w:tcBorders/>
            <w:tcMar>
              <w:top w:w="0" w:type="dxa"/>
              <w:left w:w="30" w:type="dxa"/>
              <w:bottom w:w="0" w:type="dxa"/>
              <w:right w:w="30" w:type="dxa"/>
            </w:tcMar>
            <w:vAlign w:val="bottom"/>
          </w:tcPr>
          <w:p>
            <w:pPr>
              <w:pStyle w:val="Normal"/>
              <w:tabs>
                <w:tab w:val="clear" w:pos="720"/>
              </w:tabs>
              <w:jc w:val="right"/>
              <w:rPr>
                <w:sz w:val="24"/>
                <w:szCs w:val="24"/>
              </w:rPr>
            </w:pPr>
            <w:r>
              <w:rPr/>
              <w:t>-0.07371</w:t>
            </w:r>
          </w:p>
        </w:tc>
        <w:tc>
          <w:tcPr>
            <w:tcW w:w="189"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c>
          <w:tcPr>
            <w:tcW w:w="157"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965" w:type="dxa"/>
            <w:tcBorders/>
            <w:tcMar>
              <w:top w:w="0" w:type="dxa"/>
              <w:left w:w="30" w:type="dxa"/>
              <w:bottom w:w="0" w:type="dxa"/>
              <w:right w:w="30" w:type="dxa"/>
            </w:tcMar>
            <w:vAlign w:val="bottom"/>
          </w:tcPr>
          <w:p>
            <w:pPr>
              <w:pStyle w:val="Normal"/>
              <w:tabs>
                <w:tab w:val="clear" w:pos="720"/>
              </w:tabs>
              <w:jc w:val="right"/>
              <w:rPr>
                <w:sz w:val="24"/>
                <w:szCs w:val="24"/>
              </w:rPr>
            </w:pPr>
            <w:r>
              <w:rPr/>
              <w:t>-0.0138</w:t>
            </w:r>
          </w:p>
        </w:tc>
        <w:tc>
          <w:tcPr>
            <w:tcW w:w="126" w:type="dxa"/>
            <w:tcBorders/>
            <w:tcMar>
              <w:top w:w="0" w:type="dxa"/>
              <w:left w:w="30" w:type="dxa"/>
              <w:bottom w:w="0" w:type="dxa"/>
              <w:right w:w="30" w:type="dxa"/>
            </w:tcMar>
            <w:vAlign w:val="bottom"/>
          </w:tcPr>
          <w:p>
            <w:pPr>
              <w:pStyle w:val="Normal"/>
              <w:tabs>
                <w:tab w:val="clear" w:pos="720"/>
              </w:tabs>
              <w:jc w:val="left"/>
              <w:rPr>
                <w:sz w:val="24"/>
                <w:szCs w:val="24"/>
              </w:rPr>
            </w:pPr>
            <w:r>
              <w:rPr/>
            </w:r>
          </w:p>
        </w:tc>
        <w:tc>
          <w:tcPr>
            <w:tcW w:w="1301" w:type="dxa"/>
            <w:tcBorders/>
            <w:tcMar>
              <w:top w:w="0" w:type="dxa"/>
              <w:left w:w="30" w:type="dxa"/>
              <w:bottom w:w="0" w:type="dxa"/>
              <w:right w:w="30" w:type="dxa"/>
            </w:tcMar>
            <w:vAlign w:val="bottom"/>
          </w:tcPr>
          <w:p>
            <w:pPr>
              <w:pStyle w:val="Normal"/>
              <w:tabs>
                <w:tab w:val="clear" w:pos="720"/>
              </w:tabs>
              <w:jc w:val="right"/>
              <w:rPr>
                <w:sz w:val="24"/>
                <w:szCs w:val="24"/>
              </w:rPr>
            </w:pPr>
            <w:r>
              <w:rPr/>
              <w:t>NA</w:t>
            </w:r>
          </w:p>
        </w:tc>
      </w:tr>
      <w:tr>
        <w:trPr>
          <w:trHeight w:val="276" w:hRule="atLeast"/>
        </w:trPr>
        <w:tc>
          <w:tcPr>
            <w:tcW w:w="993" w:type="dxa"/>
            <w:tcBorders>
              <w:bottom w:val="single" w:sz="4" w:space="0" w:color="000000"/>
            </w:tcBorders>
            <w:vAlign w:val="bottom"/>
          </w:tcPr>
          <w:p>
            <w:pPr>
              <w:pStyle w:val="Normal"/>
              <w:tabs>
                <w:tab w:val="clear" w:pos="720"/>
              </w:tabs>
              <w:jc w:val="left"/>
              <w:rPr>
                <w:sz w:val="24"/>
                <w:szCs w:val="24"/>
              </w:rPr>
            </w:pPr>
            <w:r>
              <w:rPr/>
              <w:t>B5</w:t>
            </w:r>
          </w:p>
        </w:tc>
        <w:tc>
          <w:tcPr>
            <w:tcW w:w="1255" w:type="dxa"/>
            <w:tcBorders>
              <w:bottom w:val="single" w:sz="4" w:space="0" w:color="000000"/>
            </w:tcBorders>
            <w:vAlign w:val="bottom"/>
          </w:tcPr>
          <w:p>
            <w:pPr>
              <w:pStyle w:val="Normal"/>
              <w:tabs>
                <w:tab w:val="clear" w:pos="720"/>
              </w:tabs>
              <w:jc w:val="right"/>
              <w:rPr>
                <w:sz w:val="24"/>
                <w:szCs w:val="24"/>
              </w:rPr>
            </w:pPr>
            <w:r>
              <w:rPr/>
              <w:t>-0.14679</w:t>
            </w:r>
          </w:p>
        </w:tc>
        <w:tc>
          <w:tcPr>
            <w:tcW w:w="189"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NA</w:t>
            </w:r>
          </w:p>
        </w:tc>
        <w:tc>
          <w:tcPr>
            <w:tcW w:w="157" w:type="dxa"/>
            <w:tcBorders>
              <w:bottom w:val="single" w:sz="4" w:space="0" w:color="000000"/>
            </w:tcBorders>
            <w:vAlign w:val="bottom"/>
          </w:tcPr>
          <w:p>
            <w:pPr>
              <w:pStyle w:val="Normal"/>
              <w:tabs>
                <w:tab w:val="clear" w:pos="720"/>
              </w:tabs>
              <w:jc w:val="left"/>
              <w:rPr>
                <w:sz w:val="24"/>
                <w:szCs w:val="24"/>
              </w:rPr>
            </w:pPr>
            <w:r>
              <w:rPr/>
            </w:r>
          </w:p>
        </w:tc>
        <w:tc>
          <w:tcPr>
            <w:tcW w:w="965" w:type="dxa"/>
            <w:tcBorders>
              <w:bottom w:val="single" w:sz="4" w:space="0" w:color="000000"/>
            </w:tcBorders>
            <w:vAlign w:val="bottom"/>
          </w:tcPr>
          <w:p>
            <w:pPr>
              <w:pStyle w:val="Normal"/>
              <w:tabs>
                <w:tab w:val="clear" w:pos="720"/>
              </w:tabs>
              <w:jc w:val="right"/>
              <w:rPr>
                <w:sz w:val="24"/>
                <w:szCs w:val="24"/>
              </w:rPr>
            </w:pPr>
            <w:r>
              <w:rPr/>
              <w:t>0.0376</w:t>
            </w:r>
          </w:p>
        </w:tc>
        <w:tc>
          <w:tcPr>
            <w:tcW w:w="126" w:type="dxa"/>
            <w:tcBorders>
              <w:bottom w:val="single" w:sz="4" w:space="0" w:color="000000"/>
            </w:tcBorders>
            <w:vAlign w:val="bottom"/>
          </w:tcPr>
          <w:p>
            <w:pPr>
              <w:pStyle w:val="Normal"/>
              <w:tabs>
                <w:tab w:val="clear" w:pos="720"/>
              </w:tabs>
              <w:jc w:val="left"/>
              <w:rPr>
                <w:sz w:val="24"/>
                <w:szCs w:val="24"/>
              </w:rPr>
            </w:pPr>
            <w:r>
              <w:rPr/>
            </w:r>
          </w:p>
        </w:tc>
        <w:tc>
          <w:tcPr>
            <w:tcW w:w="1301" w:type="dxa"/>
            <w:tcBorders>
              <w:bottom w:val="single" w:sz="4" w:space="0" w:color="000000"/>
            </w:tcBorders>
            <w:vAlign w:val="bottom"/>
          </w:tcPr>
          <w:p>
            <w:pPr>
              <w:pStyle w:val="Normal"/>
              <w:tabs>
                <w:tab w:val="clear" w:pos="720"/>
              </w:tabs>
              <w:jc w:val="right"/>
              <w:rPr>
                <w:sz w:val="24"/>
                <w:szCs w:val="24"/>
              </w:rPr>
            </w:pPr>
            <w:r>
              <w:rPr/>
              <w:t>NA</w:t>
            </w:r>
          </w:p>
        </w:tc>
      </w:tr>
    </w:tbl>
    <w:p>
      <w:pPr>
        <w:pStyle w:val="Normal"/>
        <w:rPr>
          <w:sz w:val="24"/>
          <w:szCs w:val="24"/>
        </w:rPr>
      </w:pPr>
      <w:r>
        <w:rPr/>
      </w:r>
    </w:p>
    <w:p>
      <w:pPr>
        <w:pStyle w:val="Normal"/>
        <w:spacing w:lineRule="auto" w:line="480"/>
        <w:rPr>
          <w:sz w:val="24"/>
          <w:szCs w:val="24"/>
        </w:rPr>
      </w:pPr>
      <w:bookmarkStart w:id="1" w:name="_GoBack"/>
      <w:bookmarkEnd w:id="1"/>
      <w:r>
        <w:rPr>
          <w:b/>
          <w:sz w:val="24"/>
          <w:szCs w:val="24"/>
        </w:rPr>
        <w:t xml:space="preserve">Table </w:t>
      </w:r>
      <w:r>
        <w:rPr>
          <w:b/>
          <w:sz w:val="24"/>
          <w:szCs w:val="24"/>
        </w:rPr>
        <w:t>7</w:t>
      </w:r>
      <w:r>
        <w:rPr>
          <w:b/>
          <w:sz w:val="24"/>
          <w:szCs w:val="24"/>
        </w:rPr>
        <w:t>.</w:t>
      </w:r>
      <w:r>
        <w:rPr>
          <w:b w:val="false"/>
          <w:bCs w:val="false"/>
          <w:sz w:val="24"/>
          <w:szCs w:val="24"/>
        </w:rPr>
        <w:t xml:space="preserve"> </w:t>
      </w:r>
      <w:r>
        <w:rPr>
          <w:b w:val="false"/>
          <w:bCs w:val="false"/>
          <w:sz w:val="24"/>
          <w:szCs w:val="24"/>
        </w:rPr>
        <w:t xml:space="preserve">Intercept estimates for </w:t>
      </w:r>
      <w:r>
        <w:rPr>
          <w:b w:val="false"/>
          <w:bCs w:val="false"/>
          <w:sz w:val="24"/>
          <w:szCs w:val="24"/>
        </w:rPr>
        <w:t xml:space="preserve">levels of </w:t>
      </w:r>
      <w:r>
        <w:rPr>
          <w:b w:val="false"/>
          <w:bCs w:val="false"/>
          <w:sz w:val="24"/>
          <w:szCs w:val="24"/>
        </w:rPr>
        <w:t xml:space="preserve">random block </w:t>
      </w:r>
      <w:r>
        <w:rPr>
          <w:b w:val="false"/>
          <w:bCs w:val="false"/>
          <w:sz w:val="24"/>
          <w:szCs w:val="24"/>
        </w:rPr>
        <w:t xml:space="preserve">effect </w:t>
      </w:r>
      <w:r>
        <w:rPr>
          <w:b w:val="false"/>
          <w:bCs w:val="false"/>
          <w:sz w:val="24"/>
          <w:szCs w:val="24"/>
        </w:rPr>
        <w:t>in linear mixed model</w:t>
      </w:r>
      <w:r>
        <w:rPr>
          <w:b w:val="false"/>
          <w:bCs w:val="false"/>
          <w:sz w:val="24"/>
          <w:szCs w:val="24"/>
        </w:rPr>
        <w:t>s</w:t>
      </w:r>
      <w:r>
        <w:rPr>
          <w:b w:val="false"/>
          <w:bCs w:val="false"/>
          <w:sz w:val="24"/>
          <w:szCs w:val="24"/>
        </w:rPr>
        <w:t xml:space="preserve"> of annual basal area growth (m</w:t>
      </w:r>
      <w:r>
        <w:rPr>
          <w:b w:val="false"/>
          <w:bCs w:val="false"/>
          <w:sz w:val="24"/>
          <w:szCs w:val="24"/>
          <w:vertAlign w:val="superscript"/>
        </w:rPr>
        <w:t>2</w:t>
      </w:r>
      <w:r>
        <w:rPr>
          <w:b w:val="false"/>
          <w:bCs w:val="false"/>
          <w:sz w:val="24"/>
          <w:szCs w:val="24"/>
        </w:rPr>
        <w:t>ha</w:t>
      </w:r>
      <w:r>
        <w:rPr>
          <w:b w:val="false"/>
          <w:bCs w:val="false"/>
          <w:sz w:val="24"/>
          <w:szCs w:val="24"/>
          <w:vertAlign w:val="superscript"/>
        </w:rPr>
        <w:t>-1</w:t>
      </w:r>
      <w:r>
        <w:rPr>
          <w:b w:val="false"/>
          <w:bCs w:val="false"/>
          <w:position w:val="0"/>
          <w:sz w:val="24"/>
          <w:sz w:val="24"/>
          <w:szCs w:val="24"/>
          <w:vertAlign w:val="baseline"/>
        </w:rPr>
        <w:t>year</w:t>
      </w:r>
      <w:r>
        <w:rPr>
          <w:b w:val="false"/>
          <w:bCs w:val="false"/>
          <w:sz w:val="24"/>
          <w:szCs w:val="24"/>
          <w:vertAlign w:val="superscript"/>
        </w:rPr>
        <w:t>-1</w:t>
      </w:r>
      <w:r>
        <w:rPr>
          <w:b w:val="false"/>
          <w:bCs w:val="false"/>
          <w:position w:val="0"/>
          <w:sz w:val="24"/>
          <w:sz w:val="24"/>
          <w:szCs w:val="24"/>
          <w:vertAlign w:val="baseline"/>
        </w:rPr>
        <w:t>)</w:t>
      </w:r>
      <w:r>
        <w:rPr>
          <w:b w:val="false"/>
          <w:bCs w:val="false"/>
          <w:sz w:val="24"/>
          <w:szCs w:val="24"/>
        </w:rPr>
        <w:t xml:space="preserve">, LRR mortality, and supreesion mortality across early and middle measurement periods. </w:t>
      </w:r>
      <w:r>
        <w:rPr>
          <w:b w:val="false"/>
          <w:bCs w:val="false"/>
          <w:sz w:val="24"/>
          <w:szCs w:val="24"/>
        </w:rPr>
        <w:t>Mixed effect models for variables without intercept estimatesdid not converge and thus linear models of the fixed effect of treatment only were fitted.</w:t>
      </w:r>
    </w:p>
    <w:p>
      <w:pPr>
        <w:pStyle w:val="Normal"/>
        <w:spacing w:lineRule="auto" w:line="480"/>
        <w:rPr>
          <w:sz w:val="24"/>
          <w:szCs w:val="24"/>
        </w:rPr>
      </w:pPr>
      <w:r>
        <w:rPr>
          <w:b/>
          <w:sz w:val="28"/>
          <w:szCs w:val="28"/>
        </w:rPr>
      </w:r>
    </w:p>
    <w:p>
      <w:pPr>
        <w:pStyle w:val="Normal"/>
        <w:spacing w:lineRule="auto" w:line="480"/>
        <w:rPr>
          <w:sz w:val="24"/>
          <w:szCs w:val="24"/>
        </w:rPr>
      </w:pPr>
      <w:r>
        <w:rPr>
          <w:b/>
          <w:sz w:val="28"/>
          <w:szCs w:val="28"/>
        </w:rPr>
        <w:t xml:space="preserve">4. Conclusions and discussion </w:t>
      </w:r>
    </w:p>
    <w:p>
      <w:pPr>
        <w:pStyle w:val="Normal"/>
        <w:spacing w:lineRule="auto" w:line="480"/>
        <w:rPr>
          <w:sz w:val="24"/>
          <w:szCs w:val="24"/>
        </w:rPr>
      </w:pPr>
      <w:r>
        <w:rPr>
          <w:sz w:val="24"/>
          <w:szCs w:val="24"/>
        </w:rPr>
        <w:t xml:space="preserve">From the results of </w:t>
      </w:r>
      <w:ins w:id="149" w:author="Shawn McMurtrey" w:date="2022-08-14T14:47:00Z">
        <w:r>
          <w:rPr>
            <w:sz w:val="24"/>
            <w:szCs w:val="24"/>
          </w:rPr>
          <w:t>these two</w:t>
        </w:r>
      </w:ins>
      <w:del w:id="150" w:author="Shawn McMurtrey" w:date="2022-08-14T14:47:00Z">
        <w:r>
          <w:rPr>
            <w:sz w:val="24"/>
            <w:szCs w:val="24"/>
          </w:rPr>
          <w:delText>this</w:delText>
        </w:r>
      </w:del>
      <w:r>
        <w:rPr>
          <w:sz w:val="24"/>
          <w:szCs w:val="24"/>
        </w:rPr>
        <w:t xml:space="preserve"> stud</w:t>
      </w:r>
      <w:ins w:id="151" w:author="Shawn McMurtrey" w:date="2022-08-14T14:47:00Z">
        <w:r>
          <w:rPr>
            <w:sz w:val="24"/>
            <w:szCs w:val="24"/>
          </w:rPr>
          <w:t>ies</w:t>
        </w:r>
      </w:ins>
      <w:del w:id="152" w:author="Shawn McMurtrey" w:date="2022-08-14T14:47:00Z">
        <w:r>
          <w:rPr>
            <w:sz w:val="24"/>
            <w:szCs w:val="24"/>
          </w:rPr>
          <w:delText>y</w:delText>
        </w:r>
      </w:del>
      <w:r>
        <w:rPr>
          <w:sz w:val="24"/>
          <w:szCs w:val="24"/>
        </w:rPr>
        <w:t xml:space="preserve">, </w:t>
      </w:r>
      <w:ins w:id="153" w:author="Shawn McMurtrey" w:date="2022-08-14T14:48:00Z">
        <w:r>
          <w:rPr>
            <w:sz w:val="24"/>
            <w:szCs w:val="24"/>
          </w:rPr>
          <w:t>two</w:t>
        </w:r>
      </w:ins>
      <w:del w:id="154"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55" w:author="Shawn McMurtrey" w:date="2022-08-14T14:48:00Z">
        <w:r>
          <w:rPr>
            <w:i/>
            <w:sz w:val="24"/>
            <w:szCs w:val="24"/>
          </w:rPr>
          <w:delText>Secondly, the proportion of tree mortality caused by C. sulphurascens in thinned stands was higher when compared to unthinned stands</w:delText>
        </w:r>
      </w:del>
      <w:del w:id="156" w:author="Shawn McMurtrey" w:date="2022-08-14T14:48:00Z">
        <w:r>
          <w:rPr>
            <w:b/>
            <w:i/>
            <w:sz w:val="24"/>
            <w:szCs w:val="24"/>
          </w:rPr>
          <w:delText xml:space="preserve">. </w:delText>
        </w:r>
      </w:del>
      <w:del w:id="157" w:author="Shawn McMurtrey" w:date="2022-08-14T14:48:00Z">
        <w:r>
          <w:rPr>
            <w:i/>
            <w:sz w:val="24"/>
            <w:szCs w:val="24"/>
          </w:rPr>
          <w:delText xml:space="preserve">Lastly, on average, FVS and the WRDM predicted lower growth and yield volumes when compared with observed data. </w:delText>
        </w:r>
      </w:del>
      <w:ins w:id="158" w:author="Shawn McMurtrey" w:date="2022-08-14T14:48:00Z">
        <w:r>
          <w:rPr>
            <w:sz w:val="24"/>
            <w:szCs w:val="24"/>
          </w:rPr>
          <w:t>Secondly</w:t>
        </w:r>
      </w:ins>
      <w:ins w:id="159" w:author="Shawn McMurtrey" w:date="2022-08-14T14:49:00Z">
        <w:r>
          <w:rPr>
            <w:sz w:val="24"/>
            <w:szCs w:val="24"/>
          </w:rPr>
          <w:t xml:space="preserve">, the use of non-host rotations did not have a significant effect on </w:t>
        </w:r>
      </w:ins>
      <w:ins w:id="160" w:author="Shawn McMurtrey" w:date="2022-08-14T14:50:00Z">
        <w:r>
          <w:rPr>
            <w:sz w:val="24"/>
            <w:szCs w:val="24"/>
          </w:rPr>
          <w:t>increasing</w:t>
        </w:r>
      </w:ins>
      <w:ins w:id="161" w:author="Shawn McMurtrey" w:date="2022-08-14T14:49:00Z">
        <w:r>
          <w:rPr>
            <w:sz w:val="24"/>
            <w:szCs w:val="24"/>
          </w:rPr>
          <w:t xml:space="preserve"> growth and y</w:t>
        </w:r>
      </w:ins>
      <w:ins w:id="162" w:author="Shawn McMurtrey" w:date="2022-08-14T14:50:00Z">
        <w:r>
          <w:rPr>
            <w:sz w:val="24"/>
            <w:szCs w:val="24"/>
          </w:rPr>
          <w:t xml:space="preserve">ield or reducing tree mortality caused by </w:t>
        </w:r>
      </w:ins>
      <w:ins w:id="163" w:author="Shawn McMurtrey" w:date="2022-08-14T14:50:00Z">
        <w:r>
          <w:rPr>
            <w:i/>
            <w:iCs/>
            <w:sz w:val="24"/>
            <w:szCs w:val="24"/>
          </w:rPr>
          <w:t xml:space="preserve">C. </w:t>
        </w:r>
      </w:ins>
      <w:ins w:id="164" w:author="Shawn McMurtrey" w:date="2022-08-15T20:07:00Z">
        <w:r>
          <w:rPr>
            <w:i/>
            <w:iCs/>
            <w:sz w:val="24"/>
            <w:szCs w:val="24"/>
          </w:rPr>
          <w:t>sulphurascens</w:t>
        </w:r>
      </w:ins>
      <w:ins w:id="165" w:author="Shawn McMurtrey" w:date="2022-08-14T14:50:00Z">
        <w:r>
          <w:rPr>
            <w:sz w:val="24"/>
            <w:szCs w:val="24"/>
          </w:rPr>
          <w:t>.</w:t>
        </w:r>
      </w:ins>
    </w:p>
    <w:p>
      <w:pPr>
        <w:pStyle w:val="Normal"/>
        <w:spacing w:lineRule="auto" w:line="480"/>
        <w:rPr>
          <w:b/>
          <w:b/>
          <w:sz w:val="28"/>
          <w:szCs w:val="28"/>
        </w:rPr>
      </w:pPr>
      <w:r>
        <w:rPr>
          <w:b/>
          <w:sz w:val="28"/>
          <w:szCs w:val="28"/>
        </w:rPr>
      </w:r>
    </w:p>
    <w:p>
      <w:pPr>
        <w:pStyle w:val="Normal"/>
        <w:spacing w:lineRule="auto" w:line="480"/>
        <w:rPr>
          <w:sz w:val="24"/>
          <w:szCs w:val="24"/>
        </w:rPr>
      </w:pPr>
      <w:r>
        <w:rPr>
          <w:b/>
          <w:bCs/>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w:t>
      </w:r>
      <w:ins w:id="166" w:author="Shawn McMurtrey" w:date="2022-08-14T14:50:00Z">
        <w:r>
          <w:rPr>
            <w:sz w:val="24"/>
            <w:szCs w:val="24"/>
          </w:rPr>
          <w:t xml:space="preserve"> results of the Woods Creek study showed th</w:t>
        </w:r>
      </w:ins>
      <w:ins w:id="167"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br/>
      </w:r>
    </w:p>
    <w:p>
      <w:pPr>
        <w:pStyle w:val="Normal"/>
        <w:spacing w:lineRule="auto" w:line="480"/>
        <w:rPr>
          <w:sz w:val="24"/>
          <w:szCs w:val="24"/>
        </w:rPr>
      </w:pPr>
      <w:r>
        <w:rPr>
          <w:sz w:val="24"/>
          <w:szCs w:val="24"/>
        </w:rPr>
        <w:t>Modelled predictions were found to be qualitatively accurate within this study for the WRDM but not for the FVS model.</w:t>
      </w:r>
      <w:ins w:id="168" w:author="Shawn McMurtrey" w:date="2022-09-02T10:01:00Z">
        <w:r>
          <w:rPr>
            <w:sz w:val="24"/>
            <w:szCs w:val="24"/>
          </w:rPr>
          <w:t xml:space="preserve"> </w:t>
        </w:r>
      </w:ins>
      <w:del w:id="169" w:author="Shawn McMurtrey" w:date="2022-09-02T10:01:00Z">
        <w:r>
          <w:rPr>
            <w:sz w:val="24"/>
            <w:szCs w:val="24"/>
          </w:rPr>
          <w:delText xml:space="preserve">  </w:delText>
        </w:r>
      </w:del>
      <w:r>
        <w:rPr>
          <w:sz w:val="24"/>
          <w:szCs w:val="24"/>
        </w:rPr>
        <w:t>The WRDM was a better indicator of observed data when compared to the FVS model alone. The FVS model tended to underpredict the impact of LRR which in turn caused an overprediction of growth and yield</w:t>
      </w:r>
      <w:ins w:id="170" w:author="Shawn McMurtrey" w:date="2022-09-02T10:00:00Z">
        <w:r>
          <w:rPr>
            <w:sz w:val="24"/>
            <w:szCs w:val="24"/>
          </w:rPr>
          <w:t xml:space="preserve"> for the stands</w:t>
        </w:r>
      </w:ins>
      <w:r>
        <w:rPr>
          <w:sz w:val="24"/>
          <w:szCs w:val="24"/>
        </w:rPr>
        <w:t xml:space="preserve">. </w:t>
      </w:r>
      <w:commentRangeStart w:id="29"/>
      <w:commentRangeStart w:id="30"/>
      <w:r>
        <w:rPr>
          <w:sz w:val="24"/>
          <w:szCs w:val="24"/>
        </w:rPr>
        <w:t>This finding was consistent with the findings from</w:t>
      </w:r>
      <w:ins w:id="171" w:author="Shawn McMurtrey" w:date="2022-09-02T10:00:00Z">
        <w:r>
          <w:rPr>
            <w:sz w:val="24"/>
            <w:szCs w:val="24"/>
          </w:rPr>
          <w:t xml:space="preserve"> Frankel et al., 1998</w:t>
        </w:r>
      </w:ins>
      <w:ins w:id="172" w:author="Shawn McMurtrey" w:date="2022-09-02T10:02:00Z">
        <w:r>
          <w:rPr>
            <w:sz w:val="24"/>
            <w:szCs w:val="24"/>
          </w:rPr>
          <w:t xml:space="preserve">. </w:t>
        </w:r>
      </w:ins>
      <w:del w:id="173" w:author="Shawn McMurtrey" w:date="2022-09-02T10:00:00Z">
        <w:r>
          <w:rPr>
            <w:sz w:val="24"/>
            <w:szCs w:val="24"/>
          </w:rPr>
          <w:delText xml:space="preserve"> Maffei</w:delText>
        </w:r>
      </w:del>
      <w:del w:id="174" w:author="Shawn McMurtrey" w:date="2022-09-02T10:02:00Z">
        <w:r>
          <w:rPr>
            <w:sz w:val="24"/>
            <w:szCs w:val="24"/>
          </w:rPr>
          <w:delText xml:space="preserve"> et</w:delText>
        </w:r>
      </w:del>
      <w:del w:id="175" w:author="Shawn McMurtrey" w:date="2022-09-02T10:01:00Z">
        <w:r>
          <w:rPr>
            <w:sz w:val="24"/>
            <w:szCs w:val="24"/>
          </w:rPr>
          <w:delText xml:space="preserve"> al., 2008</w:delText>
        </w:r>
      </w:del>
      <w:r>
        <w:rPr>
          <w:sz w:val="24"/>
          <w:szCs w:val="24"/>
        </w:rPr>
        <w:t>.</w:t>
      </w:r>
      <w:r>
        <w:rPr>
          <w:rFonts w:eastAsia="Times New Roman"/>
          <w:sz w:val="24"/>
          <w:szCs w:val="24"/>
        </w:rPr>
        <w:t xml:space="preserve"> </w:t>
      </w:r>
      <w:r>
        <w:rPr>
          <w:rFonts w:eastAsia="Times New Roman"/>
          <w:sz w:val="24"/>
          <w:szCs w:val="24"/>
        </w:rPr>
      </w:r>
      <w:commentRangeEnd w:id="30"/>
      <w:r>
        <w:commentReference w:id="30"/>
      </w:r>
      <w:r>
        <w:rPr>
          <w:rFonts w:eastAsia="Times New Roman"/>
          <w:sz w:val="24"/>
          <w:szCs w:val="24"/>
        </w:rPr>
      </w:r>
      <w:commentRangeEnd w:id="29"/>
      <w:r>
        <w:commentReference w:id="29"/>
      </w:r>
      <w:r>
        <w:rPr>
          <w:rFonts w:eastAsia="Times New Roman"/>
          <w:sz w:val="24"/>
          <w:szCs w:val="24"/>
        </w:rPr>
        <w:t>It</w:t>
      </w:r>
      <w:r>
        <w:rPr/>
        <w:t xml:space="preserve"> </w:t>
      </w:r>
      <w:r>
        <w:rPr>
          <w:sz w:val="24"/>
          <w:szCs w:val="24"/>
        </w:rPr>
        <w:t xml:space="preserve">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tabs>
          <w:tab w:val="clear" w:pos="720"/>
          <w:tab w:val="left" w:pos="2520" w:leader="none"/>
        </w:tabs>
        <w:spacing w:lineRule="auto" w:line="480"/>
        <w:ind w:left="720" w:hanging="720"/>
        <w:rPr>
          <w:sz w:val="24"/>
          <w:szCs w:val="24"/>
        </w:rPr>
      </w:pPr>
      <w:r>
        <w:rPr>
          <w:sz w:val="24"/>
          <w:szCs w:val="24"/>
        </w:rPr>
        <w:tab/>
        <w:tab/>
      </w:r>
    </w:p>
    <w:p>
      <w:pPr>
        <w:pStyle w:val="Normal"/>
        <w:spacing w:lineRule="auto" w:line="480"/>
        <w:ind w:left="720" w:hanging="720"/>
        <w:rPr>
          <w:sz w:val="24"/>
          <w:szCs w:val="24"/>
        </w:rPr>
      </w:pPr>
      <w:r>
        <w:rPr>
          <w:sz w:val="24"/>
          <w:szCs w:val="24"/>
        </w:rPr>
        <w:t>Whereas other studies conducted analyzing different forest models have predicted</w:t>
      </w:r>
    </w:p>
    <w:p>
      <w:pPr>
        <w:pStyle w:val="Normal"/>
        <w:spacing w:lineRule="auto" w:line="480"/>
        <w:ind w:left="720" w:hanging="720"/>
        <w:rPr>
          <w:sz w:val="24"/>
          <w:szCs w:val="24"/>
        </w:rPr>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pPr>
        <w:pStyle w:val="Normal"/>
        <w:spacing w:lineRule="auto" w:line="480"/>
        <w:ind w:left="720" w:hanging="720"/>
        <w:rPr>
          <w:sz w:val="24"/>
          <w:szCs w:val="24"/>
        </w:rPr>
      </w:pPr>
      <w:r>
        <w:rPr>
          <w:sz w:val="24"/>
          <w:szCs w:val="24"/>
        </w:rPr>
        <w:t>results of this study were converse. Models depicting optimistic</w:t>
      </w:r>
    </w:p>
    <w:p>
      <w:pPr>
        <w:pStyle w:val="Normal"/>
        <w:spacing w:lineRule="auto" w:line="480"/>
        <w:ind w:left="720" w:hanging="720"/>
        <w:rPr>
          <w:sz w:val="24"/>
          <w:szCs w:val="24"/>
        </w:rPr>
      </w:pPr>
      <w:r>
        <w:rPr>
          <w:sz w:val="24"/>
          <w:szCs w:val="24"/>
        </w:rPr>
        <w:t>trends don’t always account for amounts of inoculum within the soil, rate of disease</w:t>
      </w:r>
    </w:p>
    <w:p>
      <w:pPr>
        <w:pStyle w:val="Normal"/>
        <w:spacing w:lineRule="auto" w:line="480"/>
        <w:ind w:left="720" w:hanging="720"/>
        <w:rPr>
          <w:sz w:val="24"/>
          <w:szCs w:val="24"/>
        </w:rPr>
      </w:pPr>
      <w:r>
        <w:rPr>
          <w:sz w:val="24"/>
          <w:szCs w:val="24"/>
        </w:rPr>
        <w:t>spread, or expected tree loss. There are also many alternate compounding variables</w:t>
      </w:r>
    </w:p>
    <w:p>
      <w:pPr>
        <w:pStyle w:val="Normal"/>
        <w:spacing w:lineRule="auto" w:line="480"/>
        <w:ind w:left="720" w:hanging="720"/>
        <w:rPr>
          <w:sz w:val="24"/>
          <w:szCs w:val="24"/>
        </w:rPr>
      </w:pPr>
      <w:r>
        <w:rPr>
          <w:sz w:val="24"/>
          <w:szCs w:val="24"/>
        </w:rPr>
        <w:t>that influence forest health, disease spread, and tree mortality, such as</w:t>
      </w:r>
    </w:p>
    <w:p>
      <w:pPr>
        <w:pStyle w:val="Normal"/>
        <w:spacing w:lineRule="auto" w:line="480"/>
        <w:ind w:left="720" w:hanging="720"/>
        <w:rPr>
          <w:sz w:val="24"/>
          <w:szCs w:val="24"/>
        </w:rPr>
      </w:pPr>
      <w:r>
        <w:rPr>
          <w:sz w:val="24"/>
          <w:szCs w:val="24"/>
        </w:rPr>
        <w:t>temperature, soil moisture, and pH levels (Lattin 1998; Angwin, 1985; Hansen et al.,</w:t>
      </w:r>
    </w:p>
    <w:p>
      <w:pPr>
        <w:pStyle w:val="Normal"/>
        <w:spacing w:lineRule="auto" w:line="480"/>
        <w:rPr>
          <w:sz w:val="24"/>
          <w:szCs w:val="24"/>
        </w:rPr>
      </w:pPr>
      <w:r>
        <w:rPr>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gained on LRR incidence with respect to thinning for drought and fire suppression. An increased knowledge was also gained concerning alternate host rotations for long term forest management strategies. </w:t>
      </w:r>
      <w:ins w:id="176"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38">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r>
    </w:p>
    <w:p>
      <w:pPr>
        <w:pStyle w:val="Normal"/>
        <w:spacing w:lineRule="auto" w:line="480"/>
        <w:rPr>
          <w:sz w:val="24"/>
          <w:szCs w:val="24"/>
        </w:rPr>
      </w:pPr>
      <w:r>
        <w:rPr>
          <w:b/>
          <w:sz w:val="28"/>
          <w:szCs w:val="28"/>
        </w:rPr>
        <w:t>Acknowledgements</w:t>
        <w:br/>
      </w:r>
      <w:del w:id="177" w:author="Shawn McMurtrey" w:date="2022-08-19T10:00:00Z">
        <w:r>
          <w:rPr>
            <w:b/>
            <w:sz w:val="28"/>
            <w:szCs w:val="28"/>
          </w:rPr>
          <w:delText xml:space="preserve">Funding was provided by the _________________. </w:delText>
        </w:r>
      </w:del>
      <w:r>
        <w:rPr/>
        <w:t xml:space="preserve">Funding </w:t>
      </w:r>
      <w:ins w:id="178" w:author="Shawn McMurtrey" w:date="2022-08-19T10:01:00Z">
        <w:r>
          <w:rPr/>
          <w:t xml:space="preserve">for these two studies </w:t>
        </w:r>
      </w:ins>
      <w:r>
        <w:rPr/>
        <w:t>was</w:t>
      </w:r>
      <w:del w:id="179" w:author="Shawn McMurtrey" w:date="2022-09-11T19:10:00Z">
        <w:r>
          <w:rPr/>
          <w:delText xml:space="preserve"> also</w:delText>
        </w:r>
      </w:del>
      <w:r>
        <w:rPr/>
        <w:t xml:space="preserve"> provided by the Agricultural Research Foundation at Oregon State University</w:t>
      </w:r>
      <w:ins w:id="180" w:author="Shawn McMurtrey" w:date="2022-09-11T19:10:00Z">
        <w:r>
          <w:rPr/>
          <w:t xml:space="preserve"> and</w:t>
        </w:r>
      </w:ins>
      <w:ins w:id="181" w:author="Shawn McMurtrey" w:date="2022-08-19T10:01:00Z">
        <w:r>
          <w:rPr/>
          <w:t xml:space="preserve"> USFS grant ___________</w:t>
        </w:r>
      </w:ins>
      <w:ins w:id="182" w:author="Shawn McMurtrey" w:date="2022-09-11T19:11:00Z">
        <w:r>
          <w:rPr/>
          <w:t>. T</w:t>
        </w:r>
      </w:ins>
      <w:ins w:id="183" w:author="Shawn McMurtrey" w:date="2022-08-19T10:01:00Z">
        <w:r>
          <w:rPr/>
          <w:t>he Weyheiser</w:t>
        </w:r>
      </w:ins>
      <w:ins w:id="184" w:author="Shawn McMurtrey" w:date="2022-08-19T10:07:00Z">
        <w:r>
          <w:rPr/>
          <w:t xml:space="preserve"> Co. provided _______________</w:t>
        </w:r>
      </w:ins>
      <w:ins w:id="185" w:author="Shawn McMurtrey" w:date="2022-08-19T10:04:00Z">
        <w:r>
          <w:rPr/>
          <w:t xml:space="preserve">. </w:t>
        </w:r>
      </w:ins>
      <w:del w:id="186" w:author="Shawn McMurtrey" w:date="2022-08-19T10:01:00Z">
        <w:r>
          <w:rPr/>
          <w:delText>.</w:delText>
        </w:r>
      </w:del>
      <w:del w:id="187" w:author="Shawn McMurtrey" w:date="2022-08-19T10:04:00Z">
        <w:r>
          <w:rPr/>
          <w:delText xml:space="preserve"> </w:delText>
        </w:r>
      </w:del>
      <w:ins w:id="188" w:author="Shawn McMurtrey" w:date="2022-08-19T10:02:00Z">
        <w:r>
          <w:rPr/>
          <w:t>Logging, regeneration, data</w:t>
        </w:r>
      </w:ins>
      <w:ins w:id="189" w:author="Shawn McMurtrey" w:date="2022-08-19T10:03:00Z">
        <w:r>
          <w:rPr/>
          <w:t xml:space="preserve"> collection, and funding</w:t>
        </w:r>
      </w:ins>
      <w:ins w:id="190" w:author="Shawn McMurtrey" w:date="2022-08-19T10:02:00Z">
        <w:r>
          <w:rPr/>
          <w:t xml:space="preserve"> was provided by the </w:t>
        </w:r>
      </w:ins>
      <w:ins w:id="191" w:author="Shawn McMurtrey" w:date="2022-08-19T10:04:00Z">
        <w:r>
          <w:rPr/>
          <w:t>International Paper Co</w:t>
        </w:r>
      </w:ins>
      <w:ins w:id="192" w:author="Shawn McMurtrey" w:date="2022-08-19T10:07:00Z">
        <w:r>
          <w:rPr/>
          <w:t>.</w:t>
        </w:r>
      </w:ins>
      <w:ins w:id="193" w:author="Shawn McMurtrey" w:date="2022-08-19T10:04:00Z">
        <w:r>
          <w:rPr/>
          <w:t xml:space="preserve">. </w:t>
        </w:r>
      </w:ins>
      <w:r>
        <w:rP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39"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 fir. Oregon State University, Corvallis, Oregon, master’s thesis. 107 p., </w:t>
      </w:r>
      <w:hyperlink r:id="rId40">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1">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2"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3">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sz w:val="24"/>
          <w:szCs w:val="24"/>
        </w:rPr>
      </w:pPr>
      <w:r>
        <w:rPr>
          <w:rFonts w:eastAsia="Times New Roman"/>
          <w:sz w:val="24"/>
          <w:szCs w:val="24"/>
        </w:rPr>
        <w:t xml:space="preserve">David, L. R. (2018). User Friendly User’s Guide To the Western Root Disease Model Version 3.0. Forest management Service Center. Fort Collins, CO. 29-30 pp.  </w:t>
      </w:r>
      <w:r>
        <w:rPr>
          <w:rStyle w:val="InternetLink"/>
          <w:rFonts w:cs="Open Sans" w:ascii="Open Sans" w:hAnsi="Open Sans"/>
          <w:color w:val="000000"/>
          <w:sz w:val="21"/>
          <w:szCs w:val="21"/>
          <w:shd w:fill="FFFFFF" w:val="clear"/>
        </w:rPr>
        <w:t>https://www.fs.fed.us/foresthealth/technology/pdfs/WesternRootDiseaseModelV3-0UserGuide2018.pdf</w:t>
      </w:r>
      <w:r>
        <w:rPr>
          <w:rFonts w:eastAsia="Times New Roman"/>
          <w:sz w:val="24"/>
          <w:szCs w:val="24"/>
        </w:rPr>
        <w:t xml:space="preserve"> </w:t>
      </w:r>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4">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5">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6">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47">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8">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194"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49"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196" w:author="Shawn McMurtrey" w:date="2022-08-19T14:24:00Z"/>
          <w:sz w:val="21"/>
          <w:szCs w:val="21"/>
          <w:shd w:fill="FFFFFF" w:val="clear"/>
        </w:rPr>
      </w:pPr>
      <w:ins w:id="195"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197"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0">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1">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2">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3"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4">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55">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56">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57">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58">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9">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198"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200" w:author="Shawn McMurtrey" w:date="2022-08-19T14:14:00Z"/>
          <w:sz w:val="24"/>
          <w:szCs w:val="24"/>
        </w:rPr>
      </w:pPr>
      <w:ins w:id="199"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201"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USDA-FS, 2011. Region Five ecological restoration: leadership intent. March (2011). U.S. Forest Service, Pacific Southwest Region, Albany, California, USA.</w:t>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0"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1">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2">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3"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r>
    </w:p>
    <w:sectPr>
      <w:headerReference w:type="default" r:id="rId64"/>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16384"/>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00Z" w:initials="">
    <w:p>
      <w:r>
        <w:rPr>
          <w:rFonts w:ascii="Liberation Serif" w:hAnsi="Liberation Serif" w:eastAsia="Segoe UI" w:cs="Tahoma"/>
          <w:sz w:val="20"/>
          <w:szCs w:val="24"/>
          <w:lang w:eastAsia="en-US" w:val="en-US" w:bidi="en-US"/>
        </w:rPr>
        <w:t>Add summary of Apiary results.</w:t>
      </w:r>
    </w:p>
  </w:comment>
  <w:comment w:id="1" w:author="Shawn McMurtrey" w:date="2022-08-31T21:21:00Z" w:initials="SM">
    <w:p>
      <w:r>
        <w:rPr>
          <w:rFonts w:ascii="Liberation Serif" w:hAnsi="Liberation Serif" w:eastAsia="Segoe UI" w:cs="Tahoma"/>
          <w:sz w:val="24"/>
          <w:szCs w:val="24"/>
          <w:lang w:val="en-US" w:eastAsia="en-US" w:bidi="en-US"/>
        </w:rPr>
        <w:t>Should this be capitalized?</w:t>
      </w:r>
    </w:p>
  </w:comment>
  <w:comment w:id="2" w:author="Shawn McMurtrey" w:date="2022-08-31T21:25:00Z" w:initials="SM">
    <w:p>
      <w:r>
        <w:rPr>
          <w:rFonts w:ascii="Liberation Serif" w:hAnsi="Liberation Serif" w:eastAsia="Segoe UI" w:cs="Tahoma"/>
          <w:sz w:val="24"/>
          <w:szCs w:val="24"/>
          <w:lang w:val="en-US" w:eastAsia="en-US" w:bidi="en-US"/>
        </w:rPr>
        <w:t>Is this paragraph necessary? Should it be added to the methods section for Woods Creek or perhaps removed altogether?</w:t>
      </w:r>
    </w:p>
  </w:comment>
  <w:comment w:id="4" w:author="Shawn McMurtrey" w:date="2022-08-31T21:22:00Z" w:initials="SM">
    <w:p>
      <w:r>
        <w:rPr>
          <w:rFonts w:ascii="Liberation Serif" w:hAnsi="Liberation Serif" w:eastAsia="Segoe UI" w:cs="Tahoma"/>
          <w:sz w:val="24"/>
          <w:szCs w:val="24"/>
          <w:lang w:val="en-US" w:eastAsia="en-US" w:bidi="en-US"/>
        </w:rPr>
        <w:t xml:space="preserve">This might be outdated. I will check for a more current status. </w:t>
      </w:r>
    </w:p>
  </w:comment>
  <w:comment w:id="3" w:author="Shawn McMurtrey" w:date="2022-09-13T04:40:00Z" w:initials="SM">
    <w:p>
      <w:r>
        <w:rPr>
          <w:rFonts w:ascii="Liberation Serif" w:hAnsi="Liberation Serif" w:eastAsia="Segoe UI" w:cs="Tahoma"/>
          <w:sz w:val="24"/>
          <w:szCs w:val="24"/>
          <w:lang w:val="en-US" w:eastAsia="en-US" w:bidi="en-US"/>
        </w:rPr>
        <w:t>I will also check to see if there are more rare/endangered plants or animals species that I could add to this list if you all think we should keep this paragraph.</w:t>
      </w:r>
    </w:p>
  </w:comment>
  <w:comment w:id="5" w:author="Shawn McMurtrey" w:date="2021-09-28T09:57:00Z" w:initials="SM">
    <w:p>
      <w:r>
        <w:rPr>
          <w:rFonts w:ascii="Liberation Serif" w:hAnsi="Liberation Serif" w:eastAsia="Segoe UI" w:cs="Tahoma"/>
          <w:sz w:val="24"/>
          <w:szCs w:val="24"/>
          <w:lang w:eastAsia="en-US" w:val="en-US" w:bidi="en-US"/>
        </w:rPr>
        <w:t>I’m not sure if “USDA, 1990” needs to be listed three times for all these sentences or if it can just be cited once here?</w:t>
      </w:r>
    </w:p>
  </w:comment>
  <w:comment w:id="6" w:author="Unknown Author" w:date="2022-07-14T10:32:00Z" w:initials="">
    <w:p>
      <w:r>
        <w:rPr>
          <w:rFonts w:ascii="Liberation Serif" w:hAnsi="Liberation Serif" w:eastAsia="Segoe UI" w:cs="Tahoma"/>
          <w:sz w:val="20"/>
          <w:szCs w:val="24"/>
          <w:lang w:eastAsia="en-US" w:val="en-US" w:bidi="en-US"/>
        </w:rPr>
        <w:t>Add background on private/industrial short rotation forestry?</w:t>
      </w:r>
    </w:p>
  </w:comment>
  <w:comment w:id="7" w:author="Shawn McMurtrey" w:date="2022-08-31T21:28:00Z" w:initials="SM">
    <w:p>
      <w:r>
        <w:rPr>
          <w:rFonts w:ascii="Liberation Serif" w:hAnsi="Liberation Serif" w:eastAsia="Segoe UI" w:cs="Tahoma"/>
          <w:sz w:val="24"/>
          <w:szCs w:val="24"/>
          <w:lang w:val="en-US" w:eastAsia="en-US" w:bidi="en-US"/>
        </w:rPr>
        <w:t xml:space="preserve">I think this would be a good idea if we decide to keep the previous paragraph about the Siuslaw National Forest. </w:t>
      </w:r>
    </w:p>
  </w:comment>
  <w:comment w:id="8" w:author="Unknown Author" w:date="2022-07-14T10:33:00Z" w:initials="">
    <w:p>
      <w:r>
        <w:rPr>
          <w:rFonts w:ascii="Liberation Serif" w:hAnsi="Liberation Serif" w:eastAsia="Segoe UI" w:cs="Tahoma"/>
          <w:sz w:val="20"/>
          <w:szCs w:val="24"/>
          <w:lang w:eastAsia="en-US" w:val="en-US" w:bidi="en-US"/>
        </w:rPr>
        <w:t>Add background on non-host rotation as well as specific hypotheses regarding alder inhibition of C. sulphurascens</w:t>
      </w:r>
    </w:p>
  </w:comment>
  <w:comment w:id="9" w:author="Shawn McMurtrey" w:date="2022-09-13T04:46:00Z" w:initials="SM">
    <w:p>
      <w:r>
        <w:rPr>
          <w:rFonts w:ascii="Liberation Serif" w:hAnsi="Liberation Serif" w:eastAsia="Segoe UI" w:cs="Tahoma"/>
          <w:sz w:val="24"/>
          <w:szCs w:val="24"/>
          <w:lang w:val="en-US" w:eastAsia="en-US" w:bidi="en-US"/>
        </w:rPr>
        <w:t>Redundant?</w:t>
      </w:r>
    </w:p>
  </w:comment>
  <w:comment w:id="11" w:author="Shawn McMurtrey" w:date="2021-09-20T22:45:00Z" w:initials="SM">
    <w:p>
      <w:r>
        <w:rPr>
          <w:rFonts w:ascii="Liberation Serif" w:hAnsi="Liberation Serif" w:eastAsia="Segoe UI" w:cs="Tahoma"/>
          <w:sz w:val="24"/>
          <w:szCs w:val="24"/>
          <w:lang w:eastAsia="en-US" w:val="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10" w:author="Shawn McMurtrey" w:date="2022-09-13T04:44:00Z" w:initials="SM">
    <w:p>
      <w:r>
        <w:rPr>
          <w:rFonts w:ascii="Liberation Serif" w:hAnsi="Liberation Serif" w:eastAsia="Segoe UI" w:cs="Tahoma"/>
          <w:sz w:val="24"/>
          <w:szCs w:val="24"/>
          <w:lang w:val="en-US" w:eastAsia="en-US" w:bidi="en-US"/>
        </w:rPr>
        <w:t>Now that I am thinking more about it I think this should be included even though it is unpubished data. My reasoning for this is so that the readers could estimate what the initial BA projections were in 1985 by using our basal area calculations from 1990.</w:t>
      </w:r>
    </w:p>
  </w:comment>
  <w:comment w:id="12" w:author="showalt_d" w:date="2022-09-16T13:39:00Z" w:initials="s">
    <w:p>
      <w:r>
        <w:rPr>
          <w:rFonts w:ascii="Liberation Serif" w:hAnsi="Liberation Serif" w:eastAsia="Segoe UI" w:cs="Tahoma"/>
          <w:sz w:val="24"/>
          <w:szCs w:val="24"/>
          <w:lang w:val="en-US" w:eastAsia="en-US" w:bidi="en-US"/>
        </w:rPr>
        <w:t>We are leaving the figures in line with the text during manuscript preparation.  For submission, the figures will be removed and submitted as individual files.</w:t>
      </w:r>
    </w:p>
  </w:comment>
  <w:comment w:id="13" w:author="Shawn McMurtrey" w:date="2022-08-22T09:27:00Z" w:initials="SM">
    <w:p>
      <w:r>
        <w:rPr>
          <w:rFonts w:ascii="Liberation Serif" w:hAnsi="Liberation Serif" w:eastAsia="Segoe UI" w:cs="Tahoma"/>
          <w:sz w:val="24"/>
          <w:szCs w:val="24"/>
          <w:lang w:eastAsia="en-US" w:val="en-US" w:bidi="en-US"/>
        </w:rPr>
        <w:t xml:space="preserve">This might be a good place to reference the map of the study area. </w:t>
      </w:r>
    </w:p>
  </w:comment>
  <w:comment w:id="14" w:author="Shawn McMurtrey" w:date="2022-08-22T09:29:00Z" w:initials="SM">
    <w:p>
      <w:r>
        <w:rPr>
          <w:rFonts w:ascii="Liberation Serif" w:hAnsi="Liberation Serif" w:eastAsia="Segoe UI" w:cs="Tahoma"/>
          <w:sz w:val="24"/>
          <w:szCs w:val="24"/>
          <w:lang w:eastAsia="en-US" w:val="en-US" w:bidi="en-US"/>
        </w:rPr>
        <w:t>Should this be "fixed radius"?</w:t>
      </w:r>
    </w:p>
  </w:comment>
  <w:comment w:id="16" w:author="Unknown Author" w:date="2022-07-14T09:07:00Z" w:initials="">
    <w:p>
      <w:r>
        <w:rPr>
          <w:rFonts w:ascii="Liberation Serif" w:hAnsi="Liberation Serif" w:eastAsia="Segoe UI" w:cs="Tahoma"/>
          <w:sz w:val="20"/>
          <w:szCs w:val="24"/>
          <w:lang w:eastAsia="en-US" w:val="en-US" w:bidi="en-US"/>
        </w:rPr>
        <w:t>Necessary?</w:t>
      </w:r>
    </w:p>
  </w:comment>
  <w:comment w:id="15" w:author="Shawn McMurtrey" w:date="2022-08-22T09:34:00Z" w:initials="SM">
    <w:p>
      <w:r>
        <w:rPr>
          <w:rFonts w:ascii="Liberation Serif" w:hAnsi="Liberation Serif" w:eastAsia="Segoe UI" w:cs="Tahoma"/>
          <w:sz w:val="24"/>
          <w:szCs w:val="24"/>
          <w:lang w:eastAsia="en-US" w:val="en-US" w:bidi="en-US"/>
        </w:rPr>
        <w:t xml:space="preserve">I don't think so but we should see what Jared thinks. </w:t>
      </w:r>
    </w:p>
  </w:comment>
  <w:comment w:id="17" w:author="Shawn McMurtrey" w:date="2021-09-28T12:31:00Z" w:initials="SM">
    <w:p>
      <w:r>
        <w:rPr>
          <w:rFonts w:ascii="Liberation Serif" w:hAnsi="Liberation Serif" w:eastAsia="Segoe UI" w:cs="Tahoma"/>
          <w:sz w:val="24"/>
          <w:szCs w:val="24"/>
          <w:lang w:eastAsia="en-US" w:val="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the cause of laminated root rot. The specific objectives were to: (i) evaluate the effect of thinning on </w:t>
      </w:r>
      <w:r>
        <w:rPr>
          <w:rFonts w:ascii="Liberation Serif" w:hAnsi="Liberation Serif" w:eastAsia="Segoe UI" w:cs="Tahoma"/>
          <w:i/>
          <w:iCs/>
          <w:sz w:val="24"/>
          <w:szCs w:val="24"/>
          <w:lang w:eastAsia="en-US" w:val="en-US" w:bidi="en-US"/>
        </w:rPr>
        <w:t xml:space="preserve">C. sulphurascens </w:t>
      </w:r>
      <w:r>
        <w:rPr>
          <w:rFonts w:ascii="Liberation Serif" w:hAnsi="Liberation Serif" w:eastAsia="Segoe UI" w:cs="Tahoma"/>
          <w:sz w:val="24"/>
          <w:szCs w:val="24"/>
          <w:lang w:eastAsia="en-US" w:val="en-US" w:bidi="en-US"/>
        </w:rPr>
        <w:t xml:space="preserve">induced mortality; (ii) compare the rate of </w:t>
      </w:r>
      <w:r>
        <w:rPr>
          <w:rFonts w:ascii="Liberation Serif" w:hAnsi="Liberation Serif" w:eastAsia="Segoe UI" w:cs="Tahoma"/>
          <w:i/>
          <w:iCs/>
          <w:sz w:val="24"/>
          <w:szCs w:val="24"/>
          <w:lang w:eastAsia="en-US" w:val="en-US" w:bidi="en-US"/>
        </w:rPr>
        <w:t>C. sulphurascens</w:t>
      </w:r>
      <w:r>
        <w:rPr>
          <w:rFonts w:ascii="Liberation Serif" w:hAnsi="Liberation Serif" w:eastAsia="Segoe UI" w:cs="Tahoma"/>
          <w:sz w:val="24"/>
          <w:szCs w:val="24"/>
          <w:lang w:eastAsia="en-US" w:val="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eastAsia="en-US" w:val="en-US" w:bidi="en-US"/>
        </w:rPr>
        <w:t>C. sulphurascens.</w:t>
      </w:r>
    </w:p>
  </w:comment>
  <w:comment w:id="21" w:author="showalt_d" w:date="2022-08-29T10:52:00Z" w:initials="s">
    <w:p>
      <w:r>
        <w:rPr>
          <w:rFonts w:ascii="Liberation Serif" w:hAnsi="Liberation Serif" w:eastAsia="Segoe UI" w:cs="Tahoma"/>
          <w:sz w:val="24"/>
          <w:szCs w:val="24"/>
          <w:lang w:eastAsia="en-US" w:val="en-US" w:bidi="en-US"/>
        </w:rPr>
        <w:t>These numbers don’t make sense when comparing with Figure 2. It would also make sense to report stand mean +/-SE in addition to or instead of the experiment total.</w:t>
      </w:r>
    </w:p>
  </w:comment>
  <w:comment w:id="20" w:author="Shawn McMurtrey" w:date="2022-08-31T21:52:00Z" w:initials="SM">
    <w:p>
      <w:r>
        <w:rPr>
          <w:rFonts w:ascii="Liberation Serif" w:hAnsi="Liberation Serif" w:eastAsia="Segoe UI" w:cs="Tahoma"/>
          <w:sz w:val="24"/>
          <w:szCs w:val="24"/>
          <w:lang w:val="en-US" w:eastAsia="en-US" w:bidi="en-US"/>
        </w:rPr>
        <w:t xml:space="preserve">Figure 2 is: dead 1990/total 1990 </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 xml:space="preserve">These numbers are: (dead 1990) + (dead + 1995) + (dead 2000) + (dead 2010) + (dead 2020) / total 2020. </w:t>
      </w:r>
    </w:p>
  </w:comment>
  <w:comment w:id="19" w:author="Shawn McMurtrey" w:date="2022-08-31T21:55:00Z" w:initials="SM">
    <w:p>
      <w:r>
        <w:rPr>
          <w:rFonts w:ascii="Liberation Serif" w:hAnsi="Liberation Serif" w:eastAsia="Segoe UI" w:cs="Tahoma"/>
          <w:sz w:val="24"/>
          <w:szCs w:val="24"/>
          <w:lang w:val="en-US" w:eastAsia="en-US" w:bidi="en-US"/>
        </w:rPr>
        <w:t>I am not exactly sure why I went with this calculations though and I agree that it is confusing. Maybe I should have these calculations just be consistent with figure 2? We should discuss this at our meeting on Friday.</w:t>
      </w:r>
    </w:p>
  </w:comment>
  <w:comment w:id="18" w:author="showalt_d" w:date="2022-09-16T13:55:00Z" w:initials="s">
    <w:p>
      <w:r>
        <w:rPr>
          <w:rFonts w:ascii="Liberation Serif" w:hAnsi="Liberation Serif" w:eastAsia="Segoe UI" w:cs="Tahoma"/>
          <w:sz w:val="24"/>
          <w:szCs w:val="24"/>
          <w:lang w:val="en-US" w:eastAsia="en-US" w:bidi="en-US"/>
        </w:rPr>
        <w:t>We will represent mortality over time with a graph.</w:t>
      </w:r>
    </w:p>
  </w:comment>
  <w:comment w:id="22" w:author="showalt_d" w:date="2022-09-16T15:27:00Z" w:initials="s">
    <w:p>
      <w:r>
        <w:rPr>
          <w:rFonts w:ascii="Liberation Serif" w:hAnsi="Liberation Serif" w:eastAsia="Segoe UI" w:cs="Tahoma"/>
          <w:sz w:val="24"/>
          <w:szCs w:val="24"/>
          <w:lang w:val="en-US" w:eastAsia="en-US" w:bidi="en-US"/>
        </w:rPr>
        <w:t>Replace with a ribbon style like Apiary?</w:t>
      </w:r>
    </w:p>
  </w:comment>
  <w:comment w:id="23" w:author="showalt_d" w:date="2022-09-16T15:28:00Z" w:initials="s">
    <w:p>
      <w:r>
        <w:rPr>
          <w:rFonts w:ascii="Liberation Serif" w:hAnsi="Liberation Serif" w:eastAsia="Segoe UI" w:cs="Tahoma"/>
          <w:sz w:val="24"/>
          <w:szCs w:val="24"/>
          <w:lang w:val="en-US" w:eastAsia="en-US" w:bidi="en-US"/>
        </w:rPr>
        <w:t>Convert to ribbon style graph with all measurement dates like in Apiary.</w:t>
      </w:r>
    </w:p>
  </w:comment>
  <w:comment w:id="24" w:author="showalt_d" w:date="2022-09-16T13:56:00Z" w:initials="s">
    <w:p>
      <w:r>
        <w:rPr>
          <w:rFonts w:ascii="Liberation Serif" w:hAnsi="Liberation Serif" w:eastAsia="Segoe UI" w:cs="Tahoma"/>
          <w:sz w:val="24"/>
          <w:szCs w:val="24"/>
          <w:lang w:val="en-US" w:eastAsia="en-US" w:bidi="en-US"/>
        </w:rPr>
        <w:t>The basal area measurments will be represented with a graph and the percentage of plots with LRR can go in the text of the results.</w:t>
      </w:r>
    </w:p>
  </w:comment>
  <w:comment w:id="25" w:author="showalt_d" w:date="2022-08-29T10:56:00Z" w:initials="s">
    <w:p>
      <w:r>
        <w:rPr>
          <w:rFonts w:ascii="Liberation Serif" w:hAnsi="Liberation Serif" w:eastAsia="Segoe UI" w:cs="Tahoma"/>
          <w:sz w:val="24"/>
          <w:szCs w:val="24"/>
          <w:lang w:eastAsia="en-US" w:val="en-US" w:bidi="en-US"/>
        </w:rPr>
        <w:t>Could be also get a figure that plots mean +/- SE stand basal area for each of the treatments on the same graph.  This would complement Table 1 which reports just 1990 and 2020 BA.</w:t>
      </w:r>
    </w:p>
  </w:comment>
  <w:comment w:id="26" w:author="showalt_d" w:date="2022-09-16T15:28:00Z" w:initials="s">
    <w:p>
      <w:r>
        <w:rPr>
          <w:rFonts w:ascii="Liberation Serif" w:hAnsi="Liberation Serif" w:eastAsia="Segoe UI" w:cs="Tahoma"/>
          <w:sz w:val="24"/>
          <w:szCs w:val="24"/>
          <w:lang w:val="en-US" w:eastAsia="en-US" w:bidi="en-US"/>
        </w:rPr>
        <w:t>Shawn is preparing a panel for the Apiary Douglas fir treatment.</w:t>
      </w:r>
    </w:p>
  </w:comment>
  <w:comment w:id="27" w:author="showalt_d" w:date="2022-09-16T15:17:00Z" w:initials="s">
    <w:p>
      <w:r>
        <w:rPr>
          <w:rFonts w:ascii="Liberation Serif" w:hAnsi="Liberation Serif" w:eastAsia="Segoe UI" w:cs="Tahoma"/>
          <w:sz w:val="24"/>
          <w:szCs w:val="24"/>
          <w:lang w:val="en-US" w:eastAsia="en-US" w:bidi="en-US"/>
        </w:rPr>
        <w:t>These survival curves need some polishing of the format.</w:t>
      </w:r>
    </w:p>
  </w:comment>
  <w:comment w:id="28" w:author="showalt_d" w:date="2022-09-16T15:25:00Z" w:initials="s">
    <w:p>
      <w:r>
        <w:rPr>
          <w:rFonts w:ascii="Liberation Serif" w:hAnsi="Liberation Serif" w:eastAsia="Segoe UI" w:cs="Tahoma"/>
          <w:sz w:val="24"/>
          <w:szCs w:val="24"/>
          <w:lang w:val="en-US" w:eastAsia="en-US" w:bidi="en-US"/>
        </w:rPr>
        <w:t>This also needs polishing.</w:t>
      </w:r>
    </w:p>
  </w:comment>
  <w:comment w:id="30" w:author="Shawn McMurtrey" w:date="2022-08-18T20:01:00Z" w:initials="SM">
    <w:p>
      <w:r>
        <w:rPr>
          <w:rFonts w:ascii="Liberation Serif" w:hAnsi="Liberation Serif" w:eastAsia="Segoe UI" w:cs="Tahoma"/>
          <w:sz w:val="24"/>
          <w:szCs w:val="24"/>
          <w:lang w:eastAsia="en-US" w:val="en-US" w:bidi="en-US"/>
        </w:rPr>
        <w:t>Is this true?</w:t>
      </w:r>
    </w:p>
  </w:comment>
  <w:comment w:id="29" w:author="Shawn McMurtrey" w:date="2022-08-31T22:00:00Z" w:initials="SM">
    <w:p>
      <w:r>
        <w:rPr>
          <w:rFonts w:ascii="Liberation Serif" w:hAnsi="Liberation Serif" w:eastAsia="Segoe UI" w:cs="Tahoma"/>
          <w:sz w:val="24"/>
          <w:szCs w:val="24"/>
          <w:lang w:val="en-US" w:eastAsia="en-US" w:bidi="en-US"/>
        </w:rPr>
        <w:t xml:space="preserve">I will check this again I just haven't had time to get to it yet.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image" Target="media/image2.png"/><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header" Target="header4.xml"/><Relationship Id="rId24" Type="http://schemas.openxmlformats.org/officeDocument/2006/relationships/image" Target="media/image3.jpeg"/><Relationship Id="rId25" Type="http://schemas.openxmlformats.org/officeDocument/2006/relationships/image" Target="media/image4.jpeg"/><Relationship Id="rId26" Type="http://schemas.openxmlformats.org/officeDocument/2006/relationships/image" Target="media/image5.jpeg"/><Relationship Id="rId27" Type="http://schemas.openxmlformats.org/officeDocument/2006/relationships/image" Target="media/image6.jpeg"/><Relationship Id="rId28" Type="http://schemas.openxmlformats.org/officeDocument/2006/relationships/image" Target="media/image7.jpeg"/><Relationship Id="rId29" Type="http://schemas.openxmlformats.org/officeDocument/2006/relationships/header" Target="header5.xml"/><Relationship Id="rId30" Type="http://schemas.openxmlformats.org/officeDocument/2006/relationships/header" Target="header6.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7.xml"/><Relationship Id="rId35" Type="http://schemas.openxmlformats.org/officeDocument/2006/relationships/image" Target="media/image11.png"/><Relationship Id="rId36" Type="http://schemas.openxmlformats.org/officeDocument/2006/relationships/header" Target="header8.xml"/><Relationship Id="rId37" Type="http://schemas.openxmlformats.org/officeDocument/2006/relationships/header" Target="header9.xml"/><Relationship Id="rId38" Type="http://schemas.openxmlformats.org/officeDocument/2006/relationships/hyperlink" Target="https://github.com/mcmurtrs/WoodsCreek" TargetMode="External"/><Relationship Id="rId39" Type="http://schemas.openxmlformats.org/officeDocument/2006/relationships/hyperlink" Target="https://doi.org/10.1016/j.foreco.2005.01.034" TargetMode="External"/><Relationship Id="rId40" Type="http://schemas.openxmlformats.org/officeDocument/2006/relationships/hyperlink" Target="https://ir.library.oregonstate.edu/concern/graduate_thesis_or_dissertations/k930c098s" TargetMode="External"/><Relationship Id="rId41" Type="http://schemas.openxmlformats.org/officeDocument/2006/relationships/hyperlink" Target="https://doi.org/10.3389/ffgc.2021.695981" TargetMode="External"/><Relationship Id="rId42" Type="http://schemas.openxmlformats.org/officeDocument/2006/relationships/hyperlink" Target="https://doi.org/10.1016/j.foreco.2012.05.040" TargetMode="External"/><Relationship Id="rId43" Type="http://schemas.openxmlformats.org/officeDocument/2006/relationships/hyperlink" Target="https://www.fs.usda.gov/treesearch/pubs/46886" TargetMode="External"/><Relationship Id="rId44" Type="http://schemas.openxmlformats.org/officeDocument/2006/relationships/hyperlink" Target="https://doi.org/10.2737/PSW-GTR-165" TargetMode="External"/><Relationship Id="rId45" Type="http://schemas.openxmlformats.org/officeDocument/2006/relationships/hyperlink" Target="https://doi.org/10.5849/jof.10-006" TargetMode="External"/><Relationship Id="rId46" Type="http://schemas.openxmlformats.org/officeDocument/2006/relationships/hyperlink" Target="https://www.biodiversitylibrary.org/bibliography/178892" TargetMode="External"/><Relationship Id="rId47" Type="http://schemas.openxmlformats.org/officeDocument/2006/relationships/hyperlink" Target="https://doi.org/10.1139/x79-078" TargetMode="External"/><Relationship Id="rId48" Type="http://schemas.openxmlformats.org/officeDocument/2006/relationships/hyperlink" Target="https://doi.org/10.1002/ecs2.1569" TargetMode="External"/><Relationship Id="rId49" Type="http://schemas.openxmlformats.org/officeDocument/2006/relationships/hyperlink" Target="https://doi.org/10.1016/j.foreco.2019.03.063" TargetMode="External"/><Relationship Id="rId50" Type="http://schemas.openxmlformats.org/officeDocument/2006/relationships/hyperlink" Target="https://doi.org/10.1080/17550874.2012.679013" TargetMode="External"/><Relationship Id="rId51" Type="http://schemas.openxmlformats.org/officeDocument/2006/relationships/hyperlink" Target="https://doi.org/10.1094/PHYTO-12-17-0399-R" TargetMode="External"/><Relationship Id="rId52" Type="http://schemas.openxmlformats.org/officeDocument/2006/relationships/hyperlink" Target="https://doi.org/10.1111/j.1523-1739.2004.00492.x" TargetMode="External"/><Relationship Id="rId53" Type="http://schemas.openxmlformats.org/officeDocument/2006/relationships/hyperlink" Target="https://doi.org/10.1016/j.foreco.2014.02.007" TargetMode="External"/><Relationship Id="rId54" Type="http://schemas.openxmlformats.org/officeDocument/2006/relationships/hyperlink" Target="https://doi.org/10.1139/cjfr-2014-0168" TargetMode="External"/><Relationship Id="rId55" Type="http://schemas.openxmlformats.org/officeDocument/2006/relationships/hyperlink" Target="https://doi.org/10.1093/forestscience/51.5.425" TargetMode="External"/><Relationship Id="rId56" Type="http://schemas.openxmlformats.org/officeDocument/2006/relationships/hyperlink" Target="https://doi.org/10.1093/aob/mcm246" TargetMode="External"/><Relationship Id="rId57" Type="http://schemas.openxmlformats.org/officeDocument/2006/relationships/hyperlink" Target="http://www.rstudio.com/" TargetMode="External"/><Relationship Id="rId58" Type="http://schemas.openxmlformats.org/officeDocument/2006/relationships/hyperlink" Target="https://doi.org/10.1093/forestry/cpm041" TargetMode="External"/><Relationship Id="rId59" Type="http://schemas.openxmlformats.org/officeDocument/2006/relationships/hyperlink" Target="http://websoilsurvey.sc.egov.usda.gov/" TargetMode="External"/><Relationship Id="rId60" Type="http://schemas.openxmlformats.org/officeDocument/2006/relationships/hyperlink" Target="https://doi.org/10.1016/j.foreco.2018.03.043" TargetMode="External"/><Relationship Id="rId61" Type="http://schemas.openxmlformats.org/officeDocument/2006/relationships/hyperlink" Target="https://ggplot2.tidyverse.org/" TargetMode="External"/><Relationship Id="rId62" Type="http://schemas.openxmlformats.org/officeDocument/2006/relationships/hyperlink" Target="https://CRAN.R-project.org/package=tidyverse" TargetMode="External"/><Relationship Id="rId63" Type="http://schemas.openxmlformats.org/officeDocument/2006/relationships/hyperlink" Target="https://doi.org/10.1016/j.foreco.2019.117558" TargetMode="External"/><Relationship Id="rId64" Type="http://schemas.openxmlformats.org/officeDocument/2006/relationships/header" Target="header10.xml"/><Relationship Id="rId65" Type="http://schemas.openxmlformats.org/officeDocument/2006/relationships/comments" Target="comments.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 Id="rId6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95E00-1F1B-4D9F-B387-1021D5AD9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Application>LibreOffice/7.1.5.2$Windows_X86_64 LibreOffice_project/85f04e9f809797b8199d13c421bd8a2b025d52b5</Application>
  <AppVersion>15.0000</AppVersion>
  <Pages>57</Pages>
  <Words>8206</Words>
  <Characters>45352</Characters>
  <CharactersWithSpaces>52936</CharactersWithSpaces>
  <Paragraphs>747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2022-09-14T05:52:00Z</dcterms:created>
  <dc:creator>Shawn McMurtrey</dc:creator>
  <dc:description/>
  <dc:language>en-US</dc:language>
  <cp:lastModifiedBy/>
  <dcterms:modified xsi:type="dcterms:W3CDTF">2022-09-20T12:37:35Z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