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jc w:val="center"/>
        <w:rPr/>
      </w:pPr>
      <w:r>
        <w:rPr>
          <w:b/>
          <w:sz w:val="36"/>
          <w:szCs w:val="36"/>
        </w:rPr>
        <w:t>Limited effects of thinning and hardwood rotations on laminated root rot induced tree mortality in Douglas-fir forests of the Pacific Northwest, USA</w:t>
      </w:r>
    </w:p>
    <w:p>
      <w:pPr>
        <w:pStyle w:val="Normal"/>
        <w:spacing w:lineRule="auto" w:line="480"/>
        <w:jc w:val="center"/>
        <w:rPr/>
      </w:pPr>
      <w:r>
        <w:rPr>
          <w:b/>
          <w:sz w:val="36"/>
          <w:szCs w:val="36"/>
        </w:rPr>
        <w:t xml:space="preserve"> </w:t>
      </w:r>
    </w:p>
    <w:p>
      <w:pPr>
        <w:pStyle w:val="Normal"/>
        <w:spacing w:lineRule="auto" w:line="480"/>
        <w:jc w:val="center"/>
        <w:rPr>
          <w:b/>
          <w:b/>
          <w:sz w:val="20"/>
          <w:szCs w:val="20"/>
        </w:rPr>
      </w:pPr>
      <w:r>
        <w:rPr>
          <w:b/>
          <w:sz w:val="20"/>
          <w:szCs w:val="20"/>
        </w:rPr>
      </w:r>
    </w:p>
    <w:p>
      <w:pPr>
        <w:pStyle w:val="Normal"/>
        <w:spacing w:lineRule="auto" w:line="480"/>
        <w:jc w:val="center"/>
        <w:rPr/>
      </w:pPr>
      <w:r>
        <w:rPr>
          <w:b/>
          <w:sz w:val="24"/>
          <w:szCs w:val="24"/>
        </w:rPr>
        <w:t>Shawn McMurtrey</w:t>
      </w:r>
      <w:r>
        <w:rPr>
          <w:rFonts w:eastAsia="Roboto" w:cs="Roboto" w:ascii="Roboto" w:hAnsi="Roboto"/>
          <w:b/>
          <w:sz w:val="24"/>
          <w:szCs w:val="24"/>
          <w:highlight w:val="white"/>
          <w:vertAlign w:val="superscript"/>
        </w:rPr>
        <w:t>1</w:t>
      </w:r>
      <w:r>
        <w:rPr>
          <w:b/>
          <w:sz w:val="24"/>
          <w:szCs w:val="24"/>
        </w:rPr>
        <w:t>, David N. Showalter</w:t>
      </w:r>
      <w:r>
        <w:rPr>
          <w:b/>
          <w:sz w:val="24"/>
          <w:szCs w:val="24"/>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pPr>
        <w:pStyle w:val="Normal"/>
        <w:spacing w:lineRule="auto" w:line="480"/>
        <w:rPr>
          <w:b/>
          <w:b/>
          <w:sz w:val="24"/>
          <w:szCs w:val="24"/>
        </w:rPr>
      </w:pPr>
      <w:r>
        <w:rPr>
          <w:b/>
          <w:sz w:val="24"/>
          <w:szCs w:val="24"/>
        </w:rPr>
      </w:r>
    </w:p>
    <w:p>
      <w:pPr>
        <w:pStyle w:val="Normal"/>
        <w:spacing w:lineRule="auto" w:line="480"/>
        <w:rPr/>
      </w:pPr>
      <w:r>
        <w:rPr>
          <w:rFonts w:eastAsia="Roboto" w:cs="Roboto" w:ascii="Roboto" w:hAnsi="Roboto"/>
          <w:b/>
          <w:sz w:val="20"/>
          <w:szCs w:val="20"/>
          <w:highlight w:val="white"/>
          <w:vertAlign w:val="superscript"/>
        </w:rPr>
        <w:t>1</w:t>
      </w:r>
      <w:r>
        <w:rPr>
          <w:sz w:val="20"/>
          <w:szCs w:val="20"/>
        </w:rPr>
        <w:t>Department of Botany and Plant Pathology, Oregon State University, Corvallis, Oregon, USA.</w:t>
      </w:r>
    </w:p>
    <w:p>
      <w:pPr>
        <w:pStyle w:val="Normal"/>
        <w:spacing w:lineRule="auto" w:line="480"/>
        <w:rPr/>
      </w:pPr>
      <w:r>
        <w:rPr>
          <w:rFonts w:eastAsia="Roboto" w:cs="Roboto" w:ascii="Roboto" w:hAnsi="Roboto"/>
          <w:b/>
          <w:sz w:val="20"/>
          <w:szCs w:val="20"/>
          <w:highlight w:val="white"/>
          <w:vertAlign w:val="superscript"/>
        </w:rPr>
        <w:t>2</w:t>
      </w:r>
      <w:r>
        <w:rPr>
          <w:sz w:val="20"/>
          <w:szCs w:val="20"/>
        </w:rPr>
        <w:t>Weyerhauser Company, Centralia, WA, USA</w:t>
      </w:r>
    </w:p>
    <w:p>
      <w:pPr>
        <w:pStyle w:val="Normal"/>
        <w:spacing w:lineRule="auto" w:line="480"/>
        <w:rPr/>
      </w:pPr>
      <w:r>
        <w:rPr>
          <w:b/>
          <w:sz w:val="20"/>
          <w:szCs w:val="20"/>
          <w:vertAlign w:val="superscript"/>
        </w:rPr>
        <w:t>3</w:t>
      </w:r>
      <w:r>
        <w:rPr>
          <w:sz w:val="20"/>
          <w:szCs w:val="20"/>
        </w:rPr>
        <w:t>Currently: USDA Forest Service, State and Private Forestry, Pacific Northwest Region, Blue Mountains Service Center, La Grande, OR, USA</w:t>
      </w:r>
    </w:p>
    <w:p>
      <w:pPr>
        <w:pStyle w:val="Normal"/>
        <w:spacing w:lineRule="auto" w:line="480"/>
        <w:rPr/>
      </w:pPr>
      <w:r>
        <w:rPr>
          <w:b/>
          <w:sz w:val="20"/>
          <w:szCs w:val="20"/>
          <w:vertAlign w:val="superscript"/>
        </w:rPr>
        <w:t>4</w:t>
      </w:r>
      <w:r>
        <w:rPr>
          <w:sz w:val="20"/>
          <w:szCs w:val="20"/>
        </w:rPr>
        <w:t xml:space="preserve">USDA Forest Service, State and Private Forestry, Pacific Northwest Region, Portland, OR, USA </w:t>
      </w:r>
    </w:p>
    <w:p>
      <w:pPr>
        <w:pStyle w:val="Normal"/>
        <w:spacing w:lineRule="auto" w:line="480"/>
        <w:rPr/>
      </w:pPr>
      <w:r>
        <w:rPr>
          <w:b/>
          <w:sz w:val="20"/>
          <w:szCs w:val="20"/>
          <w:vertAlign w:val="superscript"/>
        </w:rPr>
        <w:t>5</w:t>
      </w:r>
      <w:r>
        <w:rPr>
          <w:sz w:val="20"/>
          <w:szCs w:val="20"/>
        </w:rPr>
        <w:t>Department of Forest Engineering, Resources, and Management, Oregon State University, Corvallis, Oregon, USA.</w:t>
      </w:r>
    </w:p>
    <w:p>
      <w:pPr>
        <w:pStyle w:val="Normal"/>
        <w:spacing w:lineRule="auto" w:line="480"/>
        <w:rPr>
          <w:b/>
          <w:b/>
          <w:sz w:val="28"/>
          <w:szCs w:val="28"/>
        </w:rPr>
      </w:pPr>
      <w:r>
        <w:rPr>
          <w:b/>
          <w:sz w:val="28"/>
          <w:szCs w:val="28"/>
        </w:rPr>
      </w:r>
    </w:p>
    <w:p>
      <w:pPr>
        <w:pStyle w:val="Normal"/>
        <w:spacing w:lineRule="auto" w:line="480"/>
        <w:rPr/>
      </w:pPr>
      <w:r>
        <w:rPr>
          <w:b/>
          <w:sz w:val="24"/>
          <w:szCs w:val="24"/>
        </w:rPr>
        <w:t xml:space="preserve">Keywords: </w:t>
      </w:r>
      <w:r>
        <w:rPr>
          <w:i/>
          <w:sz w:val="24"/>
          <w:szCs w:val="24"/>
        </w:rPr>
        <w:t>Coniferiporia sulphurascens</w:t>
      </w:r>
      <w:r>
        <w:rPr>
          <w:sz w:val="24"/>
          <w:szCs w:val="24"/>
        </w:rPr>
        <w:t xml:space="preserve">, laminated root rot, forest management, forest pathology, thinning, alternate host rotations, forest vegetation simulator </w:t>
      </w:r>
    </w:p>
    <w:p>
      <w:pPr>
        <w:pStyle w:val="Normal"/>
        <w:spacing w:lineRule="auto" w:line="480"/>
        <w:rPr>
          <w:b/>
          <w:b/>
          <w:sz w:val="28"/>
          <w:szCs w:val="28"/>
        </w:rPr>
      </w:pPr>
      <w:r>
        <w:rPr>
          <w:b/>
          <w:sz w:val="28"/>
          <w:szCs w:val="28"/>
        </w:rPr>
      </w:r>
      <w:r>
        <w:br w:type="page"/>
      </w:r>
    </w:p>
    <w:p>
      <w:pPr>
        <w:pStyle w:val="Normal"/>
        <w:spacing w:lineRule="auto" w:line="480"/>
        <w:rPr>
          <w:sz w:val="24"/>
          <w:szCs w:val="24"/>
        </w:rPr>
      </w:pPr>
      <w:commentRangeStart w:id="0"/>
      <w:r>
        <w:rPr>
          <w:b/>
          <w:sz w:val="28"/>
          <w:szCs w:val="28"/>
        </w:rPr>
        <w:t>Abstract</w:t>
      </w:r>
      <w:commentRangeEnd w:id="0"/>
      <w:r>
        <w:commentReference w:id="0"/>
      </w:r>
      <w:r>
        <w:rPr>
          <w:b/>
          <w:sz w:val="28"/>
          <w:szCs w:val="28"/>
        </w:rPr>
      </w:r>
    </w:p>
    <w:p>
      <w:pPr>
        <w:pStyle w:val="Normal"/>
        <w:spacing w:lineRule="auto" w:line="480"/>
        <w:ind w:firstLine="720"/>
        <w:rPr>
          <w:sz w:val="24"/>
          <w:szCs w:val="24"/>
        </w:rPr>
      </w:pPr>
      <w:r>
        <w:rPr>
          <w:sz w:val="24"/>
          <w:szCs w:val="24"/>
        </w:rPr>
        <w:t xml:space="preserve">Laminated Root Rot (LRR) caused by the </w:t>
      </w:r>
      <w:r>
        <w:rPr>
          <w:sz w:val="24"/>
          <w:szCs w:val="24"/>
        </w:rPr>
        <w:t xml:space="preserve">fungal </w:t>
      </w:r>
      <w:r>
        <w:rPr>
          <w:sz w:val="24"/>
          <w:szCs w:val="24"/>
        </w:rPr>
        <w:t xml:space="preserve">pathogen </w:t>
      </w:r>
      <w:r>
        <w:rPr>
          <w:i/>
          <w:iCs/>
          <w:sz w:val="24"/>
          <w:szCs w:val="24"/>
        </w:rPr>
        <w:t>Coniferiporia sulphurascens</w:t>
      </w:r>
      <w:r>
        <w:rPr>
          <w:sz w:val="24"/>
          <w:szCs w:val="24"/>
        </w:rPr>
        <w:t xml:space="preserve"> is a damaging disease within many Douglas-fir forests of the Pacific Northwest (PNW) of North America. </w:t>
      </w:r>
      <w:del w:id="0" w:author="Shawn McMurtrey" w:date="2022-11-10T11:11:00Z">
        <w:r>
          <w:rPr>
            <w:sz w:val="24"/>
            <w:szCs w:val="24"/>
          </w:rPr>
          <w:delText>This disease increases the probability of fire due to the high mortality rates and fuel accumulations.</w:delText>
        </w:r>
      </w:del>
      <w:r>
        <w:rPr>
          <w:sz w:val="24"/>
          <w:szCs w:val="24"/>
        </w:rPr>
        <w:t xml:space="preserve">Management of these forests to achieve silvicultural objective in the face of climate change will likely incorporate increased thinning and may involve the use of species other than Douglas-fir. Two long-term studies within Oregon, USA provided an opportunity to investigate the effects of these management techniques on disease dynamics </w:t>
      </w:r>
      <w:r>
        <w:rPr>
          <w:sz w:val="24"/>
          <w:szCs w:val="24"/>
        </w:rPr>
        <w:t>in areas of high historical LRR incidence</w:t>
      </w:r>
      <w:r>
        <w:rPr>
          <w:sz w:val="24"/>
          <w:szCs w:val="24"/>
        </w:rPr>
        <w:t>. F</w:t>
      </w:r>
      <w:r>
        <w:rPr>
          <w:sz w:val="24"/>
          <w:szCs w:val="24"/>
        </w:rPr>
        <w:t xml:space="preserve">irst, </w:t>
      </w:r>
      <w:r>
        <w:rPr>
          <w:sz w:val="24"/>
          <w:szCs w:val="24"/>
        </w:rPr>
        <w:t>three</w:t>
      </w:r>
      <w:ins w:id="1" w:author="Shawn McMurtrey" w:date="2022-11-10T11:12:00Z">
        <w:r>
          <w:rPr>
            <w:sz w:val="24"/>
            <w:szCs w:val="24"/>
          </w:rPr>
          <w:t xml:space="preserve"> </w:t>
        </w:r>
      </w:ins>
      <w:del w:id="2" w:author="Shawn McMurtrey" w:date="2022-11-10T11:12:00Z">
        <w:r>
          <w:rPr>
            <w:sz w:val="24"/>
            <w:szCs w:val="24"/>
          </w:rPr>
          <w:delText>three</w:delText>
        </w:r>
      </w:del>
      <w:r>
        <w:rPr>
          <w:sz w:val="24"/>
          <w:szCs w:val="24"/>
        </w:rPr>
        <w:t xml:space="preserve">different thinning prescriptions were applied across </w:t>
      </w:r>
      <w:ins w:id="3" w:author="Shawn McMurtrey" w:date="2022-11-10T11:12:00Z">
        <w:r>
          <w:rPr>
            <w:sz w:val="24"/>
            <w:szCs w:val="24"/>
          </w:rPr>
          <w:t xml:space="preserve">ca. </w:t>
        </w:r>
      </w:ins>
      <w:del w:id="4" w:author="Shawn McMurtrey" w:date="2022-11-10T11:12:00Z">
        <w:r>
          <w:rPr>
            <w:sz w:val="24"/>
            <w:szCs w:val="24"/>
          </w:rPr>
          <w:delText>~</w:delText>
        </w:r>
      </w:del>
      <w:r>
        <w:rPr>
          <w:sz w:val="24"/>
          <w:szCs w:val="24"/>
        </w:rPr>
        <w:t xml:space="preserve">160 hectares within the Siuslaw National Forest </w:t>
      </w:r>
      <w:r>
        <w:rPr>
          <w:sz w:val="24"/>
          <w:szCs w:val="24"/>
        </w:rPr>
        <w:t xml:space="preserve">in 1985 </w:t>
      </w:r>
      <w:r>
        <w:rPr>
          <w:sz w:val="24"/>
          <w:szCs w:val="24"/>
        </w:rPr>
        <w:t xml:space="preserve">to investigate the interaction between commercial thinning practices and tree mortality caused by </w:t>
      </w:r>
      <w:r>
        <w:rPr>
          <w:i/>
          <w:iCs/>
          <w:sz w:val="24"/>
          <w:szCs w:val="24"/>
        </w:rPr>
        <w:t>Coniferiporia sulphurascens.</w:t>
      </w:r>
      <w:r>
        <w:rPr>
          <w:sz w:val="24"/>
          <w:szCs w:val="24"/>
        </w:rPr>
        <w:t xml:space="preserve"> The second study </w:t>
      </w:r>
      <w:r>
        <w:rPr>
          <w:sz w:val="24"/>
          <w:szCs w:val="24"/>
        </w:rPr>
        <w:t xml:space="preserve">implemented </w:t>
      </w:r>
      <w:r>
        <w:rPr>
          <w:sz w:val="24"/>
          <w:szCs w:val="24"/>
        </w:rPr>
        <w:t xml:space="preserve">five </w:t>
      </w:r>
      <w:r>
        <w:rPr>
          <w:sz w:val="24"/>
          <w:szCs w:val="24"/>
        </w:rPr>
        <w:t xml:space="preserve">hardwood </w:t>
      </w:r>
      <w:r>
        <w:rPr>
          <w:sz w:val="24"/>
          <w:szCs w:val="24"/>
        </w:rPr>
        <w:t xml:space="preserve">rotation treatments </w:t>
      </w:r>
      <w:r>
        <w:rPr>
          <w:sz w:val="24"/>
          <w:szCs w:val="24"/>
        </w:rPr>
        <w:t xml:space="preserve">on subsequent growth and mortality of planted Douglas-fir </w:t>
      </w:r>
      <w:r>
        <w:rPr>
          <w:sz w:val="24"/>
          <w:szCs w:val="24"/>
        </w:rPr>
        <w:t>across 14 hectares of privately-owned forest in Columbia County beginning in 1975.  For both studies</w:t>
      </w:r>
      <w:ins w:id="5" w:author="Shawn McMurtrey" w:date="2022-11-10T11:13:00Z">
        <w:r>
          <w:rPr>
            <w:sz w:val="24"/>
            <w:szCs w:val="24"/>
          </w:rPr>
          <w:t>,</w:t>
        </w:r>
      </w:ins>
      <w:r>
        <w:rPr>
          <w:sz w:val="24"/>
          <w:szCs w:val="24"/>
        </w:rPr>
        <w:t xml:space="preserve"> observed data was compared with </w:t>
      </w:r>
      <w:r>
        <w:rPr>
          <w:sz w:val="24"/>
          <w:szCs w:val="24"/>
        </w:rPr>
        <w:t xml:space="preserve">predictions from </w:t>
      </w:r>
      <w:r>
        <w:rPr>
          <w:sz w:val="24"/>
          <w:szCs w:val="24"/>
        </w:rPr>
        <w:t xml:space="preserve">the Forest Vegetation Simulator and </w:t>
      </w:r>
      <w:r>
        <w:rPr>
          <w:sz w:val="24"/>
          <w:szCs w:val="24"/>
        </w:rPr>
        <w:t xml:space="preserve">its </w:t>
      </w:r>
      <w:r>
        <w:rPr>
          <w:sz w:val="24"/>
          <w:szCs w:val="24"/>
        </w:rPr>
        <w:t xml:space="preserve">Western Root Disease Model </w:t>
      </w:r>
      <w:r>
        <w:rPr>
          <w:sz w:val="24"/>
          <w:szCs w:val="24"/>
        </w:rPr>
        <w:t>extension</w:t>
      </w:r>
      <w:r>
        <w:rPr>
          <w:sz w:val="24"/>
          <w:szCs w:val="24"/>
        </w:rPr>
        <w:t xml:space="preserve">. </w:t>
      </w:r>
      <w:del w:id="6" w:author="Shawn McMurtrey" w:date="2022-11-10T11:15:00Z">
        <w:r>
          <w:rPr>
            <w:sz w:val="24"/>
            <w:szCs w:val="24"/>
          </w:rPr>
          <w:delText>Results from the first study showed that thinned areas had higher levels of tree mortality from LRR when compared to stands where no thinning had occurred. The incidence of total tree mortality from LRR was found to be 1% and 5% higher in lightly thinned and thinned stands when compared to the control stands where no thinning had occurred</w:delText>
        </w:r>
      </w:del>
      <w:del w:id="7" w:author="Shawn McMurtrey" w:date="2022-11-10T11:15:00Z">
        <w:r>
          <w:rPr>
            <w:sz w:val="24"/>
            <w:szCs w:val="24"/>
            <w:highlight w:val="white"/>
          </w:rPr>
          <w:delText>.</w:delText>
        </w:r>
      </w:del>
      <w:r>
        <w:rPr>
          <w:sz w:val="24"/>
          <w:szCs w:val="24"/>
        </w:rPr>
        <w:t xml:space="preserve"> </w:t>
      </w:r>
      <w:r>
        <w:rPr>
          <w:sz w:val="24"/>
          <w:szCs w:val="24"/>
        </w:rPr>
        <w:t>T</w:t>
      </w:r>
      <w:ins w:id="8" w:author="Shawn McMurtrey" w:date="2022-11-10T11:15:00Z">
        <w:r>
          <w:rPr>
            <w:sz w:val="24"/>
            <w:szCs w:val="24"/>
          </w:rPr>
          <w:t xml:space="preserve">he first study, </w:t>
        </w:r>
      </w:ins>
      <w:r>
        <w:rPr>
          <w:sz w:val="24"/>
          <w:szCs w:val="24"/>
        </w:rPr>
        <w:t>found</w:t>
      </w:r>
      <w:r>
        <w:rPr>
          <w:sz w:val="24"/>
          <w:szCs w:val="24"/>
        </w:rPr>
        <w:t xml:space="preserve"> no significant of effect of </w:t>
      </w:r>
      <w:r>
        <w:rPr>
          <w:sz w:val="24"/>
          <w:szCs w:val="24"/>
        </w:rPr>
        <w:t xml:space="preserve">thinning </w:t>
      </w:r>
      <w:r>
        <w:rPr>
          <w:sz w:val="24"/>
          <w:szCs w:val="24"/>
        </w:rPr>
        <w:t xml:space="preserve">treatment on proportion of mortality, </w:t>
      </w:r>
      <w:r>
        <w:rPr>
          <w:sz w:val="24"/>
          <w:szCs w:val="24"/>
        </w:rPr>
        <w:t>nor, unexpectedly, annual basal area increment</w:t>
      </w:r>
      <w:r>
        <w:rPr>
          <w:sz w:val="24"/>
          <w:szCs w:val="24"/>
          <w:highlight w:val="white"/>
        </w:rPr>
        <w:t xml:space="preserve">. </w:t>
      </w:r>
      <w:r>
        <w:rPr>
          <w:sz w:val="24"/>
          <w:szCs w:val="24"/>
        </w:rPr>
        <w:t xml:space="preserve">When compared with observed data, the Forest Vegetation Simulator was found to over predict growth, </w:t>
      </w:r>
      <w:r>
        <w:rPr>
          <w:sz w:val="24"/>
          <w:szCs w:val="24"/>
        </w:rPr>
        <w:t xml:space="preserve">while the </w:t>
      </w:r>
      <w:r>
        <w:rPr>
          <w:sz w:val="24"/>
          <w:szCs w:val="24"/>
        </w:rPr>
        <w:t xml:space="preserve">Western Root Disease Model </w:t>
      </w:r>
      <w:r>
        <w:rPr>
          <w:sz w:val="24"/>
          <w:szCs w:val="24"/>
        </w:rPr>
        <w:t>extension was</w:t>
      </w:r>
      <w:r>
        <w:rPr>
          <w:sz w:val="24"/>
          <w:szCs w:val="24"/>
        </w:rPr>
        <w:t xml:space="preserve"> </w:t>
      </w:r>
      <w:r>
        <w:rPr>
          <w:sz w:val="24"/>
          <w:szCs w:val="24"/>
        </w:rPr>
        <w:t>highly consistent with observations</w:t>
      </w:r>
      <w:r>
        <w:rPr>
          <w:sz w:val="24"/>
          <w:szCs w:val="24"/>
        </w:rPr>
        <w:t xml:space="preserve">. </w:t>
      </w:r>
      <w:del w:id="9" w:author="Shawn McMurtrey" w:date="2022-11-10T11:16:00Z">
        <w:r>
          <w:rPr>
            <w:sz w:val="24"/>
            <w:szCs w:val="24"/>
          </w:rPr>
          <w:delText xml:space="preserve">From the results of the first study, commercial thinning treatments do not seem to have a significant effect on reducing tree mortality caused by </w:delText>
        </w:r>
      </w:del>
      <w:del w:id="10" w:author="Shawn McMurtrey" w:date="2022-11-10T11:16:00Z">
        <w:r>
          <w:rPr>
            <w:i/>
            <w:iCs/>
            <w:sz w:val="24"/>
            <w:szCs w:val="24"/>
          </w:rPr>
          <w:delText>Coniferiporia sulphurascens</w:delText>
        </w:r>
      </w:del>
      <w:del w:id="11" w:author="Shawn McMurtrey" w:date="2022-11-10T11:16:00Z">
        <w:r>
          <w:rPr>
            <w:sz w:val="24"/>
            <w:szCs w:val="24"/>
          </w:rPr>
          <w:delText>.</w:delText>
        </w:r>
      </w:del>
      <w:r>
        <w:rPr>
          <w:sz w:val="24"/>
          <w:szCs w:val="24"/>
        </w:rPr>
        <w:t xml:space="preserve"> The results of the second study showed basal area increases throughout the study, but at a declining rate later in the study. </w:t>
      </w:r>
      <w:del w:id="12" w:author="Shawn McMurtrey" w:date="2022-11-10T11:17:00Z">
        <w:r>
          <w:rPr>
            <w:sz w:val="24"/>
            <w:szCs w:val="24"/>
          </w:rPr>
          <w:delText>This was particularly prevalent in blocks with high initial incidence of LRR. Annual basal area increment was reduced in the 25-year cottonwood treatment in the early period. Cumulative total mortality increased consistently through the study, and annual mortalit</w:delText>
        </w:r>
      </w:del>
      <w:del w:id="13" w:author="Shawn McMurtrey" w:date="2022-11-10T11:16:00Z">
        <w:r>
          <w:rPr>
            <w:sz w:val="24"/>
            <w:szCs w:val="24"/>
          </w:rPr>
          <w:delText>y was significantly higher in 12-year red alder and 25-year cottonwood rotation treatments.</w:delText>
        </w:r>
      </w:del>
      <w:r>
        <w:rPr>
          <w:sz w:val="24"/>
          <w:szCs w:val="24"/>
        </w:rPr>
        <w:t xml:space="preserve"> Modelled data was found to over predict growth and yield for both the Forest Vegetation Simulator and the Western Root Disease Model. From the results of these two independent studies, mechanical thinning and alternate host rotations do not seem to be a</w:t>
      </w:r>
      <w:ins w:id="14" w:author="Shawn McMurtrey" w:date="2022-11-10T11:17:00Z">
        <w:r>
          <w:rPr>
            <w:sz w:val="24"/>
            <w:szCs w:val="24"/>
          </w:rPr>
          <w:t xml:space="preserve"> statistically significant</w:t>
        </w:r>
      </w:ins>
      <w:r>
        <w:rPr>
          <w:sz w:val="24"/>
          <w:szCs w:val="24"/>
        </w:rPr>
        <w:t xml:space="preserve"> </w:t>
      </w:r>
      <w:del w:id="15" w:author="Shawn McMurtrey" w:date="2022-11-10T11:17:00Z">
        <w:r>
          <w:rPr>
            <w:sz w:val="24"/>
            <w:szCs w:val="24"/>
          </w:rPr>
          <w:delText>viable</w:delText>
        </w:r>
      </w:del>
      <w:r>
        <w:rPr>
          <w:sz w:val="24"/>
          <w:szCs w:val="24"/>
        </w:rPr>
        <w:t xml:space="preserve"> management option for LRR.</w:t>
      </w:r>
    </w:p>
    <w:p>
      <w:pPr>
        <w:pStyle w:val="Normal"/>
        <w:spacing w:lineRule="auto" w:line="480"/>
        <w:rPr>
          <w:b/>
          <w:b/>
          <w:sz w:val="24"/>
          <w:szCs w:val="24"/>
        </w:rPr>
      </w:pPr>
      <w:r>
        <w:rPr>
          <w:b/>
          <w:sz w:val="24"/>
          <w:szCs w:val="24"/>
        </w:rPr>
      </w:r>
    </w:p>
    <w:p>
      <w:pPr>
        <w:pStyle w:val="Normal"/>
        <w:spacing w:lineRule="auto" w:line="480"/>
        <w:rPr/>
      </w:pPr>
      <w:r>
        <w:rPr>
          <w:b/>
          <w:sz w:val="28"/>
          <w:szCs w:val="28"/>
        </w:rPr>
        <w:t>1. Introduction</w:t>
      </w:r>
    </w:p>
    <w:p>
      <w:pPr>
        <w:pStyle w:val="Normal"/>
        <w:spacing w:lineRule="auto" w:line="480"/>
        <w:ind w:firstLine="720"/>
        <w:rPr>
          <w:sz w:val="24"/>
          <w:szCs w:val="24"/>
          <w:ins w:id="88" w:author="LeBoldus, Jared" w:date="2022-10-25T10:38:00Z"/>
          <w:u w:val="single"/>
        </w:rPr>
      </w:pPr>
      <w:ins w:id="16" w:author="LeBoldus, Jared" w:date="2022-10-25T10:14:00Z">
        <w:r>
          <w:rPr>
            <w:sz w:val="24"/>
            <w:szCs w:val="24"/>
          </w:rPr>
          <w:t>Douglas-fir (</w:t>
        </w:r>
      </w:ins>
      <w:ins w:id="17" w:author="LeBoldus, Jared" w:date="2022-10-25T10:14:00Z">
        <w:r>
          <w:rPr>
            <w:i/>
            <w:sz w:val="24"/>
            <w:szCs w:val="24"/>
          </w:rPr>
          <w:t>Pseudotsuga menziesii</w:t>
        </w:r>
      </w:ins>
      <w:ins w:id="18" w:author="LeBoldus, Jared" w:date="2022-10-25T10:14:00Z">
        <w:r>
          <w:rPr>
            <w:sz w:val="24"/>
            <w:szCs w:val="24"/>
          </w:rPr>
          <w:t xml:space="preserve"> (Mirb.)) is a keystone species in the mixed conifer forests of </w:t>
        </w:r>
      </w:ins>
      <w:ins w:id="19" w:author="LeBoldus, Jared" w:date="2022-10-27T08:58:00Z">
        <w:r>
          <w:rPr>
            <w:sz w:val="24"/>
            <w:szCs w:val="24"/>
          </w:rPr>
          <w:t>western North America</w:t>
        </w:r>
      </w:ins>
      <w:ins w:id="20" w:author="LeBoldus, Jared" w:date="2022-10-25T10:15:00Z">
        <w:r>
          <w:rPr>
            <w:sz w:val="24"/>
            <w:szCs w:val="24"/>
          </w:rPr>
          <w:t xml:space="preserve"> (</w:t>
        </w:r>
      </w:ins>
      <w:ins w:id="21" w:author="LeBoldus, Jared" w:date="2022-10-25T10:15:00Z">
        <w:r>
          <w:rPr>
            <w:sz w:val="24"/>
            <w:szCs w:val="24"/>
            <w:highlight w:val="white"/>
          </w:rPr>
          <w:t>Cook et al. 2013)</w:t>
        </w:r>
      </w:ins>
      <w:ins w:id="22" w:author="LeBoldus, Jared" w:date="2022-10-25T10:15:00Z">
        <w:r>
          <w:rPr>
            <w:sz w:val="24"/>
            <w:szCs w:val="24"/>
          </w:rPr>
          <w:t xml:space="preserve">. </w:t>
        </w:r>
      </w:ins>
      <w:ins w:id="23" w:author="LeBoldus, Jared" w:date="2022-10-25T10:14:00Z">
        <w:r>
          <w:rPr>
            <w:sz w:val="24"/>
            <w:szCs w:val="24"/>
          </w:rPr>
          <w:t xml:space="preserve"> </w:t>
        </w:r>
      </w:ins>
      <w:ins w:id="24" w:author="LeBoldus, Jared" w:date="2022-10-25T10:15:00Z">
        <w:r>
          <w:rPr>
            <w:sz w:val="24"/>
            <w:szCs w:val="24"/>
          </w:rPr>
          <w:t>In addition to its ecological importance Douglas-fir</w:t>
        </w:r>
      </w:ins>
      <w:ins w:id="25" w:author="LeBoldus, Jared" w:date="2022-10-25T10:14:00Z">
        <w:r>
          <w:rPr>
            <w:sz w:val="24"/>
            <w:szCs w:val="24"/>
          </w:rPr>
          <w:t xml:space="preserve"> </w:t>
        </w:r>
      </w:ins>
      <w:ins w:id="26" w:author="LeBoldus, Jared" w:date="2022-10-25T10:17:00Z">
        <w:r>
          <w:rPr>
            <w:sz w:val="24"/>
            <w:szCs w:val="24"/>
          </w:rPr>
          <w:t>is</w:t>
        </w:r>
      </w:ins>
      <w:ins w:id="27" w:author="LeBoldus, Jared" w:date="2022-10-25T10:21:00Z">
        <w:r>
          <w:rPr>
            <w:sz w:val="24"/>
            <w:szCs w:val="24"/>
          </w:rPr>
          <w:t xml:space="preserve"> </w:t>
        </w:r>
      </w:ins>
      <w:ins w:id="28" w:author="LeBoldus, Jared" w:date="2022-10-25T10:17:00Z">
        <w:r>
          <w:rPr>
            <w:sz w:val="24"/>
            <w:szCs w:val="24"/>
          </w:rPr>
          <w:t>a major contributor</w:t>
        </w:r>
      </w:ins>
      <w:ins w:id="29" w:author="LeBoldus, Jared" w:date="2022-10-25T15:40:00Z">
        <w:r>
          <w:rPr>
            <w:sz w:val="24"/>
            <w:szCs w:val="24"/>
          </w:rPr>
          <w:t>, in terms</w:t>
        </w:r>
      </w:ins>
      <w:ins w:id="30" w:author="LeBoldus, Jared" w:date="2022-10-27T08:58:00Z">
        <w:r>
          <w:rPr>
            <w:sz w:val="24"/>
            <w:szCs w:val="24"/>
          </w:rPr>
          <w:t xml:space="preserve"> </w:t>
        </w:r>
      </w:ins>
      <w:ins w:id="31" w:author="LeBoldus, Jared" w:date="2022-10-25T15:40:00Z">
        <w:r>
          <w:rPr>
            <w:sz w:val="24"/>
            <w:szCs w:val="24"/>
          </w:rPr>
          <w:t>of timber harvest,</w:t>
        </w:r>
      </w:ins>
      <w:ins w:id="32" w:author="LeBoldus, Jared" w:date="2022-10-25T10:17:00Z">
        <w:r>
          <w:rPr>
            <w:sz w:val="24"/>
            <w:szCs w:val="24"/>
          </w:rPr>
          <w:t xml:space="preserve"> to the econom</w:t>
        </w:r>
      </w:ins>
      <w:ins w:id="33" w:author="LeBoldus, Jared" w:date="2022-10-25T15:40:00Z">
        <w:r>
          <w:rPr>
            <w:sz w:val="24"/>
            <w:szCs w:val="24"/>
          </w:rPr>
          <w:t>y</w:t>
        </w:r>
      </w:ins>
      <w:ins w:id="34" w:author="LeBoldus, Jared" w:date="2022-10-25T10:17:00Z">
        <w:r>
          <w:rPr>
            <w:sz w:val="24"/>
            <w:szCs w:val="24"/>
          </w:rPr>
          <w:t xml:space="preserve"> </w:t>
        </w:r>
      </w:ins>
      <w:ins w:id="35" w:author="LeBoldus, Jared" w:date="2022-10-27T09:27:00Z">
        <w:r>
          <w:rPr>
            <w:sz w:val="24"/>
            <w:szCs w:val="24"/>
          </w:rPr>
          <w:t>of the region</w:t>
        </w:r>
      </w:ins>
      <w:ins w:id="36" w:author="Sarah Hoffman" w:date="2022-11-04T19:40:00Z">
        <w:r>
          <w:rPr>
            <w:sz w:val="24"/>
            <w:szCs w:val="24"/>
          </w:rPr>
          <w:t xml:space="preserve"> </w:t>
        </w:r>
      </w:ins>
      <w:del w:id="37" w:author="LeBoldus, Jared" w:date="2022-10-25T10:17:00Z">
        <w:r>
          <w:rPr>
            <w:sz w:val="24"/>
            <w:szCs w:val="24"/>
          </w:rPr>
          <w:delText xml:space="preserve"> economically important</w:delText>
        </w:r>
      </w:del>
      <w:del w:id="38" w:author="LeBoldus, Jared" w:date="2022-10-27T08:58:00Z">
        <w:r>
          <w:rPr>
            <w:sz w:val="24"/>
            <w:szCs w:val="24"/>
          </w:rPr>
          <w:delText xml:space="preserve"> </w:delText>
        </w:r>
      </w:del>
      <w:ins w:id="39" w:author="LeBoldus, Jared" w:date="2022-10-25T10:14:00Z">
        <w:r>
          <w:rPr>
            <w:sz w:val="24"/>
            <w:szCs w:val="24"/>
          </w:rPr>
          <w:t>(</w:t>
        </w:r>
      </w:ins>
      <w:ins w:id="40" w:author="Shawn McMurtrey" w:date="2022-11-08T08:40:00Z">
        <w:r>
          <w:rPr>
            <w:sz w:val="24"/>
            <w:szCs w:val="24"/>
          </w:rPr>
          <w:t xml:space="preserve">McCauley </w:t>
        </w:r>
      </w:ins>
      <w:r>
        <w:rPr>
          <w:sz w:val="24"/>
          <w:szCs w:val="24"/>
        </w:rPr>
        <w:t>and</w:t>
      </w:r>
      <w:ins w:id="41" w:author="Shawn McMurtrey" w:date="2022-11-08T08:40:00Z">
        <w:r>
          <w:rPr>
            <w:sz w:val="24"/>
            <w:szCs w:val="24"/>
          </w:rPr>
          <w:t xml:space="preserve"> Cook 1980</w:t>
        </w:r>
      </w:ins>
      <w:r>
        <w:rPr>
          <w:sz w:val="24"/>
          <w:szCs w:val="24"/>
        </w:rPr>
        <w:t>; Nelson and Hartman 1975</w:t>
      </w:r>
      <w:ins w:id="42" w:author="Shawn McMurtrey" w:date="2022-11-08T08:40:00Z">
        <w:r>
          <w:rPr>
            <w:sz w:val="24"/>
            <w:szCs w:val="24"/>
          </w:rPr>
          <w:t xml:space="preserve"> </w:t>
        </w:r>
      </w:ins>
      <w:del w:id="43" w:author="Shawn McMurtrey" w:date="2022-11-08T08:40:00Z">
        <w:r>
          <w:rPr>
            <w:sz w:val="24"/>
            <w:szCs w:val="24"/>
          </w:rPr>
          <w:delText xml:space="preserve">Hanna </w:delText>
        </w:r>
      </w:del>
      <w:r>
        <w:rPr>
          <w:sz w:val="24"/>
          <w:szCs w:val="24"/>
        </w:rPr>
        <w:t>et al.</w:t>
      </w:r>
      <w:del w:id="44" w:author="Shawn McMurtrey" w:date="2022-11-08T08:40:00Z">
        <w:r>
          <w:rPr>
            <w:sz w:val="24"/>
            <w:szCs w:val="24"/>
          </w:rPr>
          <w:delText>2016</w:delText>
        </w:r>
      </w:del>
      <w:ins w:id="45" w:author="LeBoldus, Jared" w:date="2022-10-25T10:14:00Z">
        <w:r>
          <w:rPr>
            <w:sz w:val="24"/>
            <w:szCs w:val="24"/>
            <w:highlight w:val="white"/>
          </w:rPr>
          <w:t>).</w:t>
        </w:r>
      </w:ins>
      <w:ins w:id="46" w:author="LeBoldus, Jared" w:date="2022-10-25T10:14:00Z">
        <w:bookmarkStart w:id="0" w:name="move117585275"/>
        <w:bookmarkEnd w:id="0"/>
        <w:r>
          <w:rPr>
            <w:sz w:val="24"/>
            <w:szCs w:val="24"/>
            <w:highlight w:val="white"/>
          </w:rPr>
          <w:t xml:space="preserve"> </w:t>
        </w:r>
      </w:ins>
      <w:ins w:id="47" w:author="LeBoldus, Jared" w:date="2022-10-27T08:59:00Z">
        <w:r>
          <w:rPr>
            <w:sz w:val="24"/>
            <w:szCs w:val="24"/>
          </w:rPr>
          <w:t xml:space="preserve">There are several diseases and insects that impact the management of </w:t>
        </w:r>
      </w:ins>
      <w:ins w:id="48" w:author="LeBoldus, Jared" w:date="2022-10-27T09:27:00Z">
        <w:r>
          <w:rPr>
            <w:sz w:val="24"/>
            <w:szCs w:val="24"/>
          </w:rPr>
          <w:t>Douglas-fir</w:t>
        </w:r>
      </w:ins>
      <w:ins w:id="49" w:author="LeBoldus, Jared" w:date="2022-10-27T08:59:00Z">
        <w:r>
          <w:rPr>
            <w:sz w:val="24"/>
            <w:szCs w:val="24"/>
          </w:rPr>
          <w:t>.</w:t>
        </w:r>
      </w:ins>
      <w:ins w:id="50" w:author="LeBoldus, Jared" w:date="2022-10-27T09:27:00Z">
        <w:r>
          <w:rPr>
            <w:sz w:val="24"/>
            <w:szCs w:val="24"/>
          </w:rPr>
          <w:t xml:space="preserve"> Among them,</w:t>
        </w:r>
      </w:ins>
      <w:ins w:id="51" w:author="LeBoldus, Jared" w:date="2022-10-27T08:59:00Z">
        <w:r>
          <w:rPr>
            <w:sz w:val="24"/>
            <w:szCs w:val="24"/>
          </w:rPr>
          <w:t xml:space="preserve"> </w:t>
        </w:r>
      </w:ins>
      <w:r>
        <w:rPr>
          <w:i/>
          <w:sz w:val="24"/>
          <w:szCs w:val="24"/>
        </w:rPr>
        <w:t xml:space="preserve">Coniferiporia sulphurascens </w:t>
      </w:r>
      <w:r>
        <w:rPr>
          <w:sz w:val="24"/>
          <w:szCs w:val="24"/>
          <w:highlight w:val="white"/>
        </w:rPr>
        <w:t>(Pilát) L. W. Zhou and Y. C. Dai</w:t>
      </w:r>
      <w:ins w:id="52" w:author="LeBoldus, Jared" w:date="2022-10-25T10:25:00Z">
        <w:r>
          <w:rPr>
            <w:sz w:val="24"/>
            <w:szCs w:val="24"/>
          </w:rPr>
          <w:t>,</w:t>
        </w:r>
      </w:ins>
      <w:r>
        <w:rPr>
          <w:sz w:val="24"/>
          <w:szCs w:val="24"/>
        </w:rPr>
        <w:t xml:space="preserve"> </w:t>
      </w:r>
      <w:del w:id="53" w:author="LeBoldus, Jared" w:date="2022-10-25T10:25:00Z">
        <w:r>
          <w:rPr>
            <w:sz w:val="24"/>
            <w:szCs w:val="24"/>
          </w:rPr>
          <w:delText xml:space="preserve">is </w:delText>
        </w:r>
      </w:del>
      <w:r>
        <w:rPr>
          <w:sz w:val="24"/>
          <w:szCs w:val="24"/>
        </w:rPr>
        <w:t xml:space="preserve">a basidiomycete fungus endemic to </w:t>
      </w:r>
      <w:del w:id="54" w:author="LeBoldus, Jared" w:date="2022-10-25T10:22:00Z">
        <w:r>
          <w:rPr>
            <w:sz w:val="24"/>
            <w:szCs w:val="24"/>
          </w:rPr>
          <w:delText>North America</w:delText>
        </w:r>
      </w:del>
      <w:ins w:id="55" w:author="LeBoldus, Jared" w:date="2022-10-25T10:22:00Z">
        <w:r>
          <w:rPr>
            <w:sz w:val="24"/>
            <w:szCs w:val="24"/>
          </w:rPr>
          <w:t>this region</w:t>
        </w:r>
      </w:ins>
      <w:ins w:id="56" w:author="LeBoldus, Jared" w:date="2022-10-25T10:26:00Z">
        <w:r>
          <w:rPr>
            <w:sz w:val="24"/>
            <w:szCs w:val="24"/>
          </w:rPr>
          <w:t>,</w:t>
        </w:r>
      </w:ins>
      <w:del w:id="57" w:author="LeBoldus, Jared" w:date="2022-10-25T10:25:00Z">
        <w:r>
          <w:rPr>
            <w:sz w:val="24"/>
            <w:szCs w:val="24"/>
          </w:rPr>
          <w:delText>,</w:delText>
        </w:r>
      </w:del>
      <w:r>
        <w:rPr>
          <w:sz w:val="24"/>
          <w:szCs w:val="24"/>
        </w:rPr>
        <w:t xml:space="preserve"> </w:t>
      </w:r>
      <w:del w:id="58" w:author="LeBoldus, Jared" w:date="2022-10-25T10:26:00Z">
        <w:r>
          <w:rPr>
            <w:sz w:val="24"/>
            <w:szCs w:val="24"/>
          </w:rPr>
          <w:delText xml:space="preserve">that </w:delText>
        </w:r>
      </w:del>
      <w:r>
        <w:rPr>
          <w:sz w:val="24"/>
          <w:szCs w:val="24"/>
        </w:rPr>
        <w:t xml:space="preserve">causes laminated root rot (LRR) </w:t>
      </w:r>
      <w:del w:id="59" w:author="LeBoldus, Jared" w:date="2022-10-25T10:18:00Z">
        <w:r>
          <w:rPr>
            <w:sz w:val="24"/>
            <w:szCs w:val="24"/>
          </w:rPr>
          <w:delText xml:space="preserve">in </w:delText>
        </w:r>
      </w:del>
      <w:del w:id="60" w:author="LeBoldus, Jared" w:date="2022-10-25T10:13:00Z">
        <w:r>
          <w:rPr>
            <w:sz w:val="24"/>
            <w:szCs w:val="24"/>
          </w:rPr>
          <w:delText xml:space="preserve">the highly susceptible </w:delText>
        </w:r>
      </w:del>
      <w:del w:id="61" w:author="LeBoldus, Jared" w:date="2022-10-27T09:28:00Z">
        <w:r>
          <w:rPr>
            <w:sz w:val="24"/>
            <w:szCs w:val="24"/>
          </w:rPr>
          <w:delText xml:space="preserve">Douglas-fir </w:delText>
        </w:r>
      </w:del>
      <w:del w:id="62" w:author="LeBoldus, Jared" w:date="2022-10-25T10:19:00Z">
        <w:r>
          <w:rPr>
            <w:sz w:val="24"/>
            <w:szCs w:val="24"/>
          </w:rPr>
          <w:delText>(</w:delText>
        </w:r>
      </w:del>
      <w:del w:id="63" w:author="LeBoldus, Jared" w:date="2022-10-25T10:19:00Z">
        <w:r>
          <w:rPr>
            <w:i/>
            <w:sz w:val="24"/>
            <w:szCs w:val="24"/>
          </w:rPr>
          <w:delText>Pseudotsuga menziesii</w:delText>
        </w:r>
      </w:del>
      <w:del w:id="64" w:author="LeBoldus, Jared" w:date="2022-10-25T10:19:00Z">
        <w:r>
          <w:rPr>
            <w:sz w:val="24"/>
            <w:szCs w:val="24"/>
          </w:rPr>
          <w:delText xml:space="preserve"> (Mirb.)) </w:delText>
        </w:r>
      </w:del>
      <w:r>
        <w:rPr>
          <w:sz w:val="24"/>
          <w:szCs w:val="24"/>
          <w:highlight w:val="white"/>
        </w:rPr>
        <w:t>(Thies and Sturrock 1995;</w:t>
      </w:r>
      <w:ins w:id="65" w:author="LeBoldus, Jared" w:date="2022-10-25T10:21:00Z">
        <w:r>
          <w:rPr>
            <w:sz w:val="24"/>
            <w:szCs w:val="24"/>
            <w:highlight w:val="white"/>
          </w:rPr>
          <w:t xml:space="preserve"> Leal </w:t>
        </w:r>
      </w:ins>
      <w:r>
        <w:rPr>
          <w:sz w:val="24"/>
          <w:szCs w:val="24"/>
          <w:highlight w:val="white"/>
        </w:rPr>
        <w:t xml:space="preserve">et al. </w:t>
      </w:r>
      <w:ins w:id="66" w:author="LeBoldus, Jared" w:date="2022-10-25T10:21:00Z">
        <w:r>
          <w:rPr>
            <w:sz w:val="24"/>
            <w:szCs w:val="24"/>
            <w:highlight w:val="white"/>
          </w:rPr>
          <w:t>2019</w:t>
        </w:r>
      </w:ins>
      <w:r>
        <w:rPr>
          <w:sz w:val="24"/>
          <w:szCs w:val="24"/>
          <w:highlight w:val="white"/>
        </w:rPr>
        <w:t>)</w:t>
      </w:r>
      <w:r>
        <w:rPr>
          <w:i/>
          <w:sz w:val="24"/>
          <w:szCs w:val="24"/>
        </w:rPr>
        <w:t>.</w:t>
      </w:r>
      <w:r>
        <w:rPr>
          <w:sz w:val="24"/>
          <w:szCs w:val="24"/>
        </w:rPr>
        <w:t xml:space="preserve"> </w:t>
      </w:r>
      <w:del w:id="67" w:author="LeBoldus, Jared" w:date="2022-10-25T10:14:00Z">
        <w:r>
          <w:rPr>
            <w:sz w:val="24"/>
            <w:szCs w:val="24"/>
          </w:rPr>
          <w:delText>Douglas-fir is a keystone species which is both ecologically and economically important (</w:delText>
        </w:r>
      </w:del>
      <w:del w:id="68" w:author="LeBoldus, Jared" w:date="2022-10-25T10:14:00Z">
        <w:r>
          <w:rPr>
            <w:sz w:val="24"/>
            <w:szCs w:val="24"/>
            <w:highlight w:val="white"/>
          </w:rPr>
          <w:delText xml:space="preserve">Cook </w:delText>
        </w:r>
      </w:del>
      <w:r>
        <w:rPr>
          <w:sz w:val="24"/>
          <w:szCs w:val="24"/>
          <w:highlight w:val="white"/>
        </w:rPr>
        <w:t>et al.</w:t>
      </w:r>
      <w:del w:id="69" w:author="LeBoldus, Jared" w:date="2022-10-25T10:14:00Z">
        <w:r>
          <w:rPr>
            <w:sz w:val="24"/>
            <w:szCs w:val="24"/>
            <w:highlight w:val="white"/>
          </w:rPr>
          <w:delText>2013).</w:delText>
        </w:r>
      </w:del>
      <w:del w:id="70" w:author="LeBoldus, Jared" w:date="2022-10-25T10:14:00Z">
        <w:bookmarkStart w:id="1" w:name="move1175852751111111111111111111"/>
        <w:bookmarkEnd w:id="1"/>
        <w:r>
          <w:rPr>
            <w:sz w:val="24"/>
            <w:szCs w:val="24"/>
            <w:highlight w:val="white"/>
          </w:rPr>
          <w:delText xml:space="preserve"> </w:delText>
        </w:r>
      </w:del>
      <w:del w:id="71" w:author="LeBoldus, Jared" w:date="2022-10-25T10:19:00Z">
        <w:r>
          <w:rPr>
            <w:sz w:val="24"/>
            <w:szCs w:val="24"/>
            <w:highlight w:val="white"/>
          </w:rPr>
          <w:delText>It is a valuable tree within the timber industry, producing more timber than any other species in North America (Hanna 2016).</w:delText>
        </w:r>
      </w:del>
      <w:del w:id="72" w:author="LeBoldus, Jared" w:date="2022-10-25T10:19:00Z">
        <w:r>
          <w:rPr>
            <w:color w:val="000000"/>
            <w:sz w:val="20"/>
            <w:szCs w:val="20"/>
            <w:highlight w:val="white"/>
            <w:shd w:fill="FFFFFF" w:val="clear"/>
          </w:rPr>
          <w:delText xml:space="preserve"> </w:delText>
        </w:r>
      </w:del>
      <w:r>
        <w:rPr>
          <w:sz w:val="24"/>
          <w:szCs w:val="24"/>
        </w:rPr>
        <w:t>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w:t>
      </w:r>
      <w:del w:id="73" w:author="LeBoldus, Jared" w:date="2022-10-25T11:30:00Z">
        <w:r>
          <w:rPr>
            <w:sz w:val="24"/>
            <w:szCs w:val="24"/>
          </w:rPr>
          <w:delText xml:space="preserve">most </w:delText>
        </w:r>
      </w:del>
      <w:ins w:id="74" w:author="LeBoldus, Jared" w:date="2022-10-25T11:30:00Z">
        <w:r>
          <w:rPr>
            <w:sz w:val="24"/>
            <w:szCs w:val="24"/>
          </w:rPr>
          <w:t xml:space="preserve">many </w:t>
        </w:r>
      </w:ins>
      <w:r>
        <w:rPr>
          <w:sz w:val="24"/>
          <w:szCs w:val="24"/>
        </w:rPr>
        <w:t xml:space="preserve">coniferous species </w:t>
      </w:r>
      <w:del w:id="75" w:author="LeBoldus, Jared" w:date="2022-10-25T10:19:00Z">
        <w:r>
          <w:rPr>
            <w:sz w:val="24"/>
            <w:szCs w:val="24"/>
          </w:rPr>
          <w:delText xml:space="preserve">within </w:delText>
        </w:r>
      </w:del>
      <w:del w:id="76" w:author="LeBoldus, Jared" w:date="2022-10-25T10:20:00Z">
        <w:r>
          <w:rPr>
            <w:sz w:val="24"/>
            <w:szCs w:val="24"/>
          </w:rPr>
          <w:delText>Canada and the Pacific Northwest of the United States of America</w:delText>
        </w:r>
      </w:del>
      <w:del w:id="77" w:author="LeBoldus, Jared" w:date="2022-10-25T15:40:00Z">
        <w:r>
          <w:rPr>
            <w:sz w:val="24"/>
            <w:szCs w:val="24"/>
          </w:rPr>
          <w:delText xml:space="preserve"> (USA) </w:delText>
        </w:r>
      </w:del>
      <w:r>
        <w:rPr>
          <w:sz w:val="24"/>
          <w:szCs w:val="24"/>
        </w:rPr>
        <w:t xml:space="preserve">are </w:t>
      </w:r>
      <w:del w:id="78" w:author="LeBoldus, Jared" w:date="2022-10-25T10:20:00Z">
        <w:r>
          <w:rPr>
            <w:sz w:val="24"/>
            <w:szCs w:val="24"/>
          </w:rPr>
          <w:delText xml:space="preserve">affected </w:delText>
        </w:r>
      </w:del>
      <w:ins w:id="79" w:author="LeBoldus, Jared" w:date="2022-10-25T10:20:00Z">
        <w:r>
          <w:rPr>
            <w:sz w:val="24"/>
            <w:szCs w:val="24"/>
          </w:rPr>
          <w:t xml:space="preserve">susceptible </w:t>
        </w:r>
      </w:ins>
      <w:r>
        <w:rPr>
          <w:sz w:val="24"/>
          <w:szCs w:val="24"/>
        </w:rPr>
        <w:t>(</w:t>
      </w:r>
      <w:r>
        <w:rPr>
          <w:sz w:val="24"/>
          <w:szCs w:val="24"/>
          <w:highlight w:val="white"/>
        </w:rPr>
        <w:t>Cleary et al. 2013</w:t>
      </w:r>
      <w:r>
        <w:rPr>
          <w:sz w:val="24"/>
          <w:szCs w:val="24"/>
        </w:rPr>
        <w:t>; Thies and Sturrock 1995</w:t>
      </w:r>
      <w:r>
        <w:rPr>
          <w:sz w:val="24"/>
          <w:szCs w:val="24"/>
          <w:u w:val="single"/>
        </w:rPr>
        <w:t xml:space="preserve">). </w:t>
      </w:r>
      <w:ins w:id="80" w:author="LeBoldus, Jared" w:date="2022-10-25T10:27:00Z">
        <w:r>
          <w:rPr>
            <w:sz w:val="24"/>
            <w:szCs w:val="24"/>
            <w:u w:val="single"/>
          </w:rPr>
          <w:t xml:space="preserve">Laminated root rot is characterized by specific tree and stand level </w:t>
        </w:r>
      </w:ins>
      <w:ins w:id="81" w:author="LeBoldus, Jared" w:date="2022-10-25T10:28:00Z">
        <w:r>
          <w:rPr>
            <w:sz w:val="24"/>
            <w:szCs w:val="24"/>
            <w:u w:val="single"/>
          </w:rPr>
          <w:t xml:space="preserve">signs and </w:t>
        </w:r>
      </w:ins>
      <w:ins w:id="82" w:author="LeBoldus, Jared" w:date="2022-10-25T10:27:00Z">
        <w:r>
          <w:rPr>
            <w:sz w:val="24"/>
            <w:szCs w:val="24"/>
            <w:u w:val="single"/>
          </w:rPr>
          <w:t>symptoms</w:t>
        </w:r>
      </w:ins>
      <w:ins w:id="83" w:author="LeBoldus, Jared" w:date="2022-10-25T10:37:00Z">
        <w:r>
          <w:rPr>
            <w:sz w:val="24"/>
            <w:szCs w:val="24"/>
            <w:u w:val="single"/>
          </w:rPr>
          <w:t xml:space="preserve"> with well documented impacts on</w:t>
        </w:r>
      </w:ins>
      <w:ins w:id="84" w:author="LeBoldus, Jared" w:date="2022-10-25T15:41:00Z">
        <w:r>
          <w:rPr>
            <w:sz w:val="24"/>
            <w:szCs w:val="24"/>
            <w:u w:val="single"/>
          </w:rPr>
          <w:t xml:space="preserve"> </w:t>
        </w:r>
      </w:ins>
      <w:ins w:id="85" w:author="LeBoldus, Jared" w:date="2022-10-27T09:29:00Z">
        <w:r>
          <w:rPr>
            <w:sz w:val="24"/>
            <w:szCs w:val="24"/>
            <w:u w:val="single"/>
          </w:rPr>
          <w:t>forest ecosystems</w:t>
        </w:r>
      </w:ins>
      <w:ins w:id="86" w:author="LeBoldus, Jared" w:date="2022-10-25T10:37:00Z">
        <w:r>
          <w:rPr>
            <w:sz w:val="24"/>
            <w:szCs w:val="24"/>
            <w:u w:val="single"/>
          </w:rPr>
          <w:t xml:space="preserve"> (Hansen and Goheen</w:t>
        </w:r>
      </w:ins>
      <w:ins w:id="87" w:author="LeBoldus, Jared" w:date="2022-10-25T10:38:00Z">
        <w:r>
          <w:rPr>
            <w:sz w:val="24"/>
            <w:szCs w:val="24"/>
            <w:u w:val="single"/>
          </w:rPr>
          <w:t xml:space="preserve"> 2010)</w:t>
        </w:r>
      </w:ins>
      <w:r>
        <w:rPr>
          <w:sz w:val="24"/>
          <w:szCs w:val="24"/>
          <w:u w:val="single"/>
        </w:rPr>
        <w:t>.</w:t>
      </w:r>
    </w:p>
    <w:p>
      <w:pPr>
        <w:pStyle w:val="Normal"/>
        <w:spacing w:lineRule="auto" w:line="480"/>
        <w:ind w:firstLine="720"/>
        <w:rPr>
          <w:iCs/>
          <w:ins w:id="153" w:author="LeBoldus, Jared" w:date="2022-10-25T10:27:00Z"/>
          <w:sz w:val="24"/>
          <w:szCs w:val="24"/>
        </w:rPr>
      </w:pPr>
      <w:ins w:id="89" w:author="LeBoldus, Jared" w:date="2022-10-25T10:39:00Z">
        <w:r>
          <w:rPr>
            <w:i/>
            <w:sz w:val="24"/>
            <w:szCs w:val="24"/>
          </w:rPr>
          <w:t>C</w:t>
        </w:r>
      </w:ins>
      <w:ins w:id="90" w:author="LeBoldus, Jared" w:date="2022-10-25T10:49:00Z">
        <w:r>
          <w:rPr>
            <w:i/>
            <w:sz w:val="24"/>
            <w:szCs w:val="24"/>
          </w:rPr>
          <w:t>oniferiporia</w:t>
        </w:r>
      </w:ins>
      <w:ins w:id="91" w:author="LeBoldus, Jared" w:date="2022-10-25T10:39:00Z">
        <w:r>
          <w:rPr>
            <w:i/>
            <w:sz w:val="24"/>
            <w:szCs w:val="24"/>
          </w:rPr>
          <w:t xml:space="preserve"> sulphurascens </w:t>
        </w:r>
      </w:ins>
      <w:ins w:id="92" w:author="LeBoldus, Jared" w:date="2022-10-25T10:39:00Z">
        <w:r>
          <w:rPr>
            <w:iCs/>
            <w:sz w:val="24"/>
            <w:szCs w:val="24"/>
          </w:rPr>
          <w:t>spreads between trees</w:t>
        </w:r>
      </w:ins>
      <w:ins w:id="93" w:author="LeBoldus, Jared" w:date="2022-10-25T15:31:00Z">
        <w:r>
          <w:rPr>
            <w:iCs/>
            <w:sz w:val="24"/>
            <w:szCs w:val="24"/>
          </w:rPr>
          <w:t>,</w:t>
        </w:r>
      </w:ins>
      <w:ins w:id="94" w:author="LeBoldus, Jared" w:date="2022-10-25T15:27:00Z">
        <w:r>
          <w:rPr>
            <w:iCs/>
            <w:sz w:val="24"/>
            <w:szCs w:val="24"/>
          </w:rPr>
          <w:t xml:space="preserve"> acros</w:t>
        </w:r>
      </w:ins>
      <w:ins w:id="95" w:author="LeBoldus, Jared" w:date="2022-10-25T15:28:00Z">
        <w:r>
          <w:rPr>
            <w:iCs/>
            <w:sz w:val="24"/>
            <w:szCs w:val="24"/>
          </w:rPr>
          <w:t>s root contacts</w:t>
        </w:r>
      </w:ins>
      <w:ins w:id="96" w:author="LeBoldus, Jared" w:date="2022-10-25T15:31:00Z">
        <w:r>
          <w:rPr>
            <w:iCs/>
            <w:sz w:val="24"/>
            <w:szCs w:val="24"/>
          </w:rPr>
          <w:t>,</w:t>
        </w:r>
      </w:ins>
      <w:ins w:id="97" w:author="LeBoldus, Jared" w:date="2022-10-25T10:39:00Z">
        <w:r>
          <w:rPr>
            <w:iCs/>
            <w:sz w:val="24"/>
            <w:szCs w:val="24"/>
          </w:rPr>
          <w:t xml:space="preserve"> as ectotrophic mycelia. It penetrates </w:t>
        </w:r>
      </w:ins>
      <w:ins w:id="98" w:author="LeBoldus, Jared" w:date="2022-10-25T10:40:00Z">
        <w:r>
          <w:rPr>
            <w:iCs/>
            <w:sz w:val="24"/>
            <w:szCs w:val="24"/>
          </w:rPr>
          <w:t>roots</w:t>
        </w:r>
      </w:ins>
      <w:ins w:id="99" w:author="LeBoldus, Jared" w:date="2022-10-25T10:39:00Z">
        <w:r>
          <w:rPr>
            <w:iCs/>
            <w:sz w:val="24"/>
            <w:szCs w:val="24"/>
          </w:rPr>
          <w:t xml:space="preserve"> through intact bark where it kills the ph</w:t>
        </w:r>
      </w:ins>
      <w:ins w:id="100" w:author="LeBoldus, Jared" w:date="2022-10-25T10:40:00Z">
        <w:r>
          <w:rPr>
            <w:iCs/>
            <w:sz w:val="24"/>
            <w:szCs w:val="24"/>
          </w:rPr>
          <w:t>l</w:t>
        </w:r>
      </w:ins>
      <w:ins w:id="101" w:author="LeBoldus, Jared" w:date="2022-10-25T10:39:00Z">
        <w:r>
          <w:rPr>
            <w:iCs/>
            <w:sz w:val="24"/>
            <w:szCs w:val="24"/>
          </w:rPr>
          <w:t xml:space="preserve">oem and </w:t>
        </w:r>
      </w:ins>
      <w:ins w:id="102" w:author="LeBoldus, Jared" w:date="2022-10-25T10:40:00Z">
        <w:r>
          <w:rPr>
            <w:iCs/>
            <w:sz w:val="24"/>
            <w:szCs w:val="24"/>
          </w:rPr>
          <w:t>cambium, initiating decay i</w:t>
        </w:r>
      </w:ins>
      <w:ins w:id="103" w:author="LeBoldus, Jared" w:date="2022-10-25T10:41:00Z">
        <w:r>
          <w:rPr>
            <w:iCs/>
            <w:sz w:val="24"/>
            <w:szCs w:val="24"/>
          </w:rPr>
          <w:t>n the xyelm (</w:t>
        </w:r>
      </w:ins>
      <w:ins w:id="104" w:author="Shawn McMurtrey" w:date="2022-11-08T08:51:00Z">
        <w:r>
          <w:rPr/>
          <w:t xml:space="preserve">Thies 1983; </w:t>
        </w:r>
      </w:ins>
      <w:r>
        <w:rPr/>
        <w:t>Wallis and Reynolds 1965)</w:t>
      </w:r>
      <w:ins w:id="105" w:author="LeBoldus, Jared" w:date="2022-10-25T10:42:00Z">
        <w:r>
          <w:rPr/>
          <w:t>. Both lignin and cellulose are decayed</w:t>
        </w:r>
      </w:ins>
      <w:ins w:id="106" w:author="LeBoldus, Jared" w:date="2022-10-25T10:50:00Z">
        <w:r>
          <w:rPr/>
          <w:t xml:space="preserve">; however, the fungus preferentially </w:t>
        </w:r>
      </w:ins>
      <w:ins w:id="107" w:author="LeBoldus, Jared" w:date="2022-10-25T15:42:00Z">
        <w:r>
          <w:rPr/>
          <w:t>utilizes</w:t>
        </w:r>
      </w:ins>
      <w:ins w:id="108" w:author="LeBoldus, Jared" w:date="2022-10-25T10:50:00Z">
        <w:r>
          <w:rPr/>
          <w:t xml:space="preserve"> early wood leading to a characteristic laminated patter</w:t>
        </w:r>
      </w:ins>
      <w:ins w:id="109" w:author="LeBoldus, Jared" w:date="2022-10-25T10:56:00Z">
        <w:r>
          <w:rPr/>
          <w:t>n</w:t>
        </w:r>
      </w:ins>
      <w:ins w:id="110" w:author="LeBoldus, Jared" w:date="2022-10-25T10:50:00Z">
        <w:r>
          <w:rPr/>
          <w:t xml:space="preserve"> of advanced decay (</w:t>
        </w:r>
      </w:ins>
      <w:r>
        <w:rPr/>
        <w:t>Lewis 2013; Blanchette 1980</w:t>
      </w:r>
      <w:ins w:id="111" w:author="LeBoldus, Jared" w:date="2022-10-25T10:51:00Z">
        <w:r>
          <w:rPr/>
          <w:t>)</w:t>
        </w:r>
      </w:ins>
      <w:ins w:id="112" w:author="LeBoldus, Jared" w:date="2022-10-25T10:50:00Z">
        <w:r>
          <w:rPr/>
          <w:t>.</w:t>
        </w:r>
      </w:ins>
      <w:ins w:id="113" w:author="LeBoldus, Jared" w:date="2022-10-25T10:42:00Z">
        <w:r>
          <w:rPr/>
          <w:t xml:space="preserve"> Infected trees may take several years to die, declining slowly overtime</w:t>
        </w:r>
      </w:ins>
      <w:ins w:id="114" w:author="LeBoldus, Jared" w:date="2022-10-25T10:44:00Z">
        <w:r>
          <w:rPr/>
          <w:t xml:space="preserve"> (Wallis and Reynolds 1965)</w:t>
        </w:r>
      </w:ins>
      <w:ins w:id="115" w:author="LeBoldus, Jared" w:date="2022-10-25T10:43:00Z">
        <w:r>
          <w:rPr/>
          <w:t>.</w:t>
        </w:r>
      </w:ins>
      <w:ins w:id="116" w:author="LeBoldus, Jared" w:date="2022-10-25T10:40:00Z">
        <w:r>
          <w:rPr>
            <w:iCs/>
            <w:sz w:val="24"/>
            <w:szCs w:val="24"/>
          </w:rPr>
          <w:t xml:space="preserve"> </w:t>
        </w:r>
      </w:ins>
      <w:ins w:id="117" w:author="LeBoldus, Jared" w:date="2022-10-25T10:45:00Z">
        <w:r>
          <w:rPr>
            <w:iCs/>
            <w:sz w:val="24"/>
            <w:szCs w:val="24"/>
          </w:rPr>
          <w:t>Trees eventually fall over when the supporting root system becomes sufficiently weakened</w:t>
        </w:r>
      </w:ins>
      <w:ins w:id="118" w:author="LeBoldus, Jared" w:date="2022-10-25T11:06:00Z">
        <w:r>
          <w:rPr>
            <w:iCs/>
            <w:sz w:val="24"/>
            <w:szCs w:val="24"/>
          </w:rPr>
          <w:t xml:space="preserve">, but usually </w:t>
        </w:r>
      </w:ins>
      <w:ins w:id="119" w:author="LeBoldus, Jared" w:date="2022-10-25T11:18:00Z">
        <w:r>
          <w:rPr>
            <w:iCs/>
            <w:sz w:val="24"/>
            <w:szCs w:val="24"/>
          </w:rPr>
          <w:t>have</w:t>
        </w:r>
      </w:ins>
      <w:ins w:id="120" w:author="LeBoldus, Jared" w:date="2022-10-25T11:06:00Z">
        <w:r>
          <w:rPr>
            <w:iCs/>
            <w:sz w:val="24"/>
            <w:szCs w:val="24"/>
          </w:rPr>
          <w:t xml:space="preserve"> green </w:t>
        </w:r>
      </w:ins>
      <w:ins w:id="121" w:author="LeBoldus, Jared" w:date="2022-10-25T11:08:00Z">
        <w:r>
          <w:rPr>
            <w:iCs/>
            <w:sz w:val="24"/>
            <w:szCs w:val="24"/>
          </w:rPr>
          <w:t>crowns.</w:t>
        </w:r>
      </w:ins>
      <w:ins w:id="122" w:author="LeBoldus, Jared" w:date="2022-10-25T10:57:00Z">
        <w:r>
          <w:rPr>
            <w:iCs/>
            <w:sz w:val="24"/>
            <w:szCs w:val="24"/>
          </w:rPr>
          <w:t xml:space="preserve"> </w:t>
        </w:r>
      </w:ins>
      <w:ins w:id="123" w:author="LeBoldus, Jared" w:date="2022-10-25T11:07:00Z">
        <w:r>
          <w:rPr>
            <w:iCs/>
            <w:sz w:val="24"/>
            <w:szCs w:val="24"/>
          </w:rPr>
          <w:t>Large trees can have extensive decay columns in the lower</w:t>
        </w:r>
      </w:ins>
      <w:r>
        <w:rPr>
          <w:iCs/>
          <w:sz w:val="24"/>
          <w:szCs w:val="24"/>
        </w:rPr>
        <w:t xml:space="preserve"> stem. The decay is usually less than 1 meter up the bole </w:t>
      </w:r>
      <w:r>
        <w:rPr/>
        <w:t>but may extend up to 4 meters (Thies and Sturrok 1995).</w:t>
      </w:r>
      <w:r>
        <w:rPr>
          <w:iCs/>
          <w:sz w:val="24"/>
          <w:szCs w:val="24"/>
        </w:rPr>
        <w:t xml:space="preserve"> </w:t>
      </w:r>
      <w:ins w:id="124" w:author="LeBoldus, Jared" w:date="2022-10-25T15:43:00Z">
        <w:r>
          <w:rPr>
            <w:iCs/>
            <w:sz w:val="24"/>
            <w:szCs w:val="24"/>
          </w:rPr>
          <w:t>As the fung</w:t>
        </w:r>
      </w:ins>
      <w:ins w:id="125" w:author="LeBoldus, Jared" w:date="2022-10-27T09:29:00Z">
        <w:r>
          <w:rPr>
            <w:iCs/>
            <w:sz w:val="24"/>
            <w:szCs w:val="24"/>
          </w:rPr>
          <w:t>u</w:t>
        </w:r>
      </w:ins>
      <w:ins w:id="126" w:author="LeBoldus, Jared" w:date="2022-10-25T15:43:00Z">
        <w:r>
          <w:rPr>
            <w:iCs/>
            <w:sz w:val="24"/>
            <w:szCs w:val="24"/>
          </w:rPr>
          <w:t>s spreads from tree to tree</w:t>
        </w:r>
      </w:ins>
      <w:ins w:id="127" w:author="LeBoldus, Jared" w:date="2022-10-25T10:57:00Z">
        <w:r>
          <w:rPr>
            <w:iCs/>
            <w:sz w:val="24"/>
            <w:szCs w:val="24"/>
          </w:rPr>
          <w:t xml:space="preserve"> </w:t>
        </w:r>
      </w:ins>
      <w:ins w:id="128" w:author="LeBoldus, Jared" w:date="2022-10-25T15:43:00Z">
        <w:r>
          <w:rPr>
            <w:iCs/>
            <w:sz w:val="24"/>
            <w:szCs w:val="24"/>
          </w:rPr>
          <w:t>t</w:t>
        </w:r>
      </w:ins>
      <w:ins w:id="129" w:author="LeBoldus, Jared" w:date="2022-10-25T10:45:00Z">
        <w:r>
          <w:rPr>
            <w:iCs/>
            <w:sz w:val="24"/>
            <w:szCs w:val="24"/>
          </w:rPr>
          <w:t>he mortality front</w:t>
        </w:r>
      </w:ins>
      <w:ins w:id="130" w:author="LeBoldus, Jared" w:date="2022-10-25T15:43:00Z">
        <w:r>
          <w:rPr>
            <w:iCs/>
            <w:sz w:val="24"/>
            <w:szCs w:val="24"/>
          </w:rPr>
          <w:t xml:space="preserve"> typically</w:t>
        </w:r>
      </w:ins>
      <w:ins w:id="131" w:author="LeBoldus, Jared" w:date="2022-10-25T10:45:00Z">
        <w:r>
          <w:rPr>
            <w:iCs/>
            <w:sz w:val="24"/>
            <w:szCs w:val="24"/>
          </w:rPr>
          <w:t xml:space="preserve"> </w:t>
        </w:r>
      </w:ins>
      <w:ins w:id="132" w:author="LeBoldus, Jared" w:date="2022-10-25T10:46:00Z">
        <w:r>
          <w:rPr>
            <w:iCs/>
            <w:sz w:val="24"/>
            <w:szCs w:val="24"/>
          </w:rPr>
          <w:t>advanc</w:t>
        </w:r>
      </w:ins>
      <w:ins w:id="133" w:author="LeBoldus, Jared" w:date="2022-10-25T15:31:00Z">
        <w:r>
          <w:rPr>
            <w:iCs/>
            <w:sz w:val="24"/>
            <w:szCs w:val="24"/>
          </w:rPr>
          <w:t>es</w:t>
        </w:r>
      </w:ins>
      <w:ins w:id="134" w:author="LeBoldus, Jared" w:date="2022-10-25T10:46:00Z">
        <w:r>
          <w:rPr>
            <w:iCs/>
            <w:sz w:val="24"/>
            <w:szCs w:val="24"/>
          </w:rPr>
          <w:t xml:space="preserve"> </w:t>
        </w:r>
      </w:ins>
      <w:ins w:id="135" w:author="LeBoldus, Jared" w:date="2022-10-25T15:43:00Z">
        <w:r>
          <w:rPr>
            <w:iCs/>
            <w:sz w:val="24"/>
            <w:szCs w:val="24"/>
          </w:rPr>
          <w:t>a</w:t>
        </w:r>
      </w:ins>
      <w:ins w:id="136" w:author="LeBoldus, Jared" w:date="2022-10-25T11:13:00Z">
        <w:r>
          <w:rPr>
            <w:iCs/>
            <w:sz w:val="24"/>
            <w:szCs w:val="24"/>
          </w:rPr>
          <w:t>n average</w:t>
        </w:r>
      </w:ins>
      <w:ins w:id="137" w:author="LeBoldus, Jared" w:date="2022-10-25T15:43:00Z">
        <w:r>
          <w:rPr>
            <w:iCs/>
            <w:sz w:val="24"/>
            <w:szCs w:val="24"/>
          </w:rPr>
          <w:t xml:space="preserve"> of</w:t>
        </w:r>
      </w:ins>
      <w:ins w:id="138" w:author="LeBoldus, Jared" w:date="2022-10-25T10:46:00Z">
        <w:r>
          <w:rPr>
            <w:iCs/>
            <w:sz w:val="24"/>
            <w:szCs w:val="24"/>
          </w:rPr>
          <w:t xml:space="preserve"> 30 cm a year (</w:t>
        </w:r>
      </w:ins>
      <w:r>
        <w:rPr>
          <w:color w:val="000000"/>
          <w:sz w:val="24"/>
          <w:szCs w:val="24"/>
        </w:rPr>
        <w:t>Bloomberg 1985</w:t>
      </w:r>
      <w:ins w:id="139" w:author="LeBoldus, Jared" w:date="2022-10-25T10:47:00Z">
        <w:r>
          <w:rPr>
            <w:iCs/>
            <w:sz w:val="24"/>
            <w:szCs w:val="24"/>
          </w:rPr>
          <w:t>)</w:t>
        </w:r>
      </w:ins>
      <w:ins w:id="140" w:author="LeBoldus, Jared" w:date="2022-10-25T11:13:00Z">
        <w:r>
          <w:rPr>
            <w:iCs/>
            <w:sz w:val="24"/>
            <w:szCs w:val="24"/>
          </w:rPr>
          <w:t>.</w:t>
        </w:r>
      </w:ins>
      <w:ins w:id="141" w:author="LeBoldus, Jared" w:date="2022-10-25T11:14:00Z">
        <w:r>
          <w:rPr>
            <w:iCs/>
            <w:sz w:val="24"/>
            <w:szCs w:val="24"/>
          </w:rPr>
          <w:t xml:space="preserve"> </w:t>
        </w:r>
      </w:ins>
      <w:ins w:id="142" w:author="LeBoldus, Jared" w:date="2022-10-25T11:18:00Z">
        <w:r>
          <w:rPr>
            <w:iCs/>
            <w:sz w:val="24"/>
            <w:szCs w:val="24"/>
          </w:rPr>
          <w:t>Mortality increases in Douglas-fir stands from 30 – 150 years in age resulting in the development of root disease pocket</w:t>
        </w:r>
      </w:ins>
      <w:ins w:id="143" w:author="LeBoldus, Jared" w:date="2022-10-27T09:01:00Z">
        <w:r>
          <w:rPr>
            <w:iCs/>
            <w:sz w:val="24"/>
            <w:szCs w:val="24"/>
          </w:rPr>
          <w:t>s</w:t>
        </w:r>
      </w:ins>
      <w:r>
        <w:rPr>
          <w:iCs/>
          <w:sz w:val="24"/>
          <w:szCs w:val="24"/>
        </w:rPr>
        <w:t xml:space="preserve"> (Childs 1970)</w:t>
      </w:r>
      <w:ins w:id="144" w:author="LeBoldus, Jared" w:date="2022-10-25T11:18:00Z">
        <w:r>
          <w:rPr>
            <w:iCs/>
            <w:sz w:val="24"/>
            <w:szCs w:val="24"/>
          </w:rPr>
          <w:t xml:space="preserve">. The development of these </w:t>
        </w:r>
      </w:ins>
      <w:ins w:id="145" w:author="LeBoldus, Jared" w:date="2022-10-25T11:19:00Z">
        <w:r>
          <w:rPr>
            <w:iCs/>
            <w:sz w:val="24"/>
            <w:szCs w:val="24"/>
          </w:rPr>
          <w:t>pockets</w:t>
        </w:r>
      </w:ins>
      <w:ins w:id="146" w:author="LeBoldus, Jared" w:date="2022-10-25T11:14:00Z">
        <w:r>
          <w:rPr>
            <w:iCs/>
            <w:sz w:val="24"/>
            <w:szCs w:val="24"/>
          </w:rPr>
          <w:t xml:space="preserve"> is typically uneven resulting from the distribution of susceptible trees,</w:t>
        </w:r>
      </w:ins>
      <w:ins w:id="147" w:author="LeBoldus, Jared" w:date="2022-10-25T11:15:00Z">
        <w:r>
          <w:rPr>
            <w:iCs/>
            <w:sz w:val="24"/>
            <w:szCs w:val="24"/>
          </w:rPr>
          <w:t xml:space="preserve"> and the sporadic nature of windthrow and bark beetle outbreaks</w:t>
        </w:r>
      </w:ins>
      <w:ins w:id="148" w:author="LeBoldus, Jared" w:date="2022-10-25T11:19:00Z">
        <w:r>
          <w:rPr>
            <w:iCs/>
            <w:sz w:val="24"/>
            <w:szCs w:val="24"/>
          </w:rPr>
          <w:t>,</w:t>
        </w:r>
      </w:ins>
      <w:ins w:id="149" w:author="LeBoldus, Jared" w:date="2022-10-25T11:16:00Z">
        <w:r>
          <w:rPr>
            <w:iCs/>
            <w:sz w:val="24"/>
            <w:szCs w:val="24"/>
          </w:rPr>
          <w:t xml:space="preserve"> killing and toppling trees</w:t>
        </w:r>
      </w:ins>
      <w:ins w:id="150" w:author="LeBoldus, Jared" w:date="2022-10-25T15:32:00Z">
        <w:r>
          <w:rPr>
            <w:iCs/>
            <w:sz w:val="24"/>
            <w:szCs w:val="24"/>
          </w:rPr>
          <w:t xml:space="preserve"> as the root disease pocket expands</w:t>
        </w:r>
      </w:ins>
      <w:ins w:id="151" w:author="LeBoldus, Jared" w:date="2022-10-25T11:16:00Z">
        <w:r>
          <w:rPr>
            <w:iCs/>
            <w:sz w:val="24"/>
            <w:szCs w:val="24"/>
          </w:rPr>
          <w:t>.</w:t>
        </w:r>
      </w:ins>
      <w:ins w:id="152" w:author="LeBoldus, Jared" w:date="2022-10-25T11:15:00Z">
        <w:r>
          <w:rPr>
            <w:iCs/>
            <w:sz w:val="24"/>
            <w:szCs w:val="24"/>
          </w:rPr>
          <w:t xml:space="preserve"> </w:t>
        </w:r>
      </w:ins>
    </w:p>
    <w:p>
      <w:pPr>
        <w:pStyle w:val="Normal"/>
        <w:spacing w:lineRule="auto" w:line="480"/>
        <w:ind w:firstLine="720"/>
        <w:rPr>
          <w:sz w:val="24"/>
          <w:szCs w:val="24"/>
        </w:rPr>
      </w:pPr>
      <w:del w:id="154" w:author="LeBoldus, Jared" w:date="2022-10-25T10:21:00Z">
        <w:r>
          <w:rPr>
            <w:sz w:val="24"/>
            <w:szCs w:val="24"/>
            <w:u w:val="single"/>
          </w:rPr>
          <w:delText xml:space="preserve">Coniferiporia sulphurascens is one of the most damaging root rot pathogens affecting Douglas-fir within North America </w:delText>
        </w:r>
      </w:del>
      <w:del w:id="155" w:author="LeBoldus, Jared" w:date="2022-10-25T10:21:00Z">
        <w:r>
          <w:rPr>
            <w:sz w:val="24"/>
            <w:szCs w:val="24"/>
            <w:highlight w:val="white"/>
            <w:u w:val="single"/>
          </w:rPr>
          <w:delText>(Leal 2019)</w:delText>
        </w:r>
      </w:del>
      <w:del w:id="156" w:author="LeBoldus, Jared" w:date="2022-10-25T10:21:00Z">
        <w:r>
          <w:rPr>
            <w:sz w:val="24"/>
            <w:szCs w:val="24"/>
            <w:u w:val="single"/>
          </w:rPr>
          <w:delText xml:space="preserve">. </w:delText>
        </w:r>
      </w:del>
      <w:del w:id="157" w:author="LeBoldus, Jared" w:date="2022-10-25T10:23:00Z">
        <w:r>
          <w:rPr>
            <w:sz w:val="24"/>
            <w:szCs w:val="24"/>
            <w:u w:val="single"/>
          </w:rPr>
          <w:delText>It</w:delText>
        </w:r>
      </w:del>
      <w:ins w:id="158" w:author="LeBoldus, Jared" w:date="2022-10-25T10:23:00Z">
        <w:r>
          <w:rPr>
            <w:sz w:val="24"/>
            <w:szCs w:val="24"/>
            <w:u w:val="none"/>
          </w:rPr>
          <w:t>Laminated root rot</w:t>
        </w:r>
      </w:ins>
      <w:r>
        <w:rPr>
          <w:sz w:val="24"/>
          <w:szCs w:val="24"/>
          <w:u w:val="none"/>
        </w:rPr>
        <w:t xml:space="preserve"> </w:t>
      </w:r>
      <w:r>
        <w:rPr>
          <w:sz w:val="24"/>
          <w:szCs w:val="24"/>
        </w:rPr>
        <w:t xml:space="preserve">is </w:t>
      </w:r>
      <w:ins w:id="159" w:author="LeBoldus, Jared" w:date="2022-10-25T10:23:00Z">
        <w:r>
          <w:rPr>
            <w:sz w:val="24"/>
            <w:szCs w:val="24"/>
          </w:rPr>
          <w:t>poten</w:t>
        </w:r>
      </w:ins>
      <w:ins w:id="160" w:author="LeBoldus, Jared" w:date="2022-10-25T10:25:00Z">
        <w:r>
          <w:rPr>
            <w:sz w:val="24"/>
            <w:szCs w:val="24"/>
          </w:rPr>
          <w:t>t</w:t>
        </w:r>
      </w:ins>
      <w:ins w:id="161" w:author="LeBoldus, Jared" w:date="2022-10-25T10:23:00Z">
        <w:r>
          <w:rPr>
            <w:sz w:val="24"/>
            <w:szCs w:val="24"/>
          </w:rPr>
          <w:t xml:space="preserve">ially </w:t>
        </w:r>
      </w:ins>
      <w:del w:id="162" w:author="LeBoldus, Jared" w:date="2022-10-25T10:23:00Z">
        <w:r>
          <w:rPr>
            <w:sz w:val="24"/>
            <w:szCs w:val="24"/>
          </w:rPr>
          <w:delText xml:space="preserve">likely </w:delText>
        </w:r>
      </w:del>
      <w:r>
        <w:rPr>
          <w:sz w:val="24"/>
          <w:szCs w:val="24"/>
        </w:rPr>
        <w:t>the most</w:t>
      </w:r>
      <w:ins w:id="163" w:author="LeBoldus, Jared" w:date="2022-10-25T15:32:00Z">
        <w:r>
          <w:rPr>
            <w:sz w:val="24"/>
            <w:szCs w:val="24"/>
          </w:rPr>
          <w:t xml:space="preserve"> ecologically</w:t>
        </w:r>
      </w:ins>
      <w:ins w:id="164" w:author="LeBoldus, Jared" w:date="2022-10-25T15:57:00Z">
        <w:r>
          <w:rPr>
            <w:sz w:val="24"/>
            <w:szCs w:val="24"/>
          </w:rPr>
          <w:t xml:space="preserve"> and eco</w:t>
        </w:r>
      </w:ins>
      <w:ins w:id="165" w:author="LeBoldus, Jared" w:date="2022-10-27T09:30:00Z">
        <w:r>
          <w:rPr>
            <w:sz w:val="24"/>
            <w:szCs w:val="24"/>
          </w:rPr>
          <w:t>n</w:t>
        </w:r>
      </w:ins>
      <w:ins w:id="166" w:author="LeBoldus, Jared" w:date="2022-10-25T15:57:00Z">
        <w:r>
          <w:rPr>
            <w:sz w:val="24"/>
            <w:szCs w:val="24"/>
          </w:rPr>
          <w:t>omicaly</w:t>
        </w:r>
      </w:ins>
      <w:r>
        <w:rPr>
          <w:sz w:val="24"/>
          <w:szCs w:val="24"/>
        </w:rPr>
        <w:t xml:space="preserve"> important</w:t>
      </w:r>
      <w:ins w:id="167" w:author="LeBoldus, Jared" w:date="2022-10-25T15:32:00Z">
        <w:r>
          <w:rPr>
            <w:sz w:val="24"/>
            <w:szCs w:val="24"/>
          </w:rPr>
          <w:t xml:space="preserve"> disease </w:t>
        </w:r>
      </w:ins>
      <w:ins w:id="168" w:author="LeBoldus, Jared" w:date="2022-10-25T15:33:00Z">
        <w:r>
          <w:rPr>
            <w:sz w:val="24"/>
            <w:szCs w:val="24"/>
          </w:rPr>
          <w:t xml:space="preserve">of mixed conifer forests </w:t>
        </w:r>
      </w:ins>
      <w:ins w:id="169" w:author="LeBoldus, Jared" w:date="2022-10-25T15:34:00Z">
        <w:r>
          <w:rPr>
            <w:sz w:val="24"/>
            <w:szCs w:val="24"/>
          </w:rPr>
          <w:t xml:space="preserve">on the west coast of North America </w:t>
        </w:r>
      </w:ins>
      <w:del w:id="170" w:author="LeBoldus, Jared" w:date="2022-10-25T15:34:00Z">
        <w:r>
          <w:rPr>
            <w:sz w:val="24"/>
            <w:szCs w:val="24"/>
          </w:rPr>
          <w:delText xml:space="preserve"> coastal forest </w:delText>
        </w:r>
      </w:del>
      <w:del w:id="171" w:author="LeBoldus, Jared" w:date="2022-10-25T15:33:00Z">
        <w:r>
          <w:rPr>
            <w:sz w:val="24"/>
            <w:szCs w:val="24"/>
          </w:rPr>
          <w:delText xml:space="preserve">tree disease </w:delText>
        </w:r>
      </w:del>
      <w:del w:id="172" w:author="LeBoldus, Jared" w:date="2022-10-25T15:34:00Z">
        <w:r>
          <w:rPr>
            <w:sz w:val="24"/>
            <w:szCs w:val="24"/>
          </w:rPr>
          <w:delText xml:space="preserve">in the Pacific Northwest </w:delText>
        </w:r>
      </w:del>
      <w:del w:id="173" w:author="LeBoldus, Jared" w:date="2022-10-25T10:23:00Z">
        <w:r>
          <w:rPr>
            <w:sz w:val="24"/>
            <w:szCs w:val="24"/>
          </w:rPr>
          <w:delText>and has</w:delText>
        </w:r>
      </w:del>
      <w:del w:id="174" w:author="LeBoldus, Jared" w:date="2022-10-25T15:34:00Z">
        <w:r>
          <w:rPr>
            <w:sz w:val="24"/>
            <w:szCs w:val="24"/>
          </w:rPr>
          <w:delText xml:space="preserve"> significant </w:delText>
        </w:r>
      </w:del>
      <w:del w:id="175" w:author="LeBoldus, Jared" w:date="2022-10-25T10:23:00Z">
        <w:r>
          <w:rPr>
            <w:sz w:val="24"/>
            <w:szCs w:val="24"/>
          </w:rPr>
          <w:delText xml:space="preserve">effects </w:delText>
        </w:r>
      </w:del>
      <w:del w:id="176" w:author="LeBoldus, Jared" w:date="2022-10-25T15:34:00Z">
        <w:r>
          <w:rPr>
            <w:sz w:val="24"/>
            <w:szCs w:val="24"/>
          </w:rPr>
          <w:delText xml:space="preserve">on </w:delText>
        </w:r>
      </w:del>
      <w:del w:id="177" w:author="LeBoldus, Jared" w:date="2022-10-25T11:20:00Z">
        <w:r>
          <w:rPr>
            <w:sz w:val="24"/>
            <w:szCs w:val="24"/>
          </w:rPr>
          <w:delText>inland forests</w:delText>
        </w:r>
      </w:del>
      <w:r>
        <w:rPr>
          <w:sz w:val="24"/>
          <w:szCs w:val="24"/>
        </w:rPr>
        <w:t xml:space="preserve"> </w:t>
      </w:r>
      <w:del w:id="178" w:author="LeBoldus, Jared" w:date="2022-10-25T10:24:00Z">
        <w:r>
          <w:rPr>
            <w:sz w:val="24"/>
            <w:szCs w:val="24"/>
          </w:rPr>
          <w:delText xml:space="preserve">as well </w:delText>
        </w:r>
      </w:del>
      <w:r>
        <w:rPr>
          <w:sz w:val="24"/>
          <w:szCs w:val="24"/>
          <w:highlight w:val="white"/>
        </w:rPr>
        <w:t>(Goheen and Otrosina, 1998; Hadfield, 1985; Hadfield et al.1986; Hagle et al.1987; Nelson et al.1981; Scharpf, 1993; Thies, 1984; Thies and Sturrock, 1995; Wallis, 1976).</w:t>
      </w:r>
      <w:r>
        <w:rPr>
          <w:sz w:val="24"/>
          <w:szCs w:val="24"/>
        </w:rPr>
        <w:t xml:space="preserve"> </w:t>
      </w:r>
      <w:ins w:id="179" w:author="LeBoldus, Jared" w:date="2022-10-25T15:35:00Z">
        <w:r>
          <w:rPr>
            <w:sz w:val="24"/>
            <w:szCs w:val="24"/>
          </w:rPr>
          <w:t xml:space="preserve">This disease has significant impacts on </w:t>
        </w:r>
      </w:ins>
      <w:ins w:id="180" w:author="LeBoldus, Jared" w:date="2022-10-25T15:36:00Z">
        <w:r>
          <w:rPr>
            <w:sz w:val="24"/>
            <w:szCs w:val="24"/>
          </w:rPr>
          <w:t>species composition, biodiversity, nut</w:t>
        </w:r>
      </w:ins>
      <w:ins w:id="181" w:author="LeBoldus, Jared" w:date="2022-10-25T15:37:00Z">
        <w:r>
          <w:rPr>
            <w:sz w:val="24"/>
            <w:szCs w:val="24"/>
          </w:rPr>
          <w:t>rient cycling</w:t>
        </w:r>
      </w:ins>
      <w:ins w:id="182" w:author="LeBoldus, Jared" w:date="2022-10-25T15:58:00Z">
        <w:r>
          <w:rPr>
            <w:sz w:val="24"/>
            <w:szCs w:val="24"/>
          </w:rPr>
          <w:t>, and timber harvest</w:t>
        </w:r>
      </w:ins>
      <w:ins w:id="183" w:author="LeBoldus, Jared" w:date="2022-10-25T15:37:00Z">
        <w:r>
          <w:rPr>
            <w:sz w:val="24"/>
            <w:szCs w:val="24"/>
          </w:rPr>
          <w:t xml:space="preserve"> </w:t>
        </w:r>
      </w:ins>
      <w:r>
        <w:rPr>
          <w:sz w:val="24"/>
          <w:szCs w:val="24"/>
        </w:rPr>
        <w:t>(Boyce and Wagg 1953; Cook et al. 2013).</w:t>
      </w:r>
      <w:ins w:id="184" w:author="LeBoldus, Jared" w:date="2022-10-25T15:37:00Z">
        <w:r>
          <w:rPr>
            <w:sz w:val="24"/>
            <w:szCs w:val="24"/>
          </w:rPr>
          <w:t xml:space="preserve"> </w:t>
        </w:r>
      </w:ins>
      <w:ins w:id="185" w:author="LeBoldus, Jared" w:date="2022-10-25T15:52:00Z">
        <w:r>
          <w:rPr>
            <w:sz w:val="24"/>
            <w:szCs w:val="24"/>
          </w:rPr>
          <w:t>Th</w:t>
        </w:r>
      </w:ins>
      <w:ins w:id="186" w:author="LeBoldus, Jared" w:date="2022-10-27T09:30:00Z">
        <w:r>
          <w:rPr>
            <w:sz w:val="24"/>
            <w:szCs w:val="24"/>
          </w:rPr>
          <w:t>e presence of this</w:t>
        </w:r>
      </w:ins>
      <w:ins w:id="187" w:author="LeBoldus, Jared" w:date="2022-10-25T15:52:00Z">
        <w:r>
          <w:rPr>
            <w:sz w:val="24"/>
            <w:szCs w:val="24"/>
          </w:rPr>
          <w:t xml:space="preserve"> disease </w:t>
        </w:r>
      </w:ins>
      <w:ins w:id="188" w:author="LeBoldus, Jared" w:date="2022-10-27T09:02:00Z">
        <w:r>
          <w:rPr>
            <w:sz w:val="24"/>
            <w:szCs w:val="24"/>
          </w:rPr>
          <w:t xml:space="preserve">in most </w:t>
        </w:r>
      </w:ins>
      <w:ins w:id="189" w:author="LeBoldus, Jared" w:date="2022-10-27T09:31:00Z">
        <w:r>
          <w:rPr>
            <w:sz w:val="24"/>
            <w:szCs w:val="24"/>
          </w:rPr>
          <w:t>western forests is well documented</w:t>
        </w:r>
      </w:ins>
      <w:ins w:id="190" w:author="LeBoldus, Jared" w:date="2022-10-25T15:53:00Z">
        <w:r>
          <w:rPr>
            <w:sz w:val="24"/>
            <w:szCs w:val="24"/>
          </w:rPr>
          <w:t xml:space="preserve">. For example, </w:t>
        </w:r>
      </w:ins>
      <w:ins w:id="191" w:author="LeBoldus, Jared" w:date="2022-10-25T15:53:00Z">
        <w:r>
          <w:rPr>
            <w:sz w:val="25"/>
            <w:szCs w:val="25"/>
          </w:rPr>
          <w:t>i</w:t>
        </w:r>
      </w:ins>
      <w:ins w:id="192" w:author="LeBoldus, Jared" w:date="2022-10-25T15:52:00Z">
        <w:r>
          <w:rPr>
            <w:sz w:val="25"/>
            <w:szCs w:val="25"/>
          </w:rPr>
          <w:t>n British Columbia, more</w:t>
        </w:r>
      </w:ins>
      <w:ins w:id="193" w:author="LeBoldus, Jared" w:date="2022-10-25T15:53:00Z">
        <w:r>
          <w:rPr/>
          <w:t xml:space="preserve"> </w:t>
        </w:r>
      </w:ins>
      <w:ins w:id="194" w:author="LeBoldus, Jared" w:date="2022-10-25T15:52:00Z">
        <w:r>
          <w:rPr>
            <w:sz w:val="25"/>
            <w:szCs w:val="25"/>
          </w:rPr>
          <w:t xml:space="preserve">than 80% of the </w:t>
        </w:r>
      </w:ins>
      <w:ins w:id="195" w:author="LeBoldus, Jared" w:date="2022-10-25T15:53:00Z">
        <w:r>
          <w:rPr>
            <w:sz w:val="25"/>
            <w:szCs w:val="25"/>
          </w:rPr>
          <w:t>replanted</w:t>
        </w:r>
      </w:ins>
      <w:ins w:id="196" w:author="LeBoldus, Jared" w:date="2022-10-25T15:52:00Z">
        <w:r>
          <w:rPr>
            <w:sz w:val="25"/>
            <w:szCs w:val="25"/>
          </w:rPr>
          <w:t xml:space="preserve"> Douglas-fir </w:t>
        </w:r>
      </w:ins>
      <w:ins w:id="197" w:author="LeBoldus, Jared" w:date="2022-10-25T15:53:00Z">
        <w:r>
          <w:rPr>
            <w:sz w:val="25"/>
            <w:szCs w:val="25"/>
          </w:rPr>
          <w:t>forest</w:t>
        </w:r>
      </w:ins>
      <w:ins w:id="198" w:author="LeBoldus, Jared" w:date="2022-10-25T15:52:00Z">
        <w:r>
          <w:rPr>
            <w:sz w:val="25"/>
            <w:szCs w:val="25"/>
          </w:rPr>
          <w:t xml:space="preserve"> </w:t>
        </w:r>
      </w:ins>
      <w:ins w:id="199" w:author="LeBoldus, Jared" w:date="2022-10-25T15:53:00Z">
        <w:r>
          <w:rPr>
            <w:sz w:val="25"/>
            <w:szCs w:val="25"/>
          </w:rPr>
          <w:t>is</w:t>
        </w:r>
      </w:ins>
      <w:ins w:id="200" w:author="LeBoldus, Jared" w:date="2022-10-25T15:52:00Z">
        <w:r>
          <w:rPr>
            <w:sz w:val="25"/>
            <w:szCs w:val="25"/>
          </w:rPr>
          <w:t xml:space="preserve"> </w:t>
        </w:r>
      </w:ins>
      <w:ins w:id="201" w:author="LeBoldus, Jared" w:date="2022-10-25T15:53:00Z">
        <w:r>
          <w:rPr>
            <w:sz w:val="25"/>
            <w:szCs w:val="25"/>
          </w:rPr>
          <w:t>infe</w:t>
        </w:r>
      </w:ins>
      <w:ins w:id="202" w:author="LeBoldus, Jared" w:date="2022-10-27T09:31:00Z">
        <w:r>
          <w:rPr>
            <w:sz w:val="25"/>
            <w:szCs w:val="25"/>
          </w:rPr>
          <w:t>s</w:t>
        </w:r>
      </w:ins>
      <w:ins w:id="203" w:author="LeBoldus, Jared" w:date="2022-10-25T15:53:00Z">
        <w:r>
          <w:rPr>
            <w:sz w:val="25"/>
            <w:szCs w:val="25"/>
          </w:rPr>
          <w:t>ted with LRR</w:t>
        </w:r>
      </w:ins>
      <w:ins w:id="204" w:author="LeBoldus, Jared" w:date="2022-10-25T15:52:00Z">
        <w:r>
          <w:rPr>
            <w:sz w:val="25"/>
            <w:szCs w:val="25"/>
          </w:rPr>
          <w:t xml:space="preserve"> (</w:t>
        </w:r>
      </w:ins>
      <w:r>
        <w:rPr>
          <w:sz w:val="25"/>
          <w:szCs w:val="25"/>
        </w:rPr>
        <w:t>Hansen and Goheen 2000; Bloomberg and Reynolds 1985).</w:t>
      </w:r>
      <w:ins w:id="205" w:author="LeBoldus, Jared" w:date="2022-10-25T15:53:00Z">
        <w:r>
          <w:rPr>
            <w:sz w:val="25"/>
            <w:szCs w:val="25"/>
          </w:rPr>
          <w:t xml:space="preserve"> In s</w:t>
        </w:r>
      </w:ins>
      <w:ins w:id="206" w:author="LeBoldus, Jared" w:date="2022-10-25T15:52:00Z">
        <w:r>
          <w:rPr>
            <w:sz w:val="25"/>
            <w:szCs w:val="25"/>
          </w:rPr>
          <w:t>even large</w:t>
        </w:r>
      </w:ins>
      <w:ins w:id="207" w:author="LeBoldus, Jared" w:date="2022-10-25T15:54:00Z">
        <w:r>
          <w:rPr/>
          <w:t xml:space="preserve"> </w:t>
        </w:r>
      </w:ins>
      <w:ins w:id="208" w:author="LeBoldus, Jared" w:date="2022-10-25T15:52:00Z">
        <w:r>
          <w:rPr>
            <w:sz w:val="25"/>
            <w:szCs w:val="25"/>
          </w:rPr>
          <w:t xml:space="preserve">surveys in western Oregon, covering a total of 169,000 ha, </w:t>
        </w:r>
      </w:ins>
      <w:ins w:id="209" w:author="LeBoldus, Jared" w:date="2022-10-25T15:54:00Z">
        <w:r>
          <w:rPr>
            <w:sz w:val="25"/>
            <w:szCs w:val="25"/>
          </w:rPr>
          <w:t>on average</w:t>
        </w:r>
      </w:ins>
      <w:ins w:id="210" w:author="LeBoldus, Jared" w:date="2022-10-25T15:54:00Z">
        <w:r>
          <w:rPr/>
          <w:t xml:space="preserve"> </w:t>
        </w:r>
      </w:ins>
      <w:ins w:id="211" w:author="LeBoldus, Jared" w:date="2022-10-25T15:52:00Z">
        <w:r>
          <w:rPr>
            <w:sz w:val="25"/>
            <w:szCs w:val="25"/>
          </w:rPr>
          <w:t>8.6% (range 4.7% to 16%) of the</w:t>
        </w:r>
      </w:ins>
      <w:ins w:id="212" w:author="LeBoldus, Jared" w:date="2022-10-25T15:54:00Z">
        <w:r>
          <w:rPr>
            <w:sz w:val="25"/>
            <w:szCs w:val="25"/>
          </w:rPr>
          <w:t xml:space="preserve"> Douglas-fir plan</w:t>
        </w:r>
      </w:ins>
      <w:ins w:id="213" w:author="LeBoldus, Jared" w:date="2022-10-25T15:57:00Z">
        <w:r>
          <w:rPr>
            <w:sz w:val="25"/>
            <w:szCs w:val="25"/>
          </w:rPr>
          <w:t>t</w:t>
        </w:r>
      </w:ins>
      <w:ins w:id="214" w:author="LeBoldus, Jared" w:date="2022-10-25T15:54:00Z">
        <w:r>
          <w:rPr>
            <w:sz w:val="25"/>
            <w:szCs w:val="25"/>
          </w:rPr>
          <w:t xml:space="preserve">ations </w:t>
        </w:r>
      </w:ins>
      <w:ins w:id="215" w:author="LeBoldus, Jared" w:date="2022-10-25T15:57:00Z">
        <w:r>
          <w:rPr>
            <w:sz w:val="25"/>
            <w:szCs w:val="25"/>
          </w:rPr>
          <w:t>are</w:t>
        </w:r>
      </w:ins>
      <w:ins w:id="216" w:author="LeBoldus, Jared" w:date="2022-10-25T15:54:00Z">
        <w:r>
          <w:rPr>
            <w:sz w:val="25"/>
            <w:szCs w:val="25"/>
          </w:rPr>
          <w:t xml:space="preserve"> in</w:t>
        </w:r>
      </w:ins>
      <w:ins w:id="217" w:author="LeBoldus, Jared" w:date="2022-10-25T15:52:00Z">
        <w:r>
          <w:rPr>
            <w:sz w:val="25"/>
            <w:szCs w:val="25"/>
          </w:rPr>
          <w:t xml:space="preserve"> </w:t>
        </w:r>
      </w:ins>
      <w:ins w:id="218" w:author="LeBoldus, Jared" w:date="2022-10-25T15:57:00Z">
        <w:r>
          <w:rPr>
            <w:sz w:val="25"/>
            <w:szCs w:val="25"/>
          </w:rPr>
          <w:t>LRR</w:t>
        </w:r>
      </w:ins>
      <w:ins w:id="219" w:author="LeBoldus, Jared" w:date="2022-10-25T15:52:00Z">
        <w:r>
          <w:rPr>
            <w:sz w:val="25"/>
            <w:szCs w:val="25"/>
          </w:rPr>
          <w:t xml:space="preserve"> </w:t>
        </w:r>
      </w:ins>
      <w:ins w:id="220" w:author="LeBoldus, Jared" w:date="2022-10-25T15:55:00Z">
        <w:r>
          <w:rPr>
            <w:sz w:val="25"/>
            <w:szCs w:val="25"/>
          </w:rPr>
          <w:t>pockets</w:t>
        </w:r>
      </w:ins>
      <w:r>
        <w:rPr>
          <w:sz w:val="25"/>
          <w:szCs w:val="25"/>
        </w:rPr>
        <w:t>. A</w:t>
      </w:r>
      <w:ins w:id="221" w:author="LeBoldus, Jared" w:date="2022-10-25T15:52:00Z">
        <w:r>
          <w:rPr>
            <w:sz w:val="25"/>
            <w:szCs w:val="25"/>
          </w:rPr>
          <w:t>n average</w:t>
        </w:r>
      </w:ins>
      <w:ins w:id="222" w:author="LeBoldus, Jared" w:date="2022-10-27T09:31:00Z">
        <w:r>
          <w:rPr>
            <w:sz w:val="25"/>
            <w:szCs w:val="25"/>
          </w:rPr>
          <w:t>,</w:t>
        </w:r>
      </w:ins>
      <w:ins w:id="223" w:author="LeBoldus, Jared" w:date="2022-10-25T15:52:00Z">
        <w:r>
          <w:rPr>
            <w:sz w:val="25"/>
            <w:szCs w:val="25"/>
          </w:rPr>
          <w:t xml:space="preserve"> of 50% of the Douglas-fir trees</w:t>
        </w:r>
      </w:ins>
      <w:ins w:id="224" w:author="LeBoldus, Jared" w:date="2022-10-27T09:32:00Z">
        <w:r>
          <w:rPr>
            <w:sz w:val="25"/>
            <w:szCs w:val="25"/>
          </w:rPr>
          <w:t xml:space="preserve"> in these pockets</w:t>
        </w:r>
      </w:ins>
      <w:ins w:id="225" w:author="LeBoldus, Jared" w:date="2022-10-25T15:52:00Z">
        <w:r>
          <w:rPr>
            <w:sz w:val="25"/>
            <w:szCs w:val="25"/>
          </w:rPr>
          <w:t xml:space="preserve"> had</w:t>
        </w:r>
      </w:ins>
      <w:ins w:id="226" w:author="LeBoldus, Jared" w:date="2022-10-25T15:57:00Z">
        <w:r>
          <w:rPr/>
          <w:t xml:space="preserve"> </w:t>
        </w:r>
      </w:ins>
      <w:ins w:id="227" w:author="LeBoldus, Jared" w:date="2022-10-25T15:52:00Z">
        <w:r>
          <w:rPr>
            <w:sz w:val="25"/>
            <w:szCs w:val="25"/>
          </w:rPr>
          <w:t xml:space="preserve">been killed by </w:t>
        </w:r>
      </w:ins>
      <w:ins w:id="228" w:author="LeBoldus, Jared" w:date="2022-10-25T15:55:00Z">
        <w:r>
          <w:rPr>
            <w:i/>
            <w:iCs/>
            <w:sz w:val="25"/>
            <w:szCs w:val="25"/>
          </w:rPr>
          <w:t>C</w:t>
        </w:r>
      </w:ins>
      <w:ins w:id="229" w:author="LeBoldus, Jared" w:date="2022-10-25T15:52:00Z">
        <w:r>
          <w:rPr>
            <w:i/>
            <w:iCs/>
            <w:sz w:val="25"/>
            <w:szCs w:val="25"/>
          </w:rPr>
          <w:t xml:space="preserve">. </w:t>
        </w:r>
      </w:ins>
      <w:ins w:id="230" w:author="LeBoldus, Jared" w:date="2022-10-25T15:57:00Z">
        <w:r>
          <w:rPr>
            <w:i/>
            <w:iCs/>
            <w:sz w:val="25"/>
            <w:szCs w:val="25"/>
          </w:rPr>
          <w:t>sulphurascense</w:t>
        </w:r>
      </w:ins>
      <w:ins w:id="231" w:author="LeBoldus, Jared" w:date="2022-10-25T15:52:00Z">
        <w:r>
          <w:rPr>
            <w:i/>
            <w:iCs/>
            <w:sz w:val="25"/>
            <w:szCs w:val="25"/>
          </w:rPr>
          <w:t xml:space="preserve"> </w:t>
        </w:r>
      </w:ins>
      <w:ins w:id="232" w:author="LeBoldus, Jared" w:date="2022-10-25T15:52:00Z">
        <w:r>
          <w:rPr>
            <w:sz w:val="25"/>
            <w:szCs w:val="25"/>
          </w:rPr>
          <w:t>(</w:t>
        </w:r>
      </w:ins>
      <w:r>
        <w:rPr>
          <w:sz w:val="25"/>
          <w:szCs w:val="25"/>
        </w:rPr>
        <w:t>Goheen and Hansen 1993; Hansen and Goheen 2000</w:t>
      </w:r>
      <w:ins w:id="233" w:author="LeBoldus, Jared" w:date="2022-10-25T15:52:00Z">
        <w:r>
          <w:rPr>
            <w:sz w:val="25"/>
            <w:szCs w:val="25"/>
          </w:rPr>
          <w:t>).</w:t>
        </w:r>
      </w:ins>
      <w:ins w:id="234" w:author="LeBoldus, Jared" w:date="2022-10-25T15:55:00Z">
        <w:r>
          <w:rPr>
            <w:sz w:val="24"/>
            <w:szCs w:val="24"/>
          </w:rPr>
          <w:t xml:space="preserve"> </w:t>
        </w:r>
      </w:ins>
      <w:ins w:id="235" w:author="LeBoldus, Jared" w:date="2022-10-27T09:35:00Z">
        <w:r>
          <w:rPr>
            <w:sz w:val="24"/>
            <w:szCs w:val="24"/>
          </w:rPr>
          <w:t xml:space="preserve">While much is known about the biology of this fungus, its impact on timber volume in managed stands is unknown (Lawson </w:t>
        </w:r>
      </w:ins>
      <w:r>
        <w:rPr>
          <w:sz w:val="24"/>
          <w:szCs w:val="24"/>
        </w:rPr>
        <w:t xml:space="preserve">et al. </w:t>
      </w:r>
      <w:ins w:id="236" w:author="LeBoldus, Jared" w:date="2022-10-27T09:35:00Z">
        <w:r>
          <w:rPr>
            <w:sz w:val="24"/>
            <w:szCs w:val="24"/>
          </w:rPr>
          <w:t>1983)</w:t>
        </w:r>
      </w:ins>
      <w:ins w:id="237" w:author="LeBoldus, Jared" w:date="2022-10-27T09:35:00Z">
        <w:bookmarkStart w:id="2" w:name="move117754239"/>
        <w:bookmarkEnd w:id="2"/>
        <w:r>
          <w:rPr>
            <w:sz w:val="24"/>
            <w:szCs w:val="24"/>
          </w:rPr>
          <w:t>.</w:t>
        </w:r>
      </w:ins>
      <w:ins w:id="238" w:author="LeBoldus, Jared" w:date="2022-10-25T15:37:00Z">
        <w:r>
          <w:rPr>
            <w:sz w:val="24"/>
            <w:szCs w:val="24"/>
          </w:rPr>
          <w:t xml:space="preserve">Mortality associated with </w:t>
        </w:r>
      </w:ins>
      <w:del w:id="239" w:author="LeBoldus, Jared" w:date="2022-10-25T11:21:00Z">
        <w:r>
          <w:rPr>
            <w:sz w:val="24"/>
            <w:szCs w:val="24"/>
          </w:rPr>
          <w:delText>Furthermore,</w:delText>
        </w:r>
      </w:del>
      <w:del w:id="240" w:author="LeBoldus, Jared" w:date="2022-10-25T15:37:00Z">
        <w:r>
          <w:rPr>
            <w:sz w:val="24"/>
            <w:szCs w:val="24"/>
          </w:rPr>
          <w:delText xml:space="preserve"> </w:delText>
        </w:r>
      </w:del>
      <w:del w:id="241" w:author="LeBoldus, Jared" w:date="2022-10-25T10:24:00Z">
        <w:r>
          <w:rPr>
            <w:sz w:val="24"/>
            <w:szCs w:val="24"/>
          </w:rPr>
          <w:delText>laminated root disease</w:delText>
        </w:r>
      </w:del>
      <w:ins w:id="242" w:author="LeBoldus, Jared" w:date="2022-10-25T15:45:00Z">
        <w:r>
          <w:rPr>
            <w:sz w:val="24"/>
            <w:szCs w:val="24"/>
          </w:rPr>
          <w:t>this disease</w:t>
        </w:r>
      </w:ins>
      <w:ins w:id="243" w:author="LeBoldus, Jared" w:date="2022-10-25T15:38:00Z">
        <w:r>
          <w:rPr>
            <w:sz w:val="24"/>
            <w:szCs w:val="24"/>
          </w:rPr>
          <w:t xml:space="preserve"> </w:t>
        </w:r>
      </w:ins>
      <w:del w:id="244" w:author="LeBoldus, Jared" w:date="2022-10-25T15:38:00Z">
        <w:r>
          <w:rPr>
            <w:sz w:val="24"/>
            <w:szCs w:val="24"/>
          </w:rPr>
          <w:delText xml:space="preserve"> </w:delText>
        </w:r>
      </w:del>
      <w:r>
        <w:rPr>
          <w:sz w:val="24"/>
          <w:szCs w:val="24"/>
        </w:rPr>
        <w:t xml:space="preserve">increases the risk of fire </w:t>
      </w:r>
      <w:del w:id="245" w:author="LeBoldus, Jared" w:date="2022-10-25T10:24:00Z">
        <w:r>
          <w:rPr>
            <w:sz w:val="24"/>
            <w:szCs w:val="24"/>
          </w:rPr>
          <w:delText>through high tree</w:delText>
        </w:r>
      </w:del>
      <w:ins w:id="246" w:author="LeBoldus, Jared" w:date="2022-10-25T10:24:00Z">
        <w:r>
          <w:rPr>
            <w:sz w:val="24"/>
            <w:szCs w:val="24"/>
          </w:rPr>
          <w:t xml:space="preserve">due to </w:t>
        </w:r>
      </w:ins>
      <w:del w:id="247" w:author="LeBoldus, Jared" w:date="2022-10-25T15:38:00Z">
        <w:r>
          <w:rPr>
            <w:sz w:val="24"/>
            <w:szCs w:val="24"/>
          </w:rPr>
          <w:delText xml:space="preserve"> mortality and </w:delText>
        </w:r>
      </w:del>
      <w:del w:id="248" w:author="LeBoldus, Jared" w:date="2022-10-25T15:45:00Z">
        <w:r>
          <w:rPr>
            <w:sz w:val="24"/>
            <w:szCs w:val="24"/>
          </w:rPr>
          <w:delText>increas</w:delText>
        </w:r>
      </w:del>
      <w:del w:id="249" w:author="LeBoldus, Jared" w:date="2022-10-25T11:21:00Z">
        <w:r>
          <w:rPr>
            <w:sz w:val="24"/>
            <w:szCs w:val="24"/>
          </w:rPr>
          <w:delText>e</w:delText>
        </w:r>
      </w:del>
      <w:del w:id="250" w:author="LeBoldus, Jared" w:date="2022-10-25T10:24:00Z">
        <w:r>
          <w:rPr>
            <w:sz w:val="24"/>
            <w:szCs w:val="24"/>
          </w:rPr>
          <w:delText>d</w:delText>
        </w:r>
      </w:del>
      <w:del w:id="251" w:author="LeBoldus, Jared" w:date="2022-10-27T09:03:00Z">
        <w:r>
          <w:rPr>
            <w:sz w:val="24"/>
            <w:szCs w:val="24"/>
          </w:rPr>
          <w:delText xml:space="preserve"> </w:delText>
        </w:r>
      </w:del>
      <w:r>
        <w:rPr>
          <w:sz w:val="24"/>
          <w:szCs w:val="24"/>
        </w:rPr>
        <w:t xml:space="preserve">fuel </w:t>
      </w:r>
      <w:del w:id="252" w:author="LeBoldus, Jared" w:date="2022-10-25T10:24:00Z">
        <w:r>
          <w:rPr>
            <w:sz w:val="24"/>
            <w:szCs w:val="24"/>
          </w:rPr>
          <w:delText xml:space="preserve">buildup </w:delText>
        </w:r>
      </w:del>
      <w:ins w:id="253" w:author="LeBoldus, Jared" w:date="2022-10-25T10:24:00Z">
        <w:r>
          <w:rPr>
            <w:sz w:val="24"/>
            <w:szCs w:val="24"/>
          </w:rPr>
          <w:t>load</w:t>
        </w:r>
      </w:ins>
      <w:ins w:id="254" w:author="LeBoldus, Jared" w:date="2022-10-25T15:38:00Z">
        <w:r>
          <w:rPr>
            <w:sz w:val="24"/>
            <w:szCs w:val="24"/>
          </w:rPr>
          <w:t>ing</w:t>
        </w:r>
      </w:ins>
      <w:ins w:id="255" w:author="LeBoldus, Jared" w:date="2022-10-25T10:24:00Z">
        <w:r>
          <w:rPr>
            <w:sz w:val="24"/>
            <w:szCs w:val="24"/>
          </w:rPr>
          <w:t xml:space="preserve"> in affected stands </w:t>
        </w:r>
      </w:ins>
      <w:r>
        <w:rPr>
          <w:sz w:val="24"/>
          <w:szCs w:val="24"/>
        </w:rPr>
        <w:t xml:space="preserve">(Parker et al. 2006). </w:t>
      </w:r>
      <w:ins w:id="256" w:author="LeBoldus, Jared" w:date="2022-10-25T15:38:00Z">
        <w:r>
          <w:rPr>
            <w:sz w:val="24"/>
            <w:szCs w:val="24"/>
          </w:rPr>
          <w:t>The</w:t>
        </w:r>
      </w:ins>
      <w:del w:id="257" w:author="LeBoldus, Jared" w:date="2022-10-25T11:22:00Z">
        <w:r>
          <w:rPr>
            <w:sz w:val="24"/>
            <w:szCs w:val="24"/>
          </w:rPr>
          <w:delText>R</w:delText>
        </w:r>
      </w:del>
      <w:del w:id="258" w:author="LeBoldus, Jared" w:date="2022-10-25T15:38:00Z">
        <w:r>
          <w:rPr>
            <w:sz w:val="24"/>
            <w:szCs w:val="24"/>
          </w:rPr>
          <w:delText xml:space="preserve">oot disease pockets are </w:delText>
        </w:r>
      </w:del>
      <w:del w:id="259" w:author="LeBoldus, Jared" w:date="2022-10-25T11:22:00Z">
        <w:r>
          <w:rPr>
            <w:sz w:val="24"/>
            <w:szCs w:val="24"/>
          </w:rPr>
          <w:delText xml:space="preserve">usually </w:delText>
        </w:r>
      </w:del>
      <w:del w:id="260" w:author="LeBoldus, Jared" w:date="2022-10-25T15:38:00Z">
        <w:r>
          <w:rPr>
            <w:sz w:val="24"/>
            <w:szCs w:val="24"/>
          </w:rPr>
          <w:delText>characterized by</w:delText>
        </w:r>
      </w:del>
      <w:r>
        <w:rPr>
          <w:sz w:val="24"/>
          <w:szCs w:val="24"/>
        </w:rPr>
        <w:t xml:space="preserve"> large snags and windblown trees</w:t>
      </w:r>
      <w:del w:id="261" w:author="LeBoldus, Jared" w:date="2022-10-25T15:39:00Z">
        <w:r>
          <w:rPr>
            <w:sz w:val="24"/>
            <w:szCs w:val="24"/>
          </w:rPr>
          <w:delText>.</w:delText>
        </w:r>
      </w:del>
      <w:r>
        <w:rPr>
          <w:sz w:val="24"/>
          <w:szCs w:val="24"/>
        </w:rPr>
        <w:t xml:space="preserve"> </w:t>
      </w:r>
      <w:del w:id="262" w:author="LeBoldus, Jared" w:date="2022-10-25T15:39:00Z">
        <w:r>
          <w:rPr>
            <w:sz w:val="24"/>
            <w:szCs w:val="24"/>
          </w:rPr>
          <w:delText>This results in substantial fuel loads and</w:delText>
        </w:r>
      </w:del>
      <w:ins w:id="263" w:author="LeBoldus, Jared" w:date="2022-10-25T15:39:00Z">
        <w:r>
          <w:rPr>
            <w:sz w:val="24"/>
            <w:szCs w:val="24"/>
          </w:rPr>
          <w:t>serve as</w:t>
        </w:r>
      </w:ins>
      <w:r>
        <w:rPr>
          <w:sz w:val="24"/>
          <w:szCs w:val="24"/>
        </w:rPr>
        <w:t xml:space="preserve"> a path for surface fire</w:t>
      </w:r>
      <w:ins w:id="264" w:author="LeBoldus, Jared" w:date="2022-10-25T15:39:00Z">
        <w:r>
          <w:rPr>
            <w:sz w:val="24"/>
            <w:szCs w:val="24"/>
          </w:rPr>
          <w:t>s</w:t>
        </w:r>
      </w:ins>
      <w:r>
        <w:rPr>
          <w:sz w:val="24"/>
          <w:szCs w:val="24"/>
        </w:rPr>
        <w:t xml:space="preserve"> to reach the </w:t>
      </w:r>
      <w:del w:id="265" w:author="LeBoldus, Jared" w:date="2022-10-25T15:39:00Z">
        <w:r>
          <w:rPr>
            <w:sz w:val="24"/>
            <w:szCs w:val="24"/>
          </w:rPr>
          <w:delText>crown layer</w:delText>
        </w:r>
      </w:del>
      <w:ins w:id="266" w:author="LeBoldus, Jared" w:date="2022-10-25T15:39:00Z">
        <w:r>
          <w:rPr>
            <w:sz w:val="24"/>
            <w:szCs w:val="24"/>
          </w:rPr>
          <w:t>canopy</w:t>
        </w:r>
      </w:ins>
      <w:r>
        <w:rPr>
          <w:sz w:val="24"/>
          <w:szCs w:val="24"/>
        </w:rPr>
        <w:t xml:space="preserve"> (Dickman and Cook 1989; Dickman 1992).</w:t>
      </w:r>
      <w:ins w:id="267" w:author="LeBoldus, Jared" w:date="2022-10-27T09:35:00Z">
        <w:r>
          <w:rPr>
            <w:sz w:val="24"/>
            <w:szCs w:val="24"/>
          </w:rPr>
          <w:t xml:space="preserve"> </w:t>
        </w:r>
      </w:ins>
    </w:p>
    <w:p>
      <w:pPr>
        <w:pStyle w:val="Normal"/>
        <w:spacing w:lineRule="auto" w:line="480"/>
        <w:ind w:firstLine="720"/>
        <w:rPr>
          <w:sz w:val="24"/>
          <w:szCs w:val="24"/>
          <w:del w:id="318" w:author="LeBoldus, Jared" w:date="2022-10-25T11:44:00Z"/>
        </w:rPr>
      </w:pPr>
      <w:del w:id="268" w:author="LeBoldus, Jared" w:date="2022-10-25T11:25:00Z">
        <w:r>
          <w:rPr>
            <w:sz w:val="24"/>
            <w:szCs w:val="24"/>
          </w:rPr>
          <w:delText xml:space="preserve">Global </w:delText>
        </w:r>
      </w:del>
      <w:del w:id="269" w:author="LeBoldus, Jared" w:date="2022-10-25T11:24:00Z">
        <w:r>
          <w:rPr>
            <w:sz w:val="24"/>
            <w:szCs w:val="24"/>
          </w:rPr>
          <w:delText>environmental change</w:delText>
        </w:r>
      </w:del>
      <w:del w:id="270" w:author="LeBoldus, Jared" w:date="2022-10-25T11:25:00Z">
        <w:r>
          <w:rPr>
            <w:sz w:val="24"/>
            <w:szCs w:val="24"/>
          </w:rPr>
          <w:delText xml:space="preserve"> is anticipated to increase global temperatures</w:delText>
        </w:r>
      </w:del>
      <w:ins w:id="271" w:author="LeBoldus, Jared" w:date="2022-10-27T09:32:00Z">
        <w:r>
          <w:rPr>
            <w:sz w:val="24"/>
            <w:szCs w:val="24"/>
          </w:rPr>
          <w:t xml:space="preserve">Fire frequency and severity </w:t>
        </w:r>
      </w:ins>
      <w:ins w:id="272" w:author="LeBoldus, Jared" w:date="2022-10-27T09:33:00Z">
        <w:r>
          <w:rPr>
            <w:sz w:val="24"/>
            <w:szCs w:val="24"/>
          </w:rPr>
          <w:t>are</w:t>
        </w:r>
      </w:ins>
      <w:ins w:id="273" w:author="LeBoldus, Jared" w:date="2022-10-27T09:32:00Z">
        <w:r>
          <w:rPr>
            <w:sz w:val="24"/>
            <w:szCs w:val="24"/>
          </w:rPr>
          <w:t xml:space="preserve"> predicted to increase in</w:t>
        </w:r>
      </w:ins>
      <w:ins w:id="274" w:author="LeBoldus, Jared" w:date="2022-10-27T09:33:00Z">
        <w:r>
          <w:rPr>
            <w:sz w:val="24"/>
            <w:szCs w:val="24"/>
          </w:rPr>
          <w:t xml:space="preserve"> western North America over the next </w:t>
        </w:r>
      </w:ins>
      <w:ins w:id="275" w:author="LeBoldus, Jared" w:date="2022-10-27T09:36:00Z">
        <w:r>
          <w:rPr>
            <w:sz w:val="24"/>
            <w:szCs w:val="24"/>
          </w:rPr>
          <w:t>c</w:t>
        </w:r>
      </w:ins>
      <w:ins w:id="276" w:author="LeBoldus, Jared" w:date="2022-10-27T09:33:00Z">
        <w:r>
          <w:rPr>
            <w:sz w:val="24"/>
            <w:szCs w:val="24"/>
          </w:rPr>
          <w:t>entury</w:t>
        </w:r>
      </w:ins>
      <w:del w:id="277" w:author="LeBoldus, Jared" w:date="2022-10-27T09:32:00Z">
        <w:r>
          <w:rPr>
            <w:sz w:val="24"/>
            <w:szCs w:val="24"/>
          </w:rPr>
          <w:delText>, creat</w:delText>
        </w:r>
      </w:del>
      <w:del w:id="278" w:author="LeBoldus, Jared" w:date="2022-10-25T11:25:00Z">
        <w:r>
          <w:rPr>
            <w:sz w:val="24"/>
            <w:szCs w:val="24"/>
          </w:rPr>
          <w:delText>e</w:delText>
        </w:r>
      </w:del>
      <w:del w:id="279" w:author="LeBoldus, Jared" w:date="2022-10-27T09:32:00Z">
        <w:r>
          <w:rPr>
            <w:sz w:val="24"/>
            <w:szCs w:val="24"/>
          </w:rPr>
          <w:delText xml:space="preserve"> changes in precipitation </w:delText>
        </w:r>
      </w:del>
      <w:del w:id="280" w:author="LeBoldus, Jared" w:date="2022-10-25T15:47:00Z">
        <w:r>
          <w:rPr>
            <w:sz w:val="24"/>
            <w:szCs w:val="24"/>
          </w:rPr>
          <w:delText>regimes</w:delText>
        </w:r>
      </w:del>
      <w:del w:id="281" w:author="LeBoldus, Jared" w:date="2022-10-27T09:32:00Z">
        <w:r>
          <w:rPr>
            <w:sz w:val="24"/>
            <w:szCs w:val="24"/>
          </w:rPr>
          <w:delText>, and exacerbat</w:delText>
        </w:r>
      </w:del>
      <w:del w:id="282" w:author="LeBoldus, Jared" w:date="2022-10-25T11:32:00Z">
        <w:r>
          <w:rPr>
            <w:sz w:val="24"/>
            <w:szCs w:val="24"/>
          </w:rPr>
          <w:delText>e</w:delText>
        </w:r>
      </w:del>
      <w:del w:id="283" w:author="LeBoldus, Jared" w:date="2022-10-27T09:32:00Z">
        <w:r>
          <w:rPr>
            <w:sz w:val="24"/>
            <w:szCs w:val="24"/>
          </w:rPr>
          <w:delText xml:space="preserve"> disturbances from wildfire</w:delText>
        </w:r>
      </w:del>
      <w:del w:id="284" w:author="LeBoldus, Jared" w:date="2022-10-25T11:33:00Z">
        <w:r>
          <w:rPr>
            <w:sz w:val="24"/>
            <w:szCs w:val="24"/>
          </w:rPr>
          <w:delText>s</w:delText>
        </w:r>
      </w:del>
      <w:del w:id="285" w:author="LeBoldus, Jared" w:date="2022-10-25T11:26:00Z">
        <w:r>
          <w:rPr>
            <w:sz w:val="24"/>
            <w:szCs w:val="24"/>
          </w:rPr>
          <w:delText>, pests, and pathogens</w:delText>
        </w:r>
      </w:del>
      <w:r>
        <w:rPr>
          <w:sz w:val="24"/>
          <w:szCs w:val="24"/>
        </w:rPr>
        <w:t xml:space="preserve"> </w:t>
      </w:r>
      <w:ins w:id="286" w:author="LeBoldus, Jared" w:date="2022-10-27T09:33:00Z">
        <w:r>
          <w:rPr>
            <w:sz w:val="24"/>
            <w:szCs w:val="24"/>
          </w:rPr>
          <w:t xml:space="preserve">as a result of hotter drier summers </w:t>
        </w:r>
      </w:ins>
      <w:r>
        <w:rPr>
          <w:sz w:val="24"/>
          <w:szCs w:val="24"/>
        </w:rPr>
        <w:t>(Law et al. 2013</w:t>
      </w:r>
      <w:del w:id="287" w:author="LeBoldus, Jared" w:date="2022-10-27T09:33:00Z">
        <w:r>
          <w:rPr>
            <w:sz w:val="24"/>
            <w:szCs w:val="24"/>
          </w:rPr>
          <w:delText xml:space="preserve">). As a result, </w:delText>
        </w:r>
      </w:del>
      <w:del w:id="288" w:author="LeBoldus, Jared" w:date="2022-10-25T11:33:00Z">
        <w:r>
          <w:rPr>
            <w:sz w:val="24"/>
            <w:szCs w:val="24"/>
          </w:rPr>
          <w:delText>within the Pacific Northwest of North America</w:delText>
        </w:r>
      </w:del>
      <w:del w:id="289" w:author="LeBoldus, Jared" w:date="2022-10-27T09:33:00Z">
        <w:r>
          <w:rPr>
            <w:sz w:val="24"/>
            <w:szCs w:val="24"/>
          </w:rPr>
          <w:delText>,</w:delText>
        </w:r>
      </w:del>
      <w:ins w:id="290" w:author="LeBoldus, Jared" w:date="2022-10-27T09:33:00Z">
        <w:r>
          <w:rPr>
            <w:sz w:val="24"/>
            <w:szCs w:val="24"/>
          </w:rPr>
          <w:t>;</w:t>
        </w:r>
      </w:ins>
      <w:r>
        <w:rPr>
          <w:sz w:val="24"/>
          <w:szCs w:val="24"/>
        </w:rPr>
        <w:t xml:space="preserve"> </w:t>
      </w:r>
      <w:del w:id="291" w:author="LeBoldus, Jared" w:date="2022-10-27T09:33:00Z">
        <w:r>
          <w:rPr>
            <w:sz w:val="24"/>
            <w:szCs w:val="24"/>
          </w:rPr>
          <w:delText>summers are projected to get both hotter and drier (</w:delText>
        </w:r>
      </w:del>
      <w:r>
        <w:rPr>
          <w:sz w:val="24"/>
          <w:szCs w:val="24"/>
        </w:rPr>
        <w:t xml:space="preserve">Bennett et al. 2021; </w:t>
      </w:r>
      <w:r>
        <w:fldChar w:fldCharType="begin"/>
      </w:r>
      <w:r>
        <w:rPr>
          <w:sz w:val="24"/>
          <w:szCs w:val="24"/>
        </w:rPr>
        <w:instrText> HYPERLINK "https://www.frontiersin.org/articles/10.3389/ffgc.2021.695981/full" \l "B61"</w:instrText>
      </w:r>
      <w:r>
        <w:rPr>
          <w:sz w:val="24"/>
          <w:szCs w:val="24"/>
        </w:rPr>
        <w:fldChar w:fldCharType="separate"/>
      </w:r>
      <w:r>
        <w:rPr>
          <w:sz w:val="24"/>
          <w:szCs w:val="24"/>
        </w:rPr>
        <w:t>Mote and Salathé 2010</w:t>
      </w:r>
      <w:r>
        <w:rPr>
          <w:sz w:val="24"/>
          <w:szCs w:val="24"/>
        </w:rPr>
        <w:fldChar w:fldCharType="end"/>
      </w:r>
      <w:r>
        <w:rPr>
          <w:sz w:val="24"/>
          <w:szCs w:val="24"/>
        </w:rPr>
        <w:t xml:space="preserve">). These warmer and dryer conditions, on average, will produce larger, more frequent, and more extensive fires </w:t>
      </w:r>
      <w:del w:id="292" w:author="LeBoldus, Jared" w:date="2022-10-25T11:39:00Z">
        <w:r>
          <w:rPr>
            <w:sz w:val="24"/>
            <w:szCs w:val="24"/>
          </w:rPr>
          <w:delText xml:space="preserve">within forest ecosystems </w:delText>
        </w:r>
      </w:del>
      <w:r>
        <w:rPr>
          <w:sz w:val="24"/>
          <w:szCs w:val="24"/>
        </w:rPr>
        <w:t xml:space="preserve">(McKenzie et al. 2004). In response, forest managers have shifted </w:t>
      </w:r>
      <w:del w:id="293" w:author="LeBoldus, Jared" w:date="2022-10-25T11:39:00Z">
        <w:r>
          <w:rPr>
            <w:sz w:val="24"/>
            <w:szCs w:val="24"/>
          </w:rPr>
          <w:delText>management strategies</w:delText>
        </w:r>
      </w:del>
      <w:ins w:id="294" w:author="LeBoldus, Jared" w:date="2022-10-25T11:39:00Z">
        <w:r>
          <w:rPr>
            <w:sz w:val="24"/>
            <w:szCs w:val="24"/>
          </w:rPr>
          <w:t>approaches</w:t>
        </w:r>
      </w:ins>
      <w:r>
        <w:rPr>
          <w:sz w:val="24"/>
          <w:szCs w:val="24"/>
        </w:rPr>
        <w:t xml:space="preserve"> towards improving </w:t>
      </w:r>
      <w:del w:id="295" w:author="LeBoldus, Jared" w:date="2022-10-25T11:26:00Z">
        <w:r>
          <w:rPr>
            <w:sz w:val="24"/>
            <w:szCs w:val="24"/>
          </w:rPr>
          <w:delText xml:space="preserve">forest </w:delText>
        </w:r>
      </w:del>
      <w:r>
        <w:rPr>
          <w:sz w:val="24"/>
          <w:szCs w:val="24"/>
        </w:rPr>
        <w:t>ecosystem resilienc</w:t>
      </w:r>
      <w:ins w:id="296" w:author="LeBoldus, Jared" w:date="2022-10-25T11:26:00Z">
        <w:r>
          <w:rPr>
            <w:sz w:val="24"/>
            <w:szCs w:val="24"/>
          </w:rPr>
          <w:t>e</w:t>
        </w:r>
      </w:ins>
      <w:del w:id="297" w:author="LeBoldus, Jared" w:date="2022-10-25T11:26:00Z">
        <w:r>
          <w:rPr>
            <w:sz w:val="24"/>
            <w:szCs w:val="24"/>
          </w:rPr>
          <w:delText>y</w:delText>
        </w:r>
      </w:del>
      <w:r>
        <w:rPr>
          <w:sz w:val="24"/>
          <w:szCs w:val="24"/>
        </w:rPr>
        <w:t xml:space="preserve"> (Vernon et al. 2018; USDA-FS 2011; Franklin and Johnson 2012). These shifts are being conducted through large-scale fuel reduction </w:t>
      </w:r>
      <w:del w:id="298" w:author="LeBoldus, Jared" w:date="2022-10-25T11:39:00Z">
        <w:r>
          <w:rPr>
            <w:sz w:val="24"/>
            <w:szCs w:val="24"/>
          </w:rPr>
          <w:delText>techniques</w:delText>
        </w:r>
      </w:del>
      <w:ins w:id="299" w:author="LeBoldus, Jared" w:date="2022-10-25T11:39:00Z">
        <w:r>
          <w:rPr>
            <w:sz w:val="24"/>
            <w:szCs w:val="24"/>
          </w:rPr>
          <w:t>operations</w:t>
        </w:r>
      </w:ins>
      <w:ins w:id="300" w:author="LeBoldus, Jared" w:date="2022-10-25T11:26:00Z">
        <w:r>
          <w:rPr>
            <w:sz w:val="24"/>
            <w:szCs w:val="24"/>
          </w:rPr>
          <w:t>,</w:t>
        </w:r>
      </w:ins>
      <w:r>
        <w:rPr>
          <w:sz w:val="24"/>
          <w:szCs w:val="24"/>
        </w:rPr>
        <w:t xml:space="preserve"> </w:t>
      </w:r>
      <w:del w:id="301" w:author="LeBoldus, Jared" w:date="2022-10-25T11:26:00Z">
        <w:r>
          <w:rPr>
            <w:sz w:val="24"/>
            <w:szCs w:val="24"/>
          </w:rPr>
          <w:delText xml:space="preserve">which </w:delText>
        </w:r>
      </w:del>
      <w:del w:id="302" w:author="LeBoldus, Jared" w:date="2022-10-25T11:23:00Z">
        <w:r>
          <w:rPr>
            <w:sz w:val="24"/>
            <w:szCs w:val="24"/>
          </w:rPr>
          <w:delText xml:space="preserve">is </w:delText>
        </w:r>
      </w:del>
      <w:del w:id="303" w:author="LeBoldus, Jared" w:date="2022-10-25T11:26:00Z">
        <w:r>
          <w:rPr>
            <w:sz w:val="24"/>
            <w:szCs w:val="24"/>
          </w:rPr>
          <w:delText>focused</w:delText>
        </w:r>
      </w:del>
      <w:ins w:id="304" w:author="LeBoldus, Jared" w:date="2022-10-25T11:26:00Z">
        <w:r>
          <w:rPr>
            <w:sz w:val="24"/>
            <w:szCs w:val="24"/>
          </w:rPr>
          <w:t>focusing</w:t>
        </w:r>
      </w:ins>
      <w:r>
        <w:rPr>
          <w:sz w:val="24"/>
          <w:szCs w:val="24"/>
        </w:rPr>
        <w:t xml:space="preserve"> on low to mid-canopy reductions </w:t>
      </w:r>
      <w:del w:id="305" w:author="LeBoldus, Jared" w:date="2022-10-25T11:26:00Z">
        <w:r>
          <w:rPr>
            <w:sz w:val="24"/>
            <w:szCs w:val="24"/>
          </w:rPr>
          <w:delText xml:space="preserve">of </w:delText>
        </w:r>
      </w:del>
      <w:ins w:id="306" w:author="LeBoldus, Jared" w:date="2022-10-25T11:26:00Z">
        <w:r>
          <w:rPr>
            <w:sz w:val="24"/>
            <w:szCs w:val="24"/>
          </w:rPr>
          <w:t xml:space="preserve">in </w:t>
        </w:r>
      </w:ins>
      <w:r>
        <w:rPr>
          <w:sz w:val="24"/>
          <w:szCs w:val="24"/>
        </w:rPr>
        <w:t xml:space="preserve">basal area and piled burning (Vernon et al. 2018; Agee and Skinner 2005). Planting alternate host species that are more resistant to changes in climate is </w:t>
      </w:r>
      <w:del w:id="307" w:author="LeBoldus, Jared" w:date="2022-10-25T11:27:00Z">
        <w:r>
          <w:rPr>
            <w:sz w:val="24"/>
            <w:szCs w:val="24"/>
          </w:rPr>
          <w:delText>also an adaptive</w:delText>
        </w:r>
      </w:del>
      <w:ins w:id="308" w:author="LeBoldus, Jared" w:date="2022-10-25T11:27:00Z">
        <w:r>
          <w:rPr>
            <w:sz w:val="24"/>
            <w:szCs w:val="24"/>
          </w:rPr>
          <w:t>another</w:t>
        </w:r>
      </w:ins>
      <w:r>
        <w:rPr>
          <w:sz w:val="24"/>
          <w:szCs w:val="24"/>
        </w:rPr>
        <w:t xml:space="preserve"> </w:t>
      </w:r>
      <w:ins w:id="309" w:author="LeBoldus, Jared" w:date="2022-10-25T11:34:00Z">
        <w:r>
          <w:rPr>
            <w:sz w:val="24"/>
            <w:szCs w:val="24"/>
          </w:rPr>
          <w:t xml:space="preserve">proposed </w:t>
        </w:r>
      </w:ins>
      <w:del w:id="310" w:author="LeBoldus, Jared" w:date="2022-10-25T11:34:00Z">
        <w:r>
          <w:rPr>
            <w:sz w:val="24"/>
            <w:szCs w:val="24"/>
          </w:rPr>
          <w:delText xml:space="preserve">management </w:delText>
        </w:r>
      </w:del>
      <w:r>
        <w:rPr>
          <w:sz w:val="24"/>
          <w:szCs w:val="24"/>
        </w:rPr>
        <w:t xml:space="preserve">strategy </w:t>
      </w:r>
      <w:del w:id="311" w:author="LeBoldus, Jared" w:date="2022-10-25T11:34:00Z">
        <w:r>
          <w:rPr>
            <w:sz w:val="24"/>
            <w:szCs w:val="24"/>
          </w:rPr>
          <w:delText xml:space="preserve">being </w:delText>
        </w:r>
      </w:del>
      <w:del w:id="312" w:author="LeBoldus, Jared" w:date="2022-10-25T11:27:00Z">
        <w:r>
          <w:rPr>
            <w:sz w:val="24"/>
            <w:szCs w:val="24"/>
          </w:rPr>
          <w:delText>used in some areas</w:delText>
        </w:r>
      </w:del>
      <w:del w:id="313" w:author="LeBoldus, Jared" w:date="2022-10-25T11:34:00Z">
        <w:r>
          <w:rPr>
            <w:sz w:val="24"/>
            <w:szCs w:val="24"/>
          </w:rPr>
          <w:delText xml:space="preserve"> </w:delText>
        </w:r>
      </w:del>
      <w:r>
        <w:rPr>
          <w:sz w:val="24"/>
          <w:szCs w:val="24"/>
        </w:rPr>
        <w:t>(Subramanian et al. 2015).</w:t>
      </w:r>
      <w:r>
        <w:rPr>
          <w:color w:val="222222"/>
          <w:sz w:val="20"/>
          <w:szCs w:val="20"/>
          <w:shd w:fill="FFFFFF" w:val="clear"/>
        </w:rPr>
        <w:t xml:space="preserve"> </w:t>
      </w:r>
      <w:r>
        <w:rPr>
          <w:sz w:val="24"/>
          <w:szCs w:val="24"/>
        </w:rPr>
        <w:t xml:space="preserve">A major question stemming from these shifts in management </w:t>
      </w:r>
      <w:del w:id="314" w:author="LeBoldus, Jared" w:date="2022-10-25T11:27:00Z">
        <w:r>
          <w:rPr>
            <w:sz w:val="24"/>
            <w:szCs w:val="24"/>
          </w:rPr>
          <w:delText xml:space="preserve">techniques </w:delText>
        </w:r>
      </w:del>
      <w:r>
        <w:rPr>
          <w:sz w:val="24"/>
          <w:szCs w:val="24"/>
        </w:rPr>
        <w:t xml:space="preserve">is understanding how thinning and </w:t>
      </w:r>
      <w:del w:id="315" w:author="LeBoldus, Jared" w:date="2022-10-27T09:34:00Z">
        <w:r>
          <w:rPr>
            <w:sz w:val="24"/>
            <w:szCs w:val="24"/>
          </w:rPr>
          <w:delText xml:space="preserve">alternate </w:delText>
        </w:r>
      </w:del>
      <w:r>
        <w:rPr>
          <w:sz w:val="24"/>
          <w:szCs w:val="24"/>
        </w:rPr>
        <w:t>host rotations will affect major forest pathogens</w:t>
      </w:r>
      <w:ins w:id="316" w:author="LeBoldus, Jared" w:date="2022-10-25T11:28:00Z">
        <w:r>
          <w:rPr>
            <w:sz w:val="24"/>
            <w:szCs w:val="24"/>
          </w:rPr>
          <w:t xml:space="preserve"> in both plantation and wildland forests</w:t>
        </w:r>
      </w:ins>
      <w:r>
        <w:rPr>
          <w:sz w:val="24"/>
          <w:szCs w:val="24"/>
        </w:rPr>
        <w:t>.</w:t>
      </w:r>
      <w:ins w:id="317" w:author="LeBoldus, Jared" w:date="2022-10-25T11:44:00Z">
        <w:r>
          <w:rPr>
            <w:sz w:val="24"/>
            <w:szCs w:val="24"/>
          </w:rPr>
          <w:t xml:space="preserve"> </w:t>
        </w:r>
      </w:ins>
    </w:p>
    <w:p>
      <w:pPr>
        <w:pStyle w:val="Normal"/>
        <w:spacing w:lineRule="auto" w:line="480"/>
        <w:ind w:firstLine="720"/>
        <w:rPr>
          <w:sz w:val="24"/>
          <w:szCs w:val="24"/>
          <w:ins w:id="320" w:author="LeBoldus, Jared" w:date="2022-10-25T11:44:00Z"/>
        </w:rPr>
      </w:pPr>
      <w:ins w:id="319" w:author="LeBoldus, Jared" w:date="2022-10-25T11:44:00Z">
        <w:r>
          <w:rPr/>
        </w:r>
      </w:ins>
    </w:p>
    <w:p>
      <w:pPr>
        <w:pStyle w:val="Normal"/>
        <w:spacing w:lineRule="auto" w:line="480"/>
        <w:ind w:firstLine="720"/>
        <w:rPr>
          <w:sz w:val="24"/>
          <w:szCs w:val="24"/>
          <w:del w:id="360" w:author="LeBoldus, Jared" w:date="2022-10-27T09:09:00Z"/>
        </w:rPr>
      </w:pPr>
      <w:ins w:id="321" w:author="LeBoldus, Jared" w:date="2022-10-25T11:42:00Z">
        <w:r>
          <w:rPr>
            <w:sz w:val="24"/>
            <w:szCs w:val="24"/>
          </w:rPr>
          <w:t xml:space="preserve">The effects of thinning </w:t>
        </w:r>
      </w:ins>
      <w:r>
        <w:rPr>
          <w:sz w:val="24"/>
          <w:szCs w:val="24"/>
        </w:rPr>
        <w:t>and host rotations for management of</w:t>
      </w:r>
      <w:ins w:id="322" w:author="LeBoldus, Jared" w:date="2022-10-25T11:42:00Z">
        <w:r>
          <w:rPr>
            <w:sz w:val="24"/>
            <w:szCs w:val="24"/>
          </w:rPr>
          <w:t xml:space="preserve"> LRR are not well understood.</w:t>
        </w:r>
      </w:ins>
      <w:r>
        <w:rPr>
          <w:sz w:val="24"/>
          <w:szCs w:val="24"/>
        </w:rPr>
        <w:t xml:space="preserve"> </w:t>
      </w:r>
      <w:ins w:id="323" w:author="LeBoldus, Jared" w:date="2022-10-25T11:51:00Z">
        <w:r>
          <w:rPr>
            <w:sz w:val="24"/>
            <w:szCs w:val="24"/>
          </w:rPr>
          <w:t xml:space="preserve">Although thinning </w:t>
        </w:r>
      </w:ins>
      <w:del w:id="324" w:author="LeBoldus, Jared" w:date="2022-10-25T11:51:00Z">
        <w:r>
          <w:rPr>
            <w:sz w:val="24"/>
            <w:szCs w:val="24"/>
          </w:rPr>
          <w:delText xml:space="preserve">Mechanical thinning </w:delText>
        </w:r>
      </w:del>
      <w:r>
        <w:rPr>
          <w:sz w:val="24"/>
          <w:szCs w:val="24"/>
        </w:rPr>
        <w:t>provides forest products and</w:t>
      </w:r>
      <w:ins w:id="325" w:author="LeBoldus, Jared" w:date="2022-10-27T09:37:00Z">
        <w:r>
          <w:rPr>
            <w:sz w:val="24"/>
            <w:szCs w:val="24"/>
          </w:rPr>
          <w:t xml:space="preserve"> may</w:t>
        </w:r>
      </w:ins>
      <w:r>
        <w:rPr>
          <w:sz w:val="24"/>
          <w:szCs w:val="24"/>
        </w:rPr>
        <w:t xml:space="preserve"> remove</w:t>
      </w:r>
      <w:del w:id="326" w:author="LeBoldus, Jared" w:date="2022-10-27T09:37:00Z">
        <w:r>
          <w:rPr>
            <w:sz w:val="24"/>
            <w:szCs w:val="24"/>
          </w:rPr>
          <w:delText>s</w:delText>
        </w:r>
      </w:del>
      <w:r>
        <w:rPr>
          <w:sz w:val="24"/>
          <w:szCs w:val="24"/>
        </w:rPr>
        <w:t xml:space="preserve"> infe</w:t>
      </w:r>
      <w:ins w:id="327" w:author="LeBoldus, Jared" w:date="2022-10-27T09:07:00Z">
        <w:r>
          <w:rPr>
            <w:sz w:val="24"/>
            <w:szCs w:val="24"/>
          </w:rPr>
          <w:t>c</w:t>
        </w:r>
      </w:ins>
      <w:del w:id="328" w:author="LeBoldus, Jared" w:date="2022-10-27T09:07:00Z">
        <w:r>
          <w:rPr>
            <w:sz w:val="24"/>
            <w:szCs w:val="24"/>
          </w:rPr>
          <w:delText>s</w:delText>
        </w:r>
      </w:del>
      <w:r>
        <w:rPr>
          <w:sz w:val="24"/>
          <w:szCs w:val="24"/>
        </w:rPr>
        <w:t xml:space="preserve">ted trees that </w:t>
      </w:r>
      <w:del w:id="329" w:author="LeBoldus, Jared" w:date="2022-10-25T11:51:00Z">
        <w:r>
          <w:rPr>
            <w:sz w:val="24"/>
            <w:szCs w:val="24"/>
          </w:rPr>
          <w:delText xml:space="preserve">are </w:delText>
        </w:r>
      </w:del>
      <w:ins w:id="330" w:author="LeBoldus, Jared" w:date="2022-10-27T09:07:00Z">
        <w:r>
          <w:rPr>
            <w:sz w:val="24"/>
            <w:szCs w:val="24"/>
          </w:rPr>
          <w:t>eventually</w:t>
        </w:r>
      </w:ins>
      <w:ins w:id="331" w:author="LeBoldus, Jared" w:date="2022-10-25T11:51:00Z">
        <w:r>
          <w:rPr>
            <w:sz w:val="24"/>
            <w:szCs w:val="24"/>
          </w:rPr>
          <w:t xml:space="preserve"> </w:t>
        </w:r>
      </w:ins>
      <w:r>
        <w:rPr>
          <w:sz w:val="24"/>
          <w:szCs w:val="24"/>
        </w:rPr>
        <w:t>contribut</w:t>
      </w:r>
      <w:ins w:id="332" w:author="LeBoldus, Jared" w:date="2022-10-25T11:51:00Z">
        <w:r>
          <w:rPr>
            <w:sz w:val="24"/>
            <w:szCs w:val="24"/>
          </w:rPr>
          <w:t>e</w:t>
        </w:r>
      </w:ins>
      <w:del w:id="333" w:author="LeBoldus, Jared" w:date="2022-10-25T11:51:00Z">
        <w:r>
          <w:rPr>
            <w:sz w:val="24"/>
            <w:szCs w:val="24"/>
          </w:rPr>
          <w:delText>ing</w:delText>
        </w:r>
      </w:del>
      <w:r>
        <w:rPr>
          <w:sz w:val="24"/>
          <w:szCs w:val="24"/>
        </w:rPr>
        <w:t xml:space="preserve"> </w:t>
      </w:r>
      <w:del w:id="334" w:author="LeBoldus, Jared" w:date="2022-10-25T11:51:00Z">
        <w:r>
          <w:rPr>
            <w:sz w:val="24"/>
            <w:szCs w:val="24"/>
          </w:rPr>
          <w:delText>to an increase of fuel loads</w:delText>
        </w:r>
      </w:del>
      <w:ins w:id="335" w:author="LeBoldus, Jared" w:date="2022-10-25T11:51:00Z">
        <w:r>
          <w:rPr>
            <w:sz w:val="24"/>
            <w:szCs w:val="24"/>
          </w:rPr>
          <w:t>to fuel loads</w:t>
        </w:r>
      </w:ins>
      <w:ins w:id="336" w:author="LeBoldus, Jared" w:date="2022-10-25T11:52:00Z">
        <w:r>
          <w:rPr>
            <w:sz w:val="24"/>
            <w:szCs w:val="24"/>
          </w:rPr>
          <w:t xml:space="preserve">; </w:t>
        </w:r>
      </w:ins>
      <w:ins w:id="337" w:author="LeBoldus, Jared" w:date="2022-10-25T11:51:00Z">
        <w:r>
          <w:rPr>
            <w:sz w:val="24"/>
            <w:szCs w:val="24"/>
          </w:rPr>
          <w:t xml:space="preserve"> it may also</w:t>
        </w:r>
      </w:ins>
      <w:ins w:id="338" w:author="LeBoldus, Jared" w:date="2022-10-25T11:52:00Z">
        <w:r>
          <w:rPr>
            <w:sz w:val="24"/>
            <w:szCs w:val="24"/>
          </w:rPr>
          <w:t xml:space="preserve"> </w:t>
        </w:r>
      </w:ins>
      <w:del w:id="339" w:author="LeBoldus, Jared" w:date="2022-10-25T11:52:00Z">
        <w:r>
          <w:rPr>
            <w:sz w:val="24"/>
            <w:szCs w:val="24"/>
          </w:rPr>
          <w:delText xml:space="preserve"> (Vandygriff 2015). Thinning however could </w:delText>
        </w:r>
      </w:del>
      <w:r>
        <w:rPr>
          <w:sz w:val="24"/>
          <w:szCs w:val="24"/>
        </w:rPr>
        <w:t>increase the risk of wind damage</w:t>
      </w:r>
      <w:ins w:id="340" w:author="LeBoldus, Jared" w:date="2022-10-25T11:53:00Z">
        <w:r>
          <w:rPr>
            <w:sz w:val="24"/>
            <w:szCs w:val="24"/>
          </w:rPr>
          <w:t xml:space="preserve"> to trees with </w:t>
        </w:r>
      </w:ins>
      <w:del w:id="341" w:author="LeBoldus, Jared" w:date="2022-10-25T11:53:00Z">
        <w:r>
          <w:rPr>
            <w:sz w:val="24"/>
            <w:szCs w:val="24"/>
          </w:rPr>
          <w:delText xml:space="preserve">, which is often the mortality event for root diseased trees with </w:delText>
        </w:r>
      </w:del>
      <w:r>
        <w:rPr>
          <w:sz w:val="24"/>
          <w:szCs w:val="24"/>
        </w:rPr>
        <w:t>weakened root systems (</w:t>
      </w:r>
      <w:ins w:id="342" w:author="LeBoldus, Jared" w:date="2022-10-25T11:52:00Z">
        <w:r>
          <w:rPr>
            <w:sz w:val="24"/>
            <w:szCs w:val="24"/>
          </w:rPr>
          <w:t xml:space="preserve">Vandygriff </w:t>
        </w:r>
      </w:ins>
      <w:r>
        <w:rPr>
          <w:sz w:val="24"/>
          <w:szCs w:val="24"/>
        </w:rPr>
        <w:t xml:space="preserve">et al. </w:t>
      </w:r>
      <w:ins w:id="343" w:author="LeBoldus, Jared" w:date="2022-10-25T11:52:00Z">
        <w:r>
          <w:rPr>
            <w:sz w:val="24"/>
            <w:szCs w:val="24"/>
          </w:rPr>
          <w:t xml:space="preserve">2015; </w:t>
        </w:r>
      </w:ins>
      <w:r>
        <w:rPr>
          <w:sz w:val="24"/>
          <w:szCs w:val="24"/>
        </w:rPr>
        <w:t xml:space="preserve">Lawson 1979). </w:t>
      </w:r>
      <w:del w:id="344" w:author="LeBoldus, Jared" w:date="2022-10-27T09:05:00Z">
        <w:r>
          <w:rPr>
            <w:sz w:val="24"/>
            <w:szCs w:val="24"/>
          </w:rPr>
          <w:delText>Another management strategy when dealing with a disease of the site is planting of</w:delText>
        </w:r>
      </w:del>
      <w:ins w:id="345" w:author="LeBoldus, Jared" w:date="2022-10-27T09:05:00Z">
        <w:r>
          <w:rPr>
            <w:sz w:val="24"/>
            <w:szCs w:val="24"/>
          </w:rPr>
          <w:t>Red alder (</w:t>
        </w:r>
      </w:ins>
      <w:ins w:id="346" w:author="LeBoldus, Jared" w:date="2022-10-27T09:05:00Z">
        <w:r>
          <w:rPr>
            <w:i/>
            <w:iCs/>
            <w:sz w:val="24"/>
            <w:szCs w:val="24"/>
          </w:rPr>
          <w:t>Alnus rubra</w:t>
        </w:r>
      </w:ins>
      <w:ins w:id="347" w:author="LeBoldus, Jared" w:date="2022-10-27T09:05:00Z">
        <w:r>
          <w:rPr>
            <w:sz w:val="24"/>
            <w:szCs w:val="24"/>
          </w:rPr>
          <w:t xml:space="preserve"> Bong.) </w:t>
        </w:r>
      </w:ins>
      <w:ins w:id="348" w:author="LeBoldus, Jared" w:date="2022-10-27T09:06:00Z">
        <w:r>
          <w:rPr>
            <w:sz w:val="24"/>
            <w:szCs w:val="24"/>
          </w:rPr>
          <w:t>is resistant to infection by</w:t>
        </w:r>
      </w:ins>
      <w:ins w:id="349" w:author="LeBoldus, Jared" w:date="2022-10-27T09:05:00Z">
        <w:r>
          <w:rPr>
            <w:sz w:val="24"/>
            <w:szCs w:val="24"/>
          </w:rPr>
          <w:t xml:space="preserve"> </w:t>
        </w:r>
      </w:ins>
      <w:ins w:id="350" w:author="LeBoldus, Jared" w:date="2022-10-27T09:05:00Z">
        <w:r>
          <w:rPr>
            <w:i/>
            <w:iCs/>
            <w:sz w:val="24"/>
            <w:szCs w:val="24"/>
          </w:rPr>
          <w:t>C. sulphurascens</w:t>
        </w:r>
      </w:ins>
      <w:ins w:id="351" w:author="LeBoldus, Jared" w:date="2022-10-27T09:05:00Z">
        <w:r>
          <w:rPr>
            <w:sz w:val="24"/>
            <w:szCs w:val="24"/>
          </w:rPr>
          <w:t xml:space="preserve">. This is likely due to the phenolics, and fatty acids produced by red alder (Trappe 1972; Li </w:t>
        </w:r>
      </w:ins>
      <w:r>
        <w:rPr>
          <w:sz w:val="24"/>
          <w:szCs w:val="24"/>
        </w:rPr>
        <w:t xml:space="preserve">et al. </w:t>
      </w:r>
      <w:ins w:id="352" w:author="LeBoldus, Jared" w:date="2022-10-27T09:05:00Z">
        <w:r>
          <w:rPr>
            <w:sz w:val="24"/>
            <w:szCs w:val="24"/>
          </w:rPr>
          <w:t xml:space="preserve">1969; Li </w:t>
        </w:r>
      </w:ins>
      <w:r>
        <w:rPr>
          <w:sz w:val="24"/>
          <w:szCs w:val="24"/>
        </w:rPr>
        <w:t>et al.</w:t>
      </w:r>
      <w:ins w:id="353" w:author="LeBoldus, Jared" w:date="2022-10-27T09:05:00Z">
        <w:r>
          <w:rPr>
            <w:sz w:val="24"/>
            <w:szCs w:val="24"/>
          </w:rPr>
          <w:t xml:space="preserve">1970). </w:t>
        </w:r>
      </w:ins>
      <w:ins w:id="354" w:author="LeBoldus, Jared" w:date="2022-10-27T09:09:00Z">
        <w:r>
          <w:rPr>
            <w:sz w:val="24"/>
            <w:szCs w:val="24"/>
          </w:rPr>
          <w:t xml:space="preserve">It has been hypothesized that </w:t>
        </w:r>
      </w:ins>
      <w:del w:id="355" w:author="LeBoldus, Jared" w:date="2022-10-27T09:09:00Z">
        <w:r>
          <w:rPr>
            <w:sz w:val="24"/>
            <w:szCs w:val="24"/>
          </w:rPr>
          <w:delText xml:space="preserve"> resistance, the wood value of red alder has increased within recent years and sawlogs are able to be produced within short rotations (Harrington, 2006). These findings led to a hypothe</w:delText>
        </w:r>
      </w:del>
      <w:ins w:id="356" w:author="LeBoldus, Jared" w:date="2022-10-27T09:05:00Z">
        <w:r>
          <w:rPr>
            <w:sz w:val="24"/>
            <w:szCs w:val="24"/>
          </w:rPr>
          <w:t xml:space="preserve">clear cutting LRR sites and then growing purely red alder might starve out the </w:t>
        </w:r>
      </w:ins>
      <w:ins w:id="357" w:author="LeBoldus, Jared" w:date="2022-10-27T09:05:00Z">
        <w:r>
          <w:rPr>
            <w:i/>
            <w:iCs/>
            <w:sz w:val="24"/>
            <w:szCs w:val="24"/>
          </w:rPr>
          <w:t>C. sulphurascens</w:t>
        </w:r>
      </w:ins>
      <w:ins w:id="358" w:author="LeBoldus, Jared" w:date="2022-10-27T09:05:00Z">
        <w:r>
          <w:rPr>
            <w:sz w:val="24"/>
            <w:szCs w:val="24"/>
          </w:rPr>
          <w:t xml:space="preserve"> after several decades (Harrington 2006). </w:t>
        </w:r>
      </w:ins>
      <w:ins w:id="359" w:author="LeBoldus, Jared" w:date="2022-10-27T09:09:00Z">
        <w:r>
          <w:rPr>
            <w:sz w:val="24"/>
            <w:szCs w:val="24"/>
          </w:rPr>
          <w:t>To date this hypothesis has not been tested.</w:t>
        </w:r>
      </w:ins>
    </w:p>
    <w:p>
      <w:pPr>
        <w:pStyle w:val="Normal"/>
        <w:spacing w:lineRule="auto" w:line="480"/>
        <w:ind w:firstLine="720"/>
        <w:rPr>
          <w:sz w:val="24"/>
          <w:szCs w:val="24"/>
          <w:ins w:id="362" w:author="LeBoldus, Jared" w:date="2022-10-25T15:49:00Z"/>
        </w:rPr>
      </w:pPr>
      <w:ins w:id="361" w:author="LeBoldus, Jared" w:date="2022-10-25T15:49:00Z">
        <w:r>
          <w:rPr/>
        </w:r>
      </w:ins>
    </w:p>
    <w:p>
      <w:pPr>
        <w:pStyle w:val="Normal"/>
        <w:spacing w:lineRule="auto" w:line="480"/>
        <w:ind w:firstLine="720"/>
        <w:rPr>
          <w:sz w:val="24"/>
          <w:szCs w:val="24"/>
        </w:rPr>
      </w:pPr>
      <w:ins w:id="363" w:author="LeBoldus, Jared" w:date="2022-10-27T09:10:00Z">
        <w:r>
          <w:rPr>
            <w:sz w:val="24"/>
            <w:szCs w:val="24"/>
          </w:rPr>
          <w:t xml:space="preserve">Long-term forest plot studies </w:t>
        </w:r>
      </w:ins>
      <w:ins w:id="364" w:author="LeBoldus, Jared" w:date="2022-10-27T09:13:00Z">
        <w:r>
          <w:rPr>
            <w:sz w:val="24"/>
            <w:szCs w:val="24"/>
          </w:rPr>
          <w:t>are</w:t>
        </w:r>
      </w:ins>
      <w:ins w:id="365" w:author="LeBoldus, Jared" w:date="2022-10-27T09:10:00Z">
        <w:r>
          <w:rPr>
            <w:sz w:val="24"/>
            <w:szCs w:val="24"/>
          </w:rPr>
          <w:t xml:space="preserve"> powerful sources of information, yet they </w:t>
        </w:r>
      </w:ins>
      <w:ins w:id="366" w:author="LeBoldus, Jared" w:date="2022-10-27T09:15:00Z">
        <w:r>
          <w:rPr>
            <w:sz w:val="24"/>
            <w:szCs w:val="24"/>
          </w:rPr>
          <w:t>are</w:t>
        </w:r>
      </w:ins>
      <w:ins w:id="367" w:author="LeBoldus, Jared" w:date="2022-10-27T09:10:00Z">
        <w:r>
          <w:rPr>
            <w:sz w:val="24"/>
            <w:szCs w:val="24"/>
          </w:rPr>
          <w:t xml:space="preserve"> scarce</w:t>
        </w:r>
      </w:ins>
      <w:ins w:id="368" w:author="LeBoldus, Jared" w:date="2022-10-27T09:15:00Z">
        <w:r>
          <w:rPr>
            <w:sz w:val="24"/>
            <w:szCs w:val="24"/>
          </w:rPr>
          <w:t xml:space="preserve"> for a variety of reasons</w:t>
        </w:r>
      </w:ins>
      <w:ins w:id="369" w:author="LeBoldus, Jared" w:date="2022-10-27T09:10:00Z">
        <w:r>
          <w:rPr>
            <w:sz w:val="24"/>
            <w:szCs w:val="24"/>
          </w:rPr>
          <w:t xml:space="preserve"> (Norris </w:t>
        </w:r>
      </w:ins>
      <w:r>
        <w:rPr>
          <w:sz w:val="24"/>
          <w:szCs w:val="24"/>
        </w:rPr>
        <w:t xml:space="preserve">et al. </w:t>
      </w:r>
      <w:ins w:id="370" w:author="LeBoldus, Jared" w:date="2022-10-27T09:10:00Z">
        <w:r>
          <w:rPr>
            <w:sz w:val="24"/>
            <w:szCs w:val="24"/>
          </w:rPr>
          <w:t xml:space="preserve">2014). </w:t>
        </w:r>
      </w:ins>
      <w:ins w:id="371" w:author="LeBoldus, Jared" w:date="2022-10-27T09:16:00Z">
        <w:r>
          <w:rPr>
            <w:sz w:val="24"/>
            <w:szCs w:val="24"/>
          </w:rPr>
          <w:t>Manipulative experiments</w:t>
        </w:r>
      </w:ins>
      <w:ins w:id="372" w:author="LeBoldus, Jared" w:date="2022-10-27T09:21:00Z">
        <w:r>
          <w:rPr>
            <w:sz w:val="24"/>
            <w:szCs w:val="24"/>
          </w:rPr>
          <w:t>,</w:t>
        </w:r>
      </w:ins>
      <w:ins w:id="373" w:author="LeBoldus, Jared" w:date="2022-10-27T09:16:00Z">
        <w:r>
          <w:rPr>
            <w:sz w:val="24"/>
            <w:szCs w:val="24"/>
          </w:rPr>
          <w:t xml:space="preserve"> </w:t>
        </w:r>
      </w:ins>
      <w:ins w:id="374" w:author="LeBoldus, Jared" w:date="2022-10-27T09:17:00Z">
        <w:r>
          <w:rPr>
            <w:sz w:val="24"/>
            <w:szCs w:val="24"/>
          </w:rPr>
          <w:t>examining</w:t>
        </w:r>
      </w:ins>
      <w:ins w:id="375" w:author="LeBoldus, Jared" w:date="2022-10-27T09:16:00Z">
        <w:r>
          <w:rPr>
            <w:sz w:val="24"/>
            <w:szCs w:val="24"/>
          </w:rPr>
          <w:t xml:space="preserve"> the effects of management on forests dynamics</w:t>
        </w:r>
      </w:ins>
      <w:ins w:id="376" w:author="LeBoldus, Jared" w:date="2022-10-27T09:21:00Z">
        <w:r>
          <w:rPr>
            <w:sz w:val="24"/>
            <w:szCs w:val="24"/>
          </w:rPr>
          <w:t>,</w:t>
        </w:r>
      </w:ins>
      <w:ins w:id="377" w:author="LeBoldus, Jared" w:date="2022-10-27T09:16:00Z">
        <w:r>
          <w:rPr>
            <w:sz w:val="24"/>
            <w:szCs w:val="24"/>
          </w:rPr>
          <w:t xml:space="preserve"> are even </w:t>
        </w:r>
      </w:ins>
      <w:ins w:id="378" w:author="LeBoldus, Jared" w:date="2022-10-27T09:21:00Z">
        <w:r>
          <w:rPr>
            <w:sz w:val="24"/>
            <w:szCs w:val="24"/>
          </w:rPr>
          <w:t>more rare in t</w:t>
        </w:r>
      </w:ins>
      <w:ins w:id="379" w:author="LeBoldus, Jared" w:date="2022-10-27T09:38:00Z">
        <w:r>
          <w:rPr>
            <w:sz w:val="24"/>
            <w:szCs w:val="24"/>
          </w:rPr>
          <w:t>he literature</w:t>
        </w:r>
      </w:ins>
      <w:ins w:id="380" w:author="LeBoldus, Jared" w:date="2022-10-27T09:21:00Z">
        <w:r>
          <w:rPr>
            <w:sz w:val="24"/>
            <w:szCs w:val="24"/>
          </w:rPr>
          <w:t xml:space="preserve">. </w:t>
        </w:r>
      </w:ins>
      <w:ins w:id="381" w:author="LeBoldus, Jared" w:date="2022-10-27T09:17:00Z">
        <w:r>
          <w:rPr>
            <w:sz w:val="24"/>
            <w:szCs w:val="24"/>
          </w:rPr>
          <w:t>However, d</w:t>
        </w:r>
      </w:ins>
      <w:del w:id="382" w:author="LeBoldus, Jared" w:date="2022-10-27T09:17:00Z">
        <w:r>
          <w:rPr>
            <w:sz w:val="24"/>
            <w:szCs w:val="24"/>
          </w:rPr>
          <w:delText>D</w:delText>
        </w:r>
      </w:del>
      <w:ins w:id="383" w:author="LeBoldus, Jared" w:date="2022-10-27T09:10:00Z">
        <w:r>
          <w:rPr>
            <w:sz w:val="24"/>
            <w:szCs w:val="24"/>
          </w:rPr>
          <w:t xml:space="preserve">ata from these studies </w:t>
        </w:r>
      </w:ins>
      <w:ins w:id="384" w:author="LeBoldus, Jared" w:date="2022-10-27T09:10:00Z">
        <w:r>
          <w:rPr>
            <w:sz w:val="24"/>
            <w:szCs w:val="24"/>
            <w:highlight w:val="white"/>
          </w:rPr>
          <w:t xml:space="preserve">can be </w:t>
        </w:r>
      </w:ins>
      <w:ins w:id="385" w:author="LeBoldus, Jared" w:date="2022-10-27T09:15:00Z">
        <w:r>
          <w:rPr>
            <w:sz w:val="24"/>
            <w:szCs w:val="24"/>
            <w:highlight w:val="white"/>
          </w:rPr>
          <w:t>used to</w:t>
        </w:r>
      </w:ins>
      <w:ins w:id="386" w:author="LeBoldus, Jared" w:date="2022-10-27T09:18:00Z">
        <w:r>
          <w:rPr>
            <w:sz w:val="24"/>
            <w:szCs w:val="24"/>
            <w:highlight w:val="white"/>
          </w:rPr>
          <w:t xml:space="preserve"> test</w:t>
        </w:r>
      </w:ins>
      <w:ins w:id="387" w:author="LeBoldus, Jared" w:date="2022-10-27T09:15:00Z">
        <w:r>
          <w:rPr>
            <w:sz w:val="24"/>
            <w:szCs w:val="24"/>
            <w:highlight w:val="white"/>
          </w:rPr>
          <w:t xml:space="preserve"> </w:t>
        </w:r>
      </w:ins>
      <w:ins w:id="388" w:author="LeBoldus, Jared" w:date="2022-10-27T09:17:00Z">
        <w:r>
          <w:rPr>
            <w:sz w:val="24"/>
            <w:szCs w:val="24"/>
            <w:highlight w:val="white"/>
          </w:rPr>
          <w:t>the effect of manag</w:t>
        </w:r>
      </w:ins>
      <w:ins w:id="389" w:author="LeBoldus, Jared" w:date="2022-10-27T09:18:00Z">
        <w:r>
          <w:rPr>
            <w:sz w:val="24"/>
            <w:szCs w:val="24"/>
            <w:highlight w:val="white"/>
          </w:rPr>
          <w:t>e</w:t>
        </w:r>
      </w:ins>
      <w:ins w:id="390" w:author="LeBoldus, Jared" w:date="2022-10-27T09:17:00Z">
        <w:r>
          <w:rPr>
            <w:sz w:val="24"/>
            <w:szCs w:val="24"/>
            <w:highlight w:val="white"/>
          </w:rPr>
          <w:t>men</w:t>
        </w:r>
      </w:ins>
      <w:ins w:id="391" w:author="LeBoldus, Jared" w:date="2022-10-27T09:18:00Z">
        <w:r>
          <w:rPr>
            <w:sz w:val="24"/>
            <w:szCs w:val="24"/>
            <w:highlight w:val="white"/>
          </w:rPr>
          <w:t>t</w:t>
        </w:r>
      </w:ins>
      <w:ins w:id="392" w:author="LeBoldus, Jared" w:date="2022-10-27T09:17:00Z">
        <w:r>
          <w:rPr>
            <w:sz w:val="24"/>
            <w:szCs w:val="24"/>
            <w:highlight w:val="white"/>
          </w:rPr>
          <w:t xml:space="preserve"> </w:t>
        </w:r>
      </w:ins>
      <w:ins w:id="393" w:author="LeBoldus, Jared" w:date="2022-10-27T09:19:00Z">
        <w:r>
          <w:rPr>
            <w:sz w:val="24"/>
            <w:szCs w:val="24"/>
            <w:highlight w:val="white"/>
          </w:rPr>
          <w:t xml:space="preserve">regimes </w:t>
        </w:r>
      </w:ins>
      <w:ins w:id="394" w:author="LeBoldus, Jared" w:date="2022-10-27T09:17:00Z">
        <w:r>
          <w:rPr>
            <w:sz w:val="24"/>
            <w:szCs w:val="24"/>
            <w:highlight w:val="white"/>
          </w:rPr>
          <w:t>o</w:t>
        </w:r>
      </w:ins>
      <w:ins w:id="395" w:author="LeBoldus, Jared" w:date="2022-10-27T09:18:00Z">
        <w:r>
          <w:rPr>
            <w:sz w:val="24"/>
            <w:szCs w:val="24"/>
            <w:highlight w:val="white"/>
          </w:rPr>
          <w:t>n</w:t>
        </w:r>
      </w:ins>
      <w:ins w:id="396" w:author="LeBoldus, Jared" w:date="2022-10-27T09:17:00Z">
        <w:r>
          <w:rPr>
            <w:sz w:val="24"/>
            <w:szCs w:val="24"/>
            <w:highlight w:val="white"/>
          </w:rPr>
          <w:t xml:space="preserve"> forest </w:t>
        </w:r>
      </w:ins>
      <w:ins w:id="397" w:author="LeBoldus, Jared" w:date="2022-10-27T09:19:00Z">
        <w:r>
          <w:rPr>
            <w:sz w:val="24"/>
            <w:szCs w:val="24"/>
            <w:highlight w:val="white"/>
          </w:rPr>
          <w:t>struct</w:t>
        </w:r>
      </w:ins>
      <w:ins w:id="398" w:author="LeBoldus, Jared" w:date="2022-10-27T09:21:00Z">
        <w:r>
          <w:rPr>
            <w:sz w:val="24"/>
            <w:szCs w:val="24"/>
            <w:highlight w:val="white"/>
          </w:rPr>
          <w:t>u</w:t>
        </w:r>
      </w:ins>
      <w:ins w:id="399" w:author="LeBoldus, Jared" w:date="2022-10-27T09:19:00Z">
        <w:r>
          <w:rPr>
            <w:sz w:val="24"/>
            <w:szCs w:val="24"/>
            <w:highlight w:val="white"/>
          </w:rPr>
          <w:t>re and function</w:t>
        </w:r>
      </w:ins>
      <w:ins w:id="400" w:author="LeBoldus, Jared" w:date="2022-10-27T09:17:00Z">
        <w:r>
          <w:rPr>
            <w:sz w:val="24"/>
            <w:szCs w:val="24"/>
            <w:highlight w:val="white"/>
          </w:rPr>
          <w:t xml:space="preserve"> and to validate models</w:t>
        </w:r>
      </w:ins>
      <w:ins w:id="401" w:author="LeBoldus, Jared" w:date="2022-10-27T09:39:00Z">
        <w:r>
          <w:rPr>
            <w:sz w:val="24"/>
            <w:szCs w:val="24"/>
            <w:highlight w:val="white"/>
          </w:rPr>
          <w:t>, which were initially developed</w:t>
        </w:r>
      </w:ins>
      <w:ins w:id="402" w:author="LeBoldus, Jared" w:date="2022-10-27T09:39:00Z">
        <w:r>
          <w:rPr>
            <w:sz w:val="24"/>
            <w:szCs w:val="24"/>
          </w:rPr>
          <w:t xml:space="preserve"> to circumvent limited data availability</w:t>
        </w:r>
      </w:ins>
      <w:ins w:id="403" w:author="LeBoldus, Jared" w:date="2022-10-27T09:38:00Z">
        <w:r>
          <w:rPr>
            <w:sz w:val="24"/>
            <w:szCs w:val="24"/>
            <w:highlight w:val="white"/>
          </w:rPr>
          <w:t>,</w:t>
        </w:r>
      </w:ins>
      <w:ins w:id="404" w:author="LeBoldus, Jared" w:date="2022-10-27T09:17:00Z">
        <w:r>
          <w:rPr>
            <w:sz w:val="24"/>
            <w:szCs w:val="24"/>
            <w:highlight w:val="white"/>
          </w:rPr>
          <w:t xml:space="preserve"> </w:t>
        </w:r>
      </w:ins>
      <w:ins w:id="405" w:author="Sarah Hoffman" w:date="2022-11-05T12:23:00Z">
        <w:r>
          <w:rPr>
            <w:sz w:val="24"/>
            <w:szCs w:val="24"/>
            <w:highlight w:val="white"/>
          </w:rPr>
          <w:t xml:space="preserve">and </w:t>
        </w:r>
      </w:ins>
      <w:ins w:id="406" w:author="LeBoldus, Jared" w:date="2022-10-27T09:18:00Z">
        <w:r>
          <w:rPr>
            <w:sz w:val="24"/>
            <w:szCs w:val="24"/>
            <w:highlight w:val="white"/>
          </w:rPr>
          <w:t xml:space="preserve">used to predict </w:t>
        </w:r>
      </w:ins>
      <w:ins w:id="407" w:author="LeBoldus, Jared" w:date="2022-10-27T09:19:00Z">
        <w:r>
          <w:rPr>
            <w:sz w:val="24"/>
            <w:szCs w:val="24"/>
            <w:highlight w:val="white"/>
          </w:rPr>
          <w:t>the impact of management on forest dynamics</w:t>
        </w:r>
      </w:ins>
      <w:ins w:id="408" w:author="LeBoldus, Jared" w:date="2022-10-27T09:22:00Z">
        <w:r>
          <w:rPr>
            <w:sz w:val="24"/>
            <w:szCs w:val="24"/>
            <w:highlight w:val="white"/>
          </w:rPr>
          <w:t xml:space="preserve"> </w:t>
        </w:r>
      </w:ins>
      <w:ins w:id="409" w:author="LeBoldus, Jared" w:date="2022-10-27T09:20:00Z">
        <w:r>
          <w:rPr>
            <w:sz w:val="24"/>
            <w:szCs w:val="24"/>
          </w:rPr>
          <w:t xml:space="preserve">(Pretzsch </w:t>
        </w:r>
      </w:ins>
      <w:r>
        <w:rPr>
          <w:sz w:val="24"/>
          <w:szCs w:val="24"/>
        </w:rPr>
        <w:t xml:space="preserve">et al. </w:t>
      </w:r>
      <w:ins w:id="410" w:author="LeBoldus, Jared" w:date="2022-10-27T09:20:00Z">
        <w:r>
          <w:rPr>
            <w:sz w:val="24"/>
            <w:szCs w:val="24"/>
          </w:rPr>
          <w:t xml:space="preserve">2014; Pretzsch </w:t>
        </w:r>
      </w:ins>
      <w:r>
        <w:rPr>
          <w:sz w:val="24"/>
          <w:szCs w:val="24"/>
        </w:rPr>
        <w:t xml:space="preserve">et al. </w:t>
      </w:r>
      <w:ins w:id="411" w:author="LeBoldus, Jared" w:date="2022-10-27T09:20:00Z">
        <w:r>
          <w:rPr>
            <w:sz w:val="24"/>
            <w:szCs w:val="24"/>
          </w:rPr>
          <w:t>2008). The Forest Vegetation Simulator (FVS) is one such model that is commonly used within the United States Forest Service (USFS) as a tool for developing forest health and management strategies. The Western Root Disease Model (WRDM) is an extension of FVS that is used for investigating the spread of root disease from a below ground perspective (Peet and Hunt 2005).</w:t>
        </w:r>
      </w:ins>
      <w:ins w:id="412" w:author="LeBoldus, Jared" w:date="2022-10-27T09:20:00Z">
        <w:r>
          <w:rPr>
            <w:sz w:val="20"/>
            <w:szCs w:val="20"/>
            <w:highlight w:val="white"/>
          </w:rPr>
          <w:t xml:space="preserve"> </w:t>
        </w:r>
      </w:ins>
      <w:ins w:id="413" w:author="LeBoldus, Jared" w:date="2022-10-27T09:24:00Z">
        <w:r>
          <w:rPr>
            <w:sz w:val="24"/>
            <w:szCs w:val="24"/>
          </w:rPr>
          <w:t>There have been few studies conducted that have used long-term permanent plots to assess the accuracy of the WRDM</w:t>
        </w:r>
      </w:ins>
      <w:ins w:id="414" w:author="LeBoldus, Jared" w:date="2022-10-27T09:40:00Z">
        <w:r>
          <w:rPr>
            <w:sz w:val="24"/>
            <w:szCs w:val="24"/>
          </w:rPr>
          <w:t xml:space="preserve"> (</w:t>
        </w:r>
      </w:ins>
      <w:r>
        <w:rPr>
          <w:sz w:val="24"/>
          <w:szCs w:val="24"/>
        </w:rPr>
        <w:t>Frankel et al.1998;</w:t>
      </w:r>
      <w:ins w:id="415" w:author="LeBoldus, Jared" w:date="2022-10-27T09:42:00Z">
        <w:r>
          <w:rPr>
            <w:sz w:val="24"/>
            <w:szCs w:val="24"/>
          </w:rPr>
          <w:t xml:space="preserve"> Maffei</w:t>
        </w:r>
      </w:ins>
      <w:r>
        <w:rPr>
          <w:sz w:val="24"/>
          <w:szCs w:val="24"/>
        </w:rPr>
        <w:t xml:space="preserve"> et al. 2008</w:t>
      </w:r>
      <w:ins w:id="416" w:author="LeBoldus, Jared" w:date="2022-10-27T09:40:00Z">
        <w:r>
          <w:rPr>
            <w:sz w:val="24"/>
            <w:szCs w:val="24"/>
          </w:rPr>
          <w:t xml:space="preserve">) and none specifically examining </w:t>
        </w:r>
      </w:ins>
      <w:ins w:id="417" w:author="LeBoldus, Jared" w:date="2022-10-27T09:24:00Z">
        <w:r>
          <w:rPr>
            <w:sz w:val="24"/>
            <w:szCs w:val="24"/>
          </w:rPr>
          <w:t>the i</w:t>
        </w:r>
      </w:ins>
      <w:ins w:id="418" w:author="LeBoldus, Jared" w:date="2022-10-27T09:40:00Z">
        <w:r>
          <w:rPr>
            <w:sz w:val="24"/>
            <w:szCs w:val="24"/>
          </w:rPr>
          <w:t>m</w:t>
        </w:r>
      </w:ins>
      <w:ins w:id="419" w:author="LeBoldus, Jared" w:date="2022-10-27T09:24:00Z">
        <w:r>
          <w:rPr>
            <w:sz w:val="24"/>
            <w:szCs w:val="24"/>
          </w:rPr>
          <w:t>pact of LRR on stand dynamics.</w:t>
        </w:r>
      </w:ins>
    </w:p>
    <w:p>
      <w:pPr>
        <w:pStyle w:val="Normal"/>
        <w:spacing w:lineRule="auto" w:line="480"/>
        <w:ind w:firstLine="720"/>
        <w:rPr>
          <w:sz w:val="24"/>
          <w:szCs w:val="24"/>
        </w:rPr>
      </w:pPr>
      <w:ins w:id="420" w:author="LeBoldus, Jared" w:date="2022-10-27T09:26:00Z">
        <w:r>
          <w:rPr>
            <w:sz w:val="24"/>
            <w:szCs w:val="24"/>
          </w:rPr>
          <w:t>The overall aim of th</w:t>
        </w:r>
      </w:ins>
      <w:ins w:id="421" w:author="LeBoldus, Jared" w:date="2022-10-27T09:41:00Z">
        <w:r>
          <w:rPr>
            <w:sz w:val="24"/>
            <w:szCs w:val="24"/>
          </w:rPr>
          <w:t>is</w:t>
        </w:r>
      </w:ins>
      <w:ins w:id="422" w:author="LeBoldus, Jared" w:date="2022-10-27T09:26:00Z">
        <w:r>
          <w:rPr>
            <w:sz w:val="24"/>
            <w:szCs w:val="24"/>
          </w:rPr>
          <w:t xml:space="preserve"> stud</w:t>
        </w:r>
      </w:ins>
      <w:ins w:id="423" w:author="LeBoldus, Jared" w:date="2022-10-27T09:43:00Z">
        <w:r>
          <w:rPr>
            <w:sz w:val="24"/>
            <w:szCs w:val="24"/>
          </w:rPr>
          <w:t>y</w:t>
        </w:r>
      </w:ins>
      <w:ins w:id="424" w:author="LeBoldus, Jared" w:date="2022-10-27T09:26:00Z">
        <w:r>
          <w:rPr>
            <w:sz w:val="24"/>
            <w:szCs w:val="24"/>
          </w:rPr>
          <w:t xml:space="preserve"> was to develop a better understanding of the interaction between forest management practices and </w:t>
        </w:r>
      </w:ins>
      <w:ins w:id="425" w:author="LeBoldus, Jared" w:date="2022-10-27T09:26:00Z">
        <w:r>
          <w:rPr>
            <w:i/>
            <w:iCs/>
            <w:sz w:val="24"/>
            <w:szCs w:val="24"/>
          </w:rPr>
          <w:t>C. sulphurascens</w:t>
        </w:r>
      </w:ins>
      <w:ins w:id="426" w:author="LeBoldus, Jared" w:date="2022-10-27T09:26:00Z">
        <w:r>
          <w:rPr>
            <w:sz w:val="24"/>
            <w:szCs w:val="24"/>
          </w:rPr>
          <w:t xml:space="preserve">, the cause of LRR. Specifically, </w:t>
        </w:r>
      </w:ins>
      <w:ins w:id="427" w:author="LeBoldus, Jared" w:date="2022-10-27T09:26:00Z">
        <w:r>
          <w:rPr>
            <w:rFonts w:eastAsia="NSimSun" w:cs="Lucida Sans"/>
            <w:kern w:val="2"/>
            <w:sz w:val="24"/>
            <w:szCs w:val="24"/>
            <w:lang w:val="en-US" w:eastAsia="zh-CN" w:bidi="hi-IN"/>
          </w:rPr>
          <w:t xml:space="preserve">the studies aimed to </w:t>
        </w:r>
      </w:ins>
      <w:ins w:id="428" w:author="LeBoldus, Jared" w:date="2022-10-27T09:26:00Z">
        <w:r>
          <w:rPr>
            <w:sz w:val="24"/>
            <w:szCs w:val="24"/>
          </w:rPr>
          <w:t xml:space="preserve">determine the effects of commercial thinning </w:t>
        </w:r>
      </w:ins>
      <w:ins w:id="429" w:author="LeBoldus, Jared" w:date="2022-10-27T09:26:00Z">
        <w:r>
          <w:rPr>
            <w:rFonts w:eastAsia="NSimSun" w:cs="Lucida Sans"/>
            <w:kern w:val="2"/>
            <w:sz w:val="24"/>
            <w:szCs w:val="24"/>
            <w:lang w:val="en-US" w:eastAsia="zh-CN" w:bidi="hi-IN"/>
          </w:rPr>
          <w:t xml:space="preserve">treatments </w:t>
        </w:r>
      </w:ins>
      <w:ins w:id="430" w:author="LeBoldus, Jared" w:date="2022-10-27T09:26:00Z">
        <w:r>
          <w:rPr>
            <w:sz w:val="24"/>
            <w:szCs w:val="24"/>
          </w:rPr>
          <w:t xml:space="preserve">and hardwood rotations on growth and mortality of Douglas-fir on sites with high </w:t>
        </w:r>
      </w:ins>
      <w:ins w:id="431" w:author="LeBoldus, Jared" w:date="2022-10-27T09:26:00Z">
        <w:r>
          <w:rPr>
            <w:rFonts w:eastAsia="NSimSun" w:cs="Lucida Sans"/>
            <w:kern w:val="2"/>
            <w:sz w:val="24"/>
            <w:szCs w:val="24"/>
            <w:lang w:val="en-US" w:eastAsia="zh-CN" w:bidi="hi-IN"/>
          </w:rPr>
          <w:t xml:space="preserve">incidence of </w:t>
        </w:r>
      </w:ins>
      <w:ins w:id="432" w:author="LeBoldus, Jared" w:date="2022-10-27T09:26:00Z">
        <w:r>
          <w:rPr>
            <w:sz w:val="24"/>
            <w:szCs w:val="24"/>
          </w:rPr>
          <w:t>LRR</w:t>
        </w:r>
      </w:ins>
      <w:ins w:id="433" w:author="LeBoldus, Jared" w:date="2022-10-27T09:26:00Z">
        <w:r>
          <w:rPr>
            <w:i/>
            <w:iCs/>
            <w:sz w:val="24"/>
            <w:szCs w:val="24"/>
          </w:rPr>
          <w:t>.</w:t>
        </w:r>
      </w:ins>
      <w:r>
        <w:rPr>
          <w:i/>
          <w:iCs/>
          <w:sz w:val="24"/>
          <w:szCs w:val="24"/>
        </w:rPr>
        <w:t xml:space="preserve"> </w:t>
      </w:r>
      <w:ins w:id="434" w:author="Sarah Hoffman" w:date="2022-11-05T12:29:00Z">
        <w:r>
          <w:rPr>
            <w:sz w:val="24"/>
            <w:szCs w:val="24"/>
          </w:rPr>
          <w:t>T</w:t>
        </w:r>
      </w:ins>
      <w:ins w:id="435" w:author="Sarah Hoffman" w:date="2022-11-05T12:30:00Z">
        <w:r>
          <w:rPr>
            <w:sz w:val="24"/>
            <w:szCs w:val="24"/>
          </w:rPr>
          <w:t>he</w:t>
        </w:r>
      </w:ins>
      <w:ins w:id="436" w:author="Sarah Hoffman" w:date="2022-11-05T12:29:00Z">
        <w:r>
          <w:rPr>
            <w:sz w:val="24"/>
            <w:szCs w:val="24"/>
          </w:rPr>
          <w:t xml:space="preserve"> </w:t>
        </w:r>
      </w:ins>
      <w:ins w:id="437" w:author="Sarah Hoffman" w:date="2022-11-05T12:30:00Z">
        <w:r>
          <w:rPr>
            <w:sz w:val="24"/>
            <w:szCs w:val="24"/>
          </w:rPr>
          <w:t xml:space="preserve">study </w:t>
        </w:r>
      </w:ins>
      <w:del w:id="438" w:author="Shawn McMurtrey" w:date="2022-11-15T20:21:00Z">
        <w:r>
          <w:rPr>
            <w:sz w:val="24"/>
            <w:szCs w:val="24"/>
          </w:rPr>
          <w:delText>investigating</w:delText>
        </w:r>
      </w:del>
      <w:ins w:id="439" w:author="Shawn McMurtrey" w:date="2022-11-15T20:21:00Z">
        <w:r>
          <w:rPr>
            <w:sz w:val="24"/>
            <w:szCs w:val="24"/>
          </w:rPr>
          <w:t>design for the</w:t>
        </w:r>
      </w:ins>
      <w:ins w:id="440" w:author="Sarah Hoffman" w:date="2022-11-05T12:30:00Z">
        <w:r>
          <w:rPr>
            <w:sz w:val="24"/>
            <w:szCs w:val="24"/>
          </w:rPr>
          <w:t xml:space="preserve"> commercial thinning </w:t>
        </w:r>
      </w:ins>
      <w:ins w:id="441" w:author="Sarah Hoffman" w:date="2022-11-05T12:34:00Z">
        <w:r>
          <w:rPr>
            <w:sz w:val="24"/>
            <w:szCs w:val="24"/>
          </w:rPr>
          <w:t>tested</w:t>
        </w:r>
      </w:ins>
      <w:ins w:id="442" w:author="Sarah Hoffman" w:date="2022-11-05T12:31:00Z">
        <w:r>
          <w:rPr>
            <w:sz w:val="24"/>
            <w:szCs w:val="24"/>
          </w:rPr>
          <w:t xml:space="preserve"> two treatments types which included a lightly thinned treatment and a heavily thinned treatme</w:t>
        </w:r>
      </w:ins>
      <w:ins w:id="443" w:author="Shawn McMurtrey" w:date="2022-11-08T14:18:00Z">
        <w:r>
          <w:rPr>
            <w:sz w:val="24"/>
            <w:szCs w:val="24"/>
          </w:rPr>
          <w:t>n</w:t>
        </w:r>
      </w:ins>
      <w:del w:id="444" w:author="Shawn McMurtrey" w:date="2022-11-08T14:18:00Z">
        <w:r>
          <w:rPr>
            <w:sz w:val="24"/>
            <w:szCs w:val="24"/>
          </w:rPr>
          <w:delText>n</w:delText>
        </w:r>
      </w:del>
      <w:ins w:id="445" w:author="Sarah Hoffman" w:date="2022-11-05T12:31:00Z">
        <w:r>
          <w:rPr>
            <w:sz w:val="24"/>
            <w:szCs w:val="24"/>
          </w:rPr>
          <w:t xml:space="preserve">t. </w:t>
        </w:r>
      </w:ins>
      <w:del w:id="446" w:author="Shawn McMurtrey" w:date="2022-11-15T20:21:00Z">
        <w:r>
          <w:rPr>
            <w:sz w:val="24"/>
            <w:szCs w:val="24"/>
          </w:rPr>
          <w:delText>For t</w:delText>
        </w:r>
      </w:del>
      <w:del w:id="447" w:author="Shawn McMurtrey" w:date="2022-11-15T20:21:00Z">
        <w:r>
          <w:rPr>
            <w:sz w:val="24"/>
            <w:szCs w:val="24"/>
          </w:rPr>
          <w:delText>he</w:delText>
        </w:r>
      </w:del>
      <w:ins w:id="448" w:author="Shawn McMurtrey" w:date="2022-11-15T20:21:00Z">
        <w:r>
          <w:rPr>
            <w:sz w:val="24"/>
            <w:szCs w:val="24"/>
          </w:rPr>
          <w:t xml:space="preserve">The </w:t>
        </w:r>
      </w:ins>
      <w:del w:id="449" w:author="Shawn McMurtrey" w:date="2022-11-15T20:21:00Z">
        <w:r>
          <w:rPr>
            <w:sz w:val="24"/>
            <w:szCs w:val="24"/>
          </w:rPr>
          <w:delText xml:space="preserve"> </w:delText>
        </w:r>
      </w:del>
      <w:ins w:id="450" w:author="Sarah Hoffman" w:date="2022-11-05T12:31:00Z">
        <w:r>
          <w:rPr>
            <w:sz w:val="24"/>
            <w:szCs w:val="24"/>
          </w:rPr>
          <w:t>hardwood rotation study</w:t>
        </w:r>
      </w:ins>
      <w:ins w:id="451" w:author="Sarah Hoffman" w:date="2022-11-05T12:33:00Z">
        <w:r>
          <w:rPr>
            <w:sz w:val="24"/>
            <w:szCs w:val="24"/>
          </w:rPr>
          <w:t xml:space="preserve">, </w:t>
        </w:r>
      </w:ins>
      <w:ins w:id="452" w:author="Shawn McMurtrey" w:date="2022-11-15T20:21:00Z">
        <w:r>
          <w:rPr>
            <w:sz w:val="24"/>
            <w:szCs w:val="24"/>
          </w:rPr>
          <w:t>included</w:t>
        </w:r>
      </w:ins>
      <w:ins w:id="453" w:author="Shawn McMurtrey" w:date="2022-11-15T20:22:00Z">
        <w:r>
          <w:rPr>
            <w:sz w:val="24"/>
            <w:szCs w:val="24"/>
          </w:rPr>
          <w:t xml:space="preserve"> </w:t>
        </w:r>
      </w:ins>
      <w:ins w:id="454" w:author="Sarah Hoffman" w:date="2022-11-05T12:33:00Z">
        <w:r>
          <w:rPr>
            <w:sz w:val="24"/>
            <w:szCs w:val="24"/>
          </w:rPr>
          <w:t>12 year and 25 year ro</w:t>
        </w:r>
      </w:ins>
      <w:ins w:id="455" w:author="Sarah Hoffman" w:date="2022-11-05T12:34:00Z">
        <w:r>
          <w:rPr>
            <w:sz w:val="24"/>
            <w:szCs w:val="24"/>
          </w:rPr>
          <w:t>t</w:t>
        </w:r>
      </w:ins>
      <w:ins w:id="456" w:author="Sarah Hoffman" w:date="2022-11-05T12:33:00Z">
        <w:r>
          <w:rPr>
            <w:sz w:val="24"/>
            <w:szCs w:val="24"/>
          </w:rPr>
          <w:t>ations of red alder and cottonwood</w:t>
        </w:r>
      </w:ins>
      <w:ins w:id="457" w:author="Shawn McMurtrey" w:date="2022-11-15T20:22:00Z">
        <w:r>
          <w:rPr>
            <w:sz w:val="24"/>
            <w:szCs w:val="24"/>
          </w:rPr>
          <w:t xml:space="preserve"> followed by planting of Douglas-fir.</w:t>
        </w:r>
      </w:ins>
      <w:del w:id="458" w:author="Shawn McMurtrey" w:date="2022-11-15T20:22:00Z">
        <w:r>
          <w:rPr>
            <w:sz w:val="24"/>
            <w:szCs w:val="24"/>
          </w:rPr>
          <w:delText xml:space="preserve"> were conducted exp</w:delText>
        </w:r>
      </w:del>
      <w:del w:id="459" w:author="Shawn McMurtrey" w:date="2022-11-15T20:22:00Z">
        <w:r>
          <w:rPr>
            <w:sz w:val="24"/>
            <w:szCs w:val="24"/>
          </w:rPr>
          <w:delText>erimentally.</w:delText>
        </w:r>
      </w:del>
      <w:del w:id="460" w:author="Shawn McMurtrey" w:date="2022-11-15T20:22:00Z">
        <w:r>
          <w:rPr>
            <w:i/>
            <w:iCs/>
            <w:sz w:val="24"/>
            <w:szCs w:val="24"/>
          </w:rPr>
          <w:delText xml:space="preserve">XXXX IWOULD ADD A SENTENCE BRIEFLY DESCRIBING THE TWO EXPERIMENTSXXXXX </w:delText>
        </w:r>
      </w:del>
      <w:ins w:id="461" w:author="LeBoldus, Jared" w:date="2022-10-27T09:26:00Z">
        <w:r>
          <w:rPr>
            <w:sz w:val="24"/>
            <w:szCs w:val="24"/>
          </w:rPr>
          <w:t>The objectives were to: (i) evaluate the effect of thinning on Douglas-fir growth and LRR</w:t>
        </w:r>
      </w:ins>
      <w:ins w:id="462" w:author="LeBoldus, Jared" w:date="2022-10-27T09:26:00Z">
        <w:r>
          <w:rPr>
            <w:i/>
            <w:iCs/>
            <w:sz w:val="24"/>
            <w:szCs w:val="24"/>
          </w:rPr>
          <w:t>-</w:t>
        </w:r>
      </w:ins>
      <w:ins w:id="463" w:author="LeBoldus, Jared" w:date="2022-10-27T09:26:00Z">
        <w:r>
          <w:rPr>
            <w:sz w:val="24"/>
            <w:szCs w:val="24"/>
          </w:rPr>
          <w:t xml:space="preserve">induced mortality; (ii) compare the rate of spread of </w:t>
        </w:r>
      </w:ins>
      <w:ins w:id="464" w:author="LeBoldus, Jared" w:date="2022-10-27T09:26:00Z">
        <w:r>
          <w:rPr>
            <w:i/>
            <w:iCs/>
            <w:sz w:val="24"/>
            <w:szCs w:val="24"/>
          </w:rPr>
          <w:t>C. sulphurascens</w:t>
        </w:r>
      </w:ins>
      <w:ins w:id="465" w:author="LeBoldus, Jared" w:date="2022-10-27T09:26:00Z">
        <w:r>
          <w:rPr>
            <w:sz w:val="24"/>
            <w:szCs w:val="24"/>
          </w:rPr>
          <w:t xml:space="preserve"> in thinned and unthinned stands; (iii) evaluate the effect of hardwood rotations on Douglas-fir growth and LRR-induced mortality; (iv) validate the ability of the </w:t>
        </w:r>
      </w:ins>
      <w:ins w:id="466" w:author="LeBoldus, Jared" w:date="2022-10-27T09:42:00Z">
        <w:r>
          <w:rPr>
            <w:sz w:val="24"/>
            <w:szCs w:val="24"/>
          </w:rPr>
          <w:t>FVS</w:t>
        </w:r>
      </w:ins>
      <w:ins w:id="467" w:author="LeBoldus, Jared" w:date="2022-10-27T09:26:00Z">
        <w:r>
          <w:rPr>
            <w:sz w:val="24"/>
            <w:szCs w:val="24"/>
          </w:rPr>
          <w:t xml:space="preserve"> and </w:t>
        </w:r>
      </w:ins>
      <w:ins w:id="468" w:author="LeBoldus, Jared" w:date="2022-10-27T09:42:00Z">
        <w:r>
          <w:rPr>
            <w:sz w:val="24"/>
            <w:szCs w:val="24"/>
          </w:rPr>
          <w:t>WRDM</w:t>
        </w:r>
      </w:ins>
      <w:ins w:id="469" w:author="LeBoldus, Jared" w:date="2022-10-27T09:26:00Z">
        <w:r>
          <w:rPr>
            <w:sz w:val="24"/>
            <w:szCs w:val="24"/>
          </w:rPr>
          <w:t xml:space="preserve"> to predict growth and yield of stands severely impacted by </w:t>
        </w:r>
      </w:ins>
      <w:ins w:id="470" w:author="LeBoldus, Jared" w:date="2022-10-27T09:26:00Z">
        <w:r>
          <w:rPr>
            <w:i/>
            <w:iCs/>
            <w:sz w:val="24"/>
            <w:szCs w:val="24"/>
          </w:rPr>
          <w:t xml:space="preserve">C. sulphurascens </w:t>
        </w:r>
      </w:ins>
      <w:ins w:id="471" w:author="LeBoldus, Jared" w:date="2022-10-27T09:26:00Z">
        <w:r>
          <w:rPr>
            <w:sz w:val="24"/>
            <w:szCs w:val="24"/>
          </w:rPr>
          <w:t>following thinning and alternate host rotation treatments.</w:t>
        </w:r>
      </w:ins>
      <w:del w:id="472" w:author="LeBoldus, Jared" w:date="2022-10-27T09:19:00Z">
        <w:r>
          <w:rPr>
            <w:sz w:val="24"/>
            <w:szCs w:val="24"/>
            <w:highlight w:val="white"/>
          </w:rPr>
          <w:delText>valuable for better understanding the spread and impact of forest pathogens in response to climate change.</w:delText>
        </w:r>
      </w:del>
      <w:del w:id="473" w:author="LeBoldus, Jared" w:date="2022-10-27T09:19:00Z">
        <w:r>
          <w:rPr>
            <w:sz w:val="24"/>
            <w:szCs w:val="24"/>
          </w:rPr>
          <w:delText xml:space="preserve"> These studies might influence management options, to adjust for alternative forest products or reduced profits (</w:delText>
        </w:r>
      </w:del>
      <w:del w:id="474" w:author="LeBoldus, Jared" w:date="2022-10-27T09:19:00Z">
        <w:r>
          <w:rPr>
            <w:sz w:val="24"/>
            <w:szCs w:val="24"/>
            <w:highlight w:val="white"/>
          </w:rPr>
          <w:delText>Hansen and Goheen, 2000; Thies and Sturrock, 1995)</w:delText>
        </w:r>
      </w:del>
      <w:del w:id="475" w:author="LeBoldus, Jared" w:date="2022-10-27T09:19:00Z">
        <w:r>
          <w:rPr>
            <w:sz w:val="24"/>
            <w:szCs w:val="24"/>
          </w:rPr>
          <w:delText>. The long-term forest plot studies provide valuable data that can be used statistically alongside with models, to make predictions and to further understand forest dynamics</w:delText>
        </w:r>
      </w:del>
      <w:del w:id="476" w:author="LeBoldus, Jared" w:date="2022-10-27T09:20:00Z">
        <w:r>
          <w:rPr>
            <w:sz w:val="24"/>
            <w:szCs w:val="24"/>
          </w:rPr>
          <w:delText>.</w:delText>
        </w:r>
      </w:del>
    </w:p>
    <w:p>
      <w:pPr>
        <w:pStyle w:val="Normal"/>
        <w:spacing w:lineRule="auto" w:line="480"/>
        <w:rPr>
          <w:del w:id="478" w:author="LeBoldus, Jared" w:date="2022-10-27T09:07:00Z"/>
        </w:rPr>
      </w:pPr>
      <w:del w:id="477" w:author="LeBoldus, Jared" w:date="2022-10-27T09:07:00Z">
        <w:r>
          <w:rPr>
            <w:sz w:val="24"/>
            <w:szCs w:val="24"/>
          </w:rPr>
          <w:delText xml:space="preserve">The Woods Creek study was established to investigate the thinning the impacts of thinning operations on LRR. </w:delText>
        </w:r>
      </w:del>
    </w:p>
    <w:p>
      <w:pPr>
        <w:pStyle w:val="Normal"/>
        <w:spacing w:lineRule="auto" w:line="480"/>
        <w:rPr/>
      </w:pPr>
      <w:del w:id="479" w:author="LeBoldus, Jared" w:date="2022-10-27T09:05:00Z">
        <w:r>
          <w:rPr>
            <w:sz w:val="24"/>
            <w:szCs w:val="24"/>
          </w:rPr>
          <w:delText xml:space="preserve">Another management strategy when dealing with a disease of the site is planting of alternate resistant hosts. Red alder (Alnus rubra Bong.) has been shown to resist attack from C. sulphurascens. This is likely due to the phenolics, and fatty acids produced by red alder. (Trappe, 1972; Li </w:delText>
        </w:r>
      </w:del>
      <w:r>
        <w:rPr/>
        <w:br/>
      </w:r>
      <w:r>
        <w:rPr>
          <w:b/>
          <w:sz w:val="28"/>
          <w:szCs w:val="28"/>
        </w:rPr>
        <w:t>2. Methods</w:t>
      </w:r>
    </w:p>
    <w:p>
      <w:pPr>
        <w:pStyle w:val="Normal"/>
        <w:spacing w:lineRule="auto" w:line="480"/>
        <w:rPr/>
      </w:pPr>
      <w:r>
        <w:rPr>
          <w:b/>
          <w:sz w:val="24"/>
          <w:szCs w:val="24"/>
        </w:rPr>
        <w:t>2.1 Woods Creek thinning study</w:t>
      </w:r>
    </w:p>
    <w:p>
      <w:pPr>
        <w:pStyle w:val="Normal"/>
        <w:spacing w:lineRule="auto" w:line="480"/>
        <w:rPr>
          <w:sz w:val="24"/>
          <w:szCs w:val="24"/>
        </w:rPr>
      </w:pPr>
      <w:r>
        <w:rPr>
          <w:b/>
          <w:sz w:val="24"/>
          <w:szCs w:val="24"/>
        </w:rPr>
        <w:t>2.1.1 Study area</w:t>
      </w:r>
    </w:p>
    <w:p>
      <w:pPr>
        <w:pStyle w:val="Heading1"/>
        <w:shd w:val="clear" w:color="auto" w:fill="FFFFFF"/>
        <w:spacing w:lineRule="auto" w:line="480" w:before="0" w:after="0"/>
        <w:textAlignment w:val="baseline"/>
        <w:rPr>
          <w:sz w:val="24"/>
          <w:szCs w:val="24"/>
          <w:ins w:id="512" w:author="LeBoldus, Jared" w:date="2022-10-27T09:53:00Z"/>
        </w:rPr>
      </w:pPr>
      <w:r>
        <w:rPr>
          <w:sz w:val="24"/>
          <w:szCs w:val="24"/>
        </w:rPr>
        <w:t>Th</w:t>
      </w:r>
      <w:ins w:id="480" w:author="LeBoldus, Jared" w:date="2022-10-27T09:49:00Z">
        <w:r>
          <w:rPr>
            <w:sz w:val="24"/>
            <w:szCs w:val="24"/>
          </w:rPr>
          <w:t xml:space="preserve">e </w:t>
        </w:r>
      </w:ins>
      <w:r>
        <w:rPr>
          <w:sz w:val="24"/>
          <w:szCs w:val="24"/>
        </w:rPr>
        <w:t>W</w:t>
      </w:r>
      <w:ins w:id="481" w:author="LeBoldus, Jared" w:date="2022-10-27T09:49:00Z">
        <w:r>
          <w:rPr>
            <w:sz w:val="24"/>
            <w:szCs w:val="24"/>
          </w:rPr>
          <w:t xml:space="preserve">oods </w:t>
        </w:r>
      </w:ins>
      <w:r>
        <w:rPr>
          <w:sz w:val="24"/>
          <w:szCs w:val="24"/>
        </w:rPr>
        <w:t>C</w:t>
      </w:r>
      <w:ins w:id="482" w:author="LeBoldus, Jared" w:date="2022-10-27T09:49:00Z">
        <w:r>
          <w:rPr>
            <w:sz w:val="24"/>
            <w:szCs w:val="24"/>
          </w:rPr>
          <w:t>reek thinning</w:t>
        </w:r>
      </w:ins>
      <w:del w:id="483" w:author="LeBoldus, Jared" w:date="2022-10-27T09:49:00Z">
        <w:r>
          <w:rPr>
            <w:sz w:val="24"/>
            <w:szCs w:val="24"/>
          </w:rPr>
          <w:delText>is</w:delText>
        </w:r>
      </w:del>
      <w:r>
        <w:rPr>
          <w:sz w:val="24"/>
          <w:szCs w:val="24"/>
        </w:rPr>
        <w:t xml:space="preserve"> study was conducted </w:t>
      </w:r>
      <w:ins w:id="484" w:author="LeBoldus, Jared" w:date="2022-10-27T10:12:00Z">
        <w:r>
          <w:rPr>
            <w:sz w:val="24"/>
            <w:szCs w:val="24"/>
          </w:rPr>
          <w:t>on the northeast slope of</w:t>
        </w:r>
      </w:ins>
      <w:ins w:id="485" w:author="LeBoldus, Jared" w:date="2022-10-27T10:11:00Z">
        <w:r>
          <w:rPr>
            <w:sz w:val="24"/>
            <w:szCs w:val="24"/>
          </w:rPr>
          <w:t xml:space="preserve"> Mary</w:t>
        </w:r>
      </w:ins>
      <w:del w:id="486" w:author="Sarah Hoffman" w:date="2022-11-05T12:46:00Z">
        <w:r>
          <w:rPr>
            <w:sz w:val="24"/>
            <w:szCs w:val="24"/>
          </w:rPr>
          <w:delText>’</w:delText>
        </w:r>
      </w:del>
      <w:ins w:id="487" w:author="LeBoldus, Jared" w:date="2022-10-27T10:11:00Z">
        <w:r>
          <w:rPr>
            <w:sz w:val="24"/>
            <w:szCs w:val="24"/>
          </w:rPr>
          <w:t>s Peak in</w:t>
        </w:r>
      </w:ins>
      <w:del w:id="488" w:author="LeBoldus, Jared" w:date="2022-10-27T10:11:00Z">
        <w:r>
          <w:rPr>
            <w:sz w:val="24"/>
            <w:szCs w:val="24"/>
          </w:rPr>
          <w:delText>in</w:delText>
        </w:r>
      </w:del>
      <w:r>
        <w:rPr>
          <w:sz w:val="24"/>
          <w:szCs w:val="24"/>
        </w:rPr>
        <w:t xml:space="preserve"> the Coast Range of the Siuslaw National Forest located in western Oregon, USA</w:t>
      </w:r>
      <w:ins w:id="489" w:author="LeBoldus, Jared" w:date="2022-10-27T09:51:00Z">
        <w:r>
          <w:rPr>
            <w:sz w:val="24"/>
            <w:szCs w:val="24"/>
          </w:rPr>
          <w:t xml:space="preserve"> (</w:t>
        </w:r>
      </w:ins>
      <w:r>
        <w:rPr>
          <w:sz w:val="24"/>
          <w:szCs w:val="24"/>
        </w:rPr>
        <w:t>44°32'08.3"N 123°32'05.2"W</w:t>
      </w:r>
      <w:ins w:id="490" w:author="LeBoldus, Jared" w:date="2022-10-27T09:51:00Z">
        <w:r>
          <w:rPr>
            <w:sz w:val="24"/>
            <w:szCs w:val="24"/>
          </w:rPr>
          <w:t>)</w:t>
        </w:r>
      </w:ins>
      <w:r>
        <w:rPr>
          <w:sz w:val="24"/>
          <w:szCs w:val="24"/>
        </w:rPr>
        <w:t xml:space="preserve">. Forests here </w:t>
      </w:r>
      <w:del w:id="491" w:author="LeBoldus, Jared" w:date="2022-10-27T09:51:00Z">
        <w:r>
          <w:rPr>
            <w:sz w:val="24"/>
            <w:szCs w:val="24"/>
          </w:rPr>
          <w:delText xml:space="preserve">contain </w:delText>
        </w:r>
      </w:del>
      <w:ins w:id="492" w:author="LeBoldus, Jared" w:date="2022-10-27T09:51:00Z">
        <w:r>
          <w:rPr>
            <w:sz w:val="24"/>
            <w:szCs w:val="24"/>
          </w:rPr>
          <w:t xml:space="preserve">are composed of </w:t>
        </w:r>
      </w:ins>
      <w:r>
        <w:rPr>
          <w:sz w:val="24"/>
          <w:szCs w:val="24"/>
        </w:rPr>
        <w:t xml:space="preserve">mostly mature and old-growth Douglas-fir, along with various other tree species </w:t>
      </w:r>
      <w:del w:id="493" w:author="LeBoldus, Jared" w:date="2022-10-27T09:45:00Z">
        <w:r>
          <w:rPr>
            <w:sz w:val="24"/>
            <w:szCs w:val="24"/>
          </w:rPr>
          <w:delText>to include</w:delText>
        </w:r>
      </w:del>
      <w:ins w:id="494" w:author="LeBoldus, Jared" w:date="2022-10-27T09:45:00Z">
        <w:r>
          <w:rPr>
            <w:sz w:val="24"/>
            <w:szCs w:val="24"/>
          </w:rPr>
          <w:t>including</w:t>
        </w:r>
      </w:ins>
      <w:r>
        <w:rPr>
          <w:sz w:val="24"/>
          <w:szCs w:val="24"/>
        </w:rPr>
        <w:t xml:space="preserve"> western hemlock (</w:t>
      </w:r>
      <w:hyperlink r:id="rId2"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(Rafn.) Sarg.), western red cedar (</w:t>
      </w:r>
      <w:hyperlink r:id="rId3"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4" w:tgtFrame="David Douglas (botanist)">
        <w:r>
          <w:rPr>
            <w:sz w:val="24"/>
            <w:szCs w:val="24"/>
          </w:rPr>
          <w:t>Douglas</w:t>
        </w:r>
      </w:hyperlink>
      <w:r>
        <w:rPr>
          <w:sz w:val="24"/>
          <w:szCs w:val="24"/>
        </w:rPr>
        <w:t xml:space="preserve"> ex </w:t>
      </w:r>
      <w:hyperlink r:id="rId5" w:tgtFrame="David Don">
        <w:r>
          <w:rPr>
            <w:sz w:val="24"/>
            <w:szCs w:val="24"/>
          </w:rPr>
          <w:t>D. Don</w:t>
        </w:r>
      </w:hyperlink>
      <w:r>
        <w:rPr>
          <w:sz w:val="24"/>
          <w:szCs w:val="24"/>
        </w:rPr>
        <w:t xml:space="preserve">) </w:t>
      </w:r>
      <w:hyperlink r:id="rId6" w:tgtFrame="John Lindley">
        <w:r>
          <w:rPr>
            <w:sz w:val="24"/>
            <w:szCs w:val="24"/>
          </w:rPr>
          <w:t>Lindley</w:t>
        </w:r>
      </w:hyperlink>
      <w:r>
        <w:rPr>
          <w:sz w:val="24"/>
          <w:szCs w:val="24"/>
        </w:rPr>
        <w:t>), noble fir (</w:t>
      </w:r>
      <w:r>
        <w:rPr>
          <w:i/>
          <w:iCs/>
          <w:sz w:val="24"/>
          <w:szCs w:val="24"/>
        </w:rPr>
        <w:t>Abies procera</w:t>
      </w:r>
      <w:r>
        <w:rPr>
          <w:sz w:val="24"/>
          <w:szCs w:val="24"/>
        </w:rPr>
        <w:t>, Rehder), bigleaf maple (</w:t>
      </w:r>
      <w:r>
        <w:rPr>
          <w:i/>
          <w:iCs/>
          <w:sz w:val="24"/>
          <w:szCs w:val="24"/>
        </w:rPr>
        <w:t xml:space="preserve">Acer macrophyllum </w:t>
      </w:r>
      <w:r>
        <w:rPr>
          <w:sz w:val="24"/>
          <w:szCs w:val="24"/>
        </w:rPr>
        <w:t>Pursh), red alder (Alnus rubra Bong.), golden chinquapin (</w:t>
      </w:r>
      <w:r>
        <w:rPr>
          <w:i/>
          <w:iCs/>
          <w:sz w:val="24"/>
          <w:szCs w:val="24"/>
        </w:rPr>
        <w:t>Chrysolepis chrysophylla</w:t>
      </w:r>
      <w:r>
        <w:rPr>
          <w:sz w:val="24"/>
          <w:szCs w:val="24"/>
        </w:rPr>
        <w:t xml:space="preserve"> (</w:t>
      </w:r>
      <w:hyperlink r:id="rId7" w:tgtFrame="David Douglas (botanist)">
        <w:r>
          <w:rPr>
            <w:sz w:val="24"/>
            <w:szCs w:val="24"/>
          </w:rPr>
          <w:t>Douglas</w:t>
        </w:r>
      </w:hyperlink>
      <w:r>
        <w:rPr>
          <w:sz w:val="24"/>
          <w:szCs w:val="24"/>
        </w:rPr>
        <w:t xml:space="preserve"> ex </w:t>
      </w:r>
      <w:hyperlink r:id="rId8" w:tgtFrame="William Jackson Hooker">
        <w:r>
          <w:rPr>
            <w:sz w:val="24"/>
            <w:szCs w:val="24"/>
          </w:rPr>
          <w:t>Hook.</w:t>
        </w:r>
      </w:hyperlink>
      <w:r>
        <w:rPr>
          <w:sz w:val="24"/>
          <w:szCs w:val="24"/>
        </w:rPr>
        <w:t xml:space="preserve">) </w:t>
      </w:r>
      <w:hyperlink r:id="rId9" w:tgtFrame="Hjelmq. (page does not exist)">
        <w:r>
          <w:rPr>
            <w:sz w:val="24"/>
            <w:szCs w:val="24"/>
          </w:rPr>
          <w:t>Hjelmq.</w:t>
        </w:r>
      </w:hyperlink>
      <w:r>
        <w:rPr>
          <w:sz w:val="24"/>
          <w:szCs w:val="24"/>
        </w:rPr>
        <w:t>), willow</w:t>
      </w:r>
      <w:ins w:id="495" w:author="LeBoldus, Jared" w:date="2022-10-27T09:45:00Z">
        <w:r>
          <w:rPr>
            <w:sz w:val="24"/>
            <w:szCs w:val="24"/>
          </w:rPr>
          <w:t xml:space="preserve"> spp.</w:t>
        </w:r>
      </w:ins>
      <w:r>
        <w:rPr>
          <w:sz w:val="24"/>
          <w:szCs w:val="24"/>
        </w:rPr>
        <w:t xml:space="preserve"> (</w:t>
      </w:r>
      <w:r>
        <w:rPr>
          <w:i/>
          <w:iCs/>
          <w:sz w:val="24"/>
          <w:szCs w:val="24"/>
        </w:rPr>
        <w:t>Salix</w:t>
      </w:r>
      <w:r>
        <w:rPr>
          <w:sz w:val="24"/>
          <w:szCs w:val="24"/>
        </w:rPr>
        <w:t xml:space="preserve"> alab L.), and silver birch (</w:t>
      </w:r>
      <w:r>
        <w:rPr>
          <w:i/>
          <w:iCs/>
          <w:sz w:val="24"/>
          <w:szCs w:val="24"/>
        </w:rPr>
        <w:t>Betula pendula</w:t>
      </w:r>
      <w:r>
        <w:rPr>
          <w:sz w:val="24"/>
          <w:szCs w:val="24"/>
        </w:rPr>
        <w:t xml:space="preserve"> Roth). In 1990,</w:t>
      </w:r>
      <w:ins w:id="496" w:author="Sarah Hoffman" w:date="2022-11-06T12:40:00Z">
        <w:r>
          <w:rPr>
            <w:sz w:val="24"/>
            <w:szCs w:val="24"/>
          </w:rPr>
          <w:t xml:space="preserve"> the</w:t>
        </w:r>
      </w:ins>
      <w:ins w:id="497" w:author="Sarah Hoffman" w:date="2022-11-06T12:41:00Z">
        <w:r>
          <w:rPr>
            <w:sz w:val="24"/>
            <w:szCs w:val="24"/>
          </w:rPr>
          <w:t xml:space="preserve"> study area </w:t>
        </w:r>
      </w:ins>
      <w:r>
        <w:rPr>
          <w:sz w:val="24"/>
          <w:szCs w:val="24"/>
        </w:rPr>
        <w:t xml:space="preserve">was made up of 82% Douglas-fir trees, 11% western hemlock, and a combination of 7% other species. Mean annual precipitation </w:t>
      </w:r>
      <w:del w:id="498" w:author="LeBoldus, Jared" w:date="2022-10-27T09:45:00Z">
        <w:r>
          <w:rPr>
            <w:sz w:val="24"/>
            <w:szCs w:val="24"/>
          </w:rPr>
          <w:delText>of this area is</w:delText>
        </w:r>
      </w:del>
      <w:ins w:id="499" w:author="LeBoldus, Jared" w:date="2022-10-27T09:45:00Z">
        <w:r>
          <w:rPr>
            <w:sz w:val="24"/>
            <w:szCs w:val="24"/>
          </w:rPr>
          <w:t>ranges from</w:t>
        </w:r>
      </w:ins>
      <w:r>
        <w:rPr>
          <w:sz w:val="24"/>
          <w:szCs w:val="24"/>
        </w:rPr>
        <w:t xml:space="preserve"> 225 - 235 cm (Lan et al.2019; </w:t>
      </w:r>
      <w:r>
        <w:rPr>
          <w:sz w:val="24"/>
          <w:szCs w:val="24"/>
          <w:highlight w:val="white"/>
        </w:rPr>
        <w:t>PRISM Climate Group, Oregon State University 2018</w:t>
      </w:r>
      <w:r>
        <w:rPr>
          <w:sz w:val="24"/>
          <w:szCs w:val="24"/>
        </w:rPr>
        <w:t>). Mean annual temperature is 10.6</w:t>
      </w:r>
      <w:r>
        <w:rPr>
          <w:rFonts w:cs="Times New Roman" w:ascii="Times New Roman" w:hAnsi="Times New Roman"/>
          <w:color w:val="4D5156"/>
          <w:sz w:val="24"/>
          <w:szCs w:val="24"/>
          <w:shd w:fill="FFFFFF" w:val="clear"/>
        </w:rPr>
        <w:t>°C</w:t>
      </w:r>
      <w:r>
        <w:rPr>
          <w:sz w:val="24"/>
          <w:szCs w:val="24"/>
        </w:rPr>
        <w:t xml:space="preserve"> (Lan et al.2019; </w:t>
      </w:r>
      <w:r>
        <w:rPr>
          <w:sz w:val="24"/>
          <w:szCs w:val="24"/>
          <w:highlight w:val="white"/>
        </w:rPr>
        <w:t>PRISM Climate Group, Oregon State University, 2018</w:t>
      </w:r>
      <w:r>
        <w:rPr>
          <w:sz w:val="24"/>
          <w:szCs w:val="24"/>
        </w:rPr>
        <w:t>)</w:t>
      </w:r>
      <w:ins w:id="500" w:author="LeBoldus, Jared" w:date="2022-10-27T09:49:00Z">
        <w:r>
          <w:rPr>
            <w:sz w:val="24"/>
            <w:szCs w:val="24"/>
          </w:rPr>
          <w:t>.</w:t>
        </w:r>
      </w:ins>
      <w:del w:id="501" w:author="LeBoldus, Jared" w:date="2022-10-27T09:49:00Z">
        <w:r>
          <w:rPr>
            <w:sz w:val="24"/>
            <w:szCs w:val="24"/>
          </w:rPr>
          <w:delText>,</w:delText>
        </w:r>
      </w:del>
      <w:r>
        <w:rPr>
          <w:sz w:val="24"/>
          <w:szCs w:val="24"/>
        </w:rPr>
        <w:t xml:space="preserve"> </w:t>
      </w:r>
      <w:del w:id="502" w:author="LeBoldus, Jared" w:date="2022-10-27T09:49:00Z">
        <w:r>
          <w:rPr>
            <w:sz w:val="24"/>
            <w:szCs w:val="24"/>
          </w:rPr>
          <w:delText xml:space="preserve">with </w:delText>
        </w:r>
      </w:del>
      <w:ins w:id="503" w:author="LeBoldus, Jared" w:date="2022-10-27T09:49:00Z">
        <w:r>
          <w:rPr>
            <w:sz w:val="24"/>
            <w:szCs w:val="24"/>
          </w:rPr>
          <w:t xml:space="preserve">The </w:t>
        </w:r>
      </w:ins>
      <w:r>
        <w:rPr>
          <w:sz w:val="24"/>
          <w:szCs w:val="24"/>
        </w:rPr>
        <w:t>soil type</w:t>
      </w:r>
      <w:ins w:id="504" w:author="LeBoldus, Jared" w:date="2022-10-27T09:49:00Z">
        <w:r>
          <w:rPr>
            <w:sz w:val="24"/>
            <w:szCs w:val="24"/>
          </w:rPr>
          <w:t>s in this region</w:t>
        </w:r>
      </w:ins>
      <w:del w:id="505" w:author="LeBoldus, Jared" w:date="2022-10-27T09:49:00Z">
        <w:r>
          <w:rPr>
            <w:sz w:val="24"/>
            <w:szCs w:val="24"/>
          </w:rPr>
          <w:delText>s</w:delText>
        </w:r>
      </w:del>
      <w:r>
        <w:rPr>
          <w:sz w:val="24"/>
          <w:szCs w:val="24"/>
        </w:rPr>
        <w:t xml:space="preserve"> of the study area </w:t>
      </w:r>
      <w:del w:id="506" w:author="LeBoldus, Jared" w:date="2022-10-27T09:46:00Z">
        <w:r>
          <w:rPr>
            <w:sz w:val="24"/>
            <w:szCs w:val="24"/>
          </w:rPr>
          <w:delText xml:space="preserve">containing </w:delText>
        </w:r>
      </w:del>
      <w:ins w:id="507" w:author="LeBoldus, Jared" w:date="2022-10-27T09:46:00Z">
        <w:r>
          <w:rPr>
            <w:sz w:val="24"/>
            <w:szCs w:val="24"/>
          </w:rPr>
          <w:t xml:space="preserve">are </w:t>
        </w:r>
      </w:ins>
      <w:r>
        <w:rPr>
          <w:sz w:val="24"/>
          <w:szCs w:val="24"/>
        </w:rPr>
        <w:t>mostly gravelly clay loam and gravelly silty clay (</w:t>
      </w:r>
      <w:r>
        <w:rPr>
          <w:sz w:val="24"/>
          <w:szCs w:val="24"/>
          <w:highlight w:val="white"/>
        </w:rPr>
        <w:t>Soil Survey Staff 2021)</w:t>
      </w:r>
      <w:ins w:id="508" w:author="LeBoldus, Jared" w:date="2022-10-27T09:46:00Z">
        <w:r>
          <w:rPr>
            <w:sz w:val="24"/>
            <w:szCs w:val="24"/>
          </w:rPr>
          <w:t xml:space="preserve">. </w:t>
        </w:r>
      </w:ins>
      <w:ins w:id="509" w:author="LeBoldus, Jared" w:date="2022-10-27T09:53:00Z">
        <w:r>
          <w:rPr>
            <w:sz w:val="24"/>
            <w:szCs w:val="24"/>
          </w:rPr>
          <w:t xml:space="preserve">The study site was selected based on the known incidence of LRR (Bloomberg </w:t>
        </w:r>
      </w:ins>
      <w:r>
        <w:rPr>
          <w:sz w:val="24"/>
          <w:szCs w:val="24"/>
        </w:rPr>
        <w:t>et al.</w:t>
      </w:r>
      <w:ins w:id="510" w:author="LeBoldus, Jared" w:date="2022-10-27T09:53:00Z">
        <w:r>
          <w:rPr>
            <w:sz w:val="24"/>
            <w:szCs w:val="24"/>
          </w:rPr>
          <w:t>1980). The area was clear cut between 1910 and 1920, burned after harvest, and reestablished naturally from seed (Tkacz and Hansen 1982)</w:t>
        </w:r>
      </w:ins>
      <w:ins w:id="511" w:author="LeBoldus, Jared" w:date="2022-10-27T09:53:00Z">
        <w:bookmarkStart w:id="3" w:name="move117756809"/>
        <w:bookmarkEnd w:id="3"/>
        <w:r>
          <w:rPr>
            <w:sz w:val="24"/>
            <w:szCs w:val="24"/>
          </w:rPr>
          <w:t>.</w:t>
        </w:r>
      </w:ins>
    </w:p>
    <w:p>
      <w:pPr>
        <w:pStyle w:val="Normal"/>
        <w:spacing w:lineRule="auto" w:line="480"/>
        <w:rPr>
          <w:sz w:val="24"/>
          <w:szCs w:val="24"/>
          <w:del w:id="617" w:author="LeBoldus, Jared" w:date="2022-10-27T10:07:00Z"/>
        </w:rPr>
      </w:pPr>
      <w:ins w:id="513" w:author="LeBoldus, Jared" w:date="2022-10-27T09:54:00Z">
        <w:r>
          <w:rPr>
            <w:sz w:val="24"/>
            <w:szCs w:val="24"/>
          </w:rPr>
          <w:tab/>
        </w:r>
      </w:ins>
      <w:ins w:id="514" w:author="LeBoldus, Jared" w:date="2022-10-27T09:59:00Z">
        <w:r>
          <w:rPr>
            <w:sz w:val="24"/>
            <w:szCs w:val="24"/>
          </w:rPr>
          <w:t>To</w:t>
        </w:r>
      </w:ins>
      <w:ins w:id="515" w:author="LeBoldus, Jared" w:date="2022-10-27T09:58:00Z">
        <w:r>
          <w:rPr>
            <w:sz w:val="24"/>
            <w:szCs w:val="24"/>
          </w:rPr>
          <w:t xml:space="preserve"> evalu</w:t>
        </w:r>
      </w:ins>
      <w:ins w:id="516" w:author="LeBoldus, Jared" w:date="2022-10-27T09:59:00Z">
        <w:r>
          <w:rPr>
            <w:sz w:val="24"/>
            <w:szCs w:val="24"/>
          </w:rPr>
          <w:t>a</w:t>
        </w:r>
      </w:ins>
      <w:ins w:id="517" w:author="LeBoldus, Jared" w:date="2022-10-27T09:58:00Z">
        <w:r>
          <w:rPr>
            <w:sz w:val="24"/>
            <w:szCs w:val="24"/>
          </w:rPr>
          <w:t xml:space="preserve">te the effect of thinning on LRR </w:t>
        </w:r>
      </w:ins>
      <w:ins w:id="518" w:author="LeBoldus, Jared" w:date="2022-10-27T09:59:00Z">
        <w:r>
          <w:rPr>
            <w:sz w:val="24"/>
            <w:szCs w:val="24"/>
          </w:rPr>
          <w:t>a</w:t>
        </w:r>
      </w:ins>
      <w:ins w:id="519" w:author="LeBoldus, Jared" w:date="2022-10-27T09:55:00Z">
        <w:r>
          <w:rPr>
            <w:sz w:val="24"/>
            <w:szCs w:val="24"/>
          </w:rPr>
          <w:t xml:space="preserve"> study was establis</w:t>
        </w:r>
      </w:ins>
      <w:ins w:id="520" w:author="LeBoldus, Jared" w:date="2022-10-27T09:56:00Z">
        <w:r>
          <w:rPr>
            <w:sz w:val="24"/>
            <w:szCs w:val="24"/>
          </w:rPr>
          <w:t>h</w:t>
        </w:r>
      </w:ins>
      <w:ins w:id="521" w:author="LeBoldus, Jared" w:date="2022-10-27T09:55:00Z">
        <w:r>
          <w:rPr>
            <w:sz w:val="24"/>
            <w:szCs w:val="24"/>
          </w:rPr>
          <w:t>ed in 19</w:t>
        </w:r>
      </w:ins>
      <w:ins w:id="522" w:author="LeBoldus, Jared" w:date="2022-10-27T09:56:00Z">
        <w:r>
          <w:rPr>
            <w:sz w:val="24"/>
            <w:szCs w:val="24"/>
          </w:rPr>
          <w:t>8</w:t>
        </w:r>
      </w:ins>
      <w:ins w:id="523" w:author="LeBoldus, Jared" w:date="2022-10-27T10:08:00Z">
        <w:r>
          <w:rPr>
            <w:sz w:val="24"/>
            <w:szCs w:val="24"/>
          </w:rPr>
          <w:t>5</w:t>
        </w:r>
      </w:ins>
      <w:ins w:id="524" w:author="LeBoldus, Jared" w:date="2022-10-27T09:55:00Z">
        <w:r>
          <w:rPr>
            <w:sz w:val="24"/>
            <w:szCs w:val="24"/>
          </w:rPr>
          <w:t xml:space="preserve"> across ca. 162 ha</w:t>
        </w:r>
      </w:ins>
      <w:ins w:id="525" w:author="LeBoldus, Jared" w:date="2022-10-27T09:56:00Z">
        <w:r>
          <w:rPr>
            <w:sz w:val="24"/>
            <w:szCs w:val="24"/>
          </w:rPr>
          <w:t xml:space="preserve"> of forest land</w:t>
        </w:r>
      </w:ins>
      <w:ins w:id="526" w:author="LeBoldus, Jared" w:date="2022-10-27T10:06:00Z">
        <w:r>
          <w:rPr>
            <w:sz w:val="24"/>
            <w:szCs w:val="24"/>
          </w:rPr>
          <w:t xml:space="preserve"> (Fig. 1)</w:t>
        </w:r>
      </w:ins>
      <w:ins w:id="527" w:author="LeBoldus, Jared" w:date="2022-10-27T09:55:00Z">
        <w:r>
          <w:rPr>
            <w:sz w:val="24"/>
            <w:szCs w:val="24"/>
          </w:rPr>
          <w:t xml:space="preserve">. </w:t>
        </w:r>
      </w:ins>
      <w:ins w:id="528" w:author="LeBoldus, Jared" w:date="2022-10-27T09:54:00Z">
        <w:r>
          <w:rPr>
            <w:sz w:val="24"/>
            <w:szCs w:val="24"/>
          </w:rPr>
          <w:t>The experimental design was a randomized complete block desi</w:t>
        </w:r>
      </w:ins>
      <w:ins w:id="529" w:author="LeBoldus, Jared" w:date="2022-10-27T09:56:00Z">
        <w:r>
          <w:rPr>
            <w:sz w:val="24"/>
            <w:szCs w:val="24"/>
          </w:rPr>
          <w:t>gn</w:t>
        </w:r>
      </w:ins>
      <w:ins w:id="530" w:author="LeBoldus, Jared" w:date="2022-10-27T09:57:00Z">
        <w:r>
          <w:rPr>
            <w:sz w:val="24"/>
            <w:szCs w:val="24"/>
          </w:rPr>
          <w:t xml:space="preserve"> with three treatments and </w:t>
        </w:r>
      </w:ins>
      <w:ins w:id="531" w:author="LeBoldus, Jared" w:date="2022-10-27T09:59:00Z">
        <w:r>
          <w:rPr>
            <w:sz w:val="24"/>
            <w:szCs w:val="24"/>
          </w:rPr>
          <w:t>5</w:t>
        </w:r>
      </w:ins>
      <w:ins w:id="532" w:author="LeBoldus, Jared" w:date="2022-10-27T09:57:00Z">
        <w:r>
          <w:rPr>
            <w:sz w:val="24"/>
            <w:szCs w:val="24"/>
          </w:rPr>
          <w:t xml:space="preserve"> blocks</w:t>
        </w:r>
      </w:ins>
      <w:del w:id="533" w:author="LeBoldus, Jared" w:date="2022-10-27T09:50:00Z">
        <w:r>
          <w:rPr>
            <w:sz w:val="24"/>
            <w:szCs w:val="24"/>
          </w:rPr>
          <w:delText>The Woods Creek thinning study took place within the Siuslaw National Forest was chosen with prior knowledge that there was a high incidence rate of LRR. This was based upon a line intercept survey</w:delText>
        </w:r>
      </w:del>
      <w:del w:id="534" w:author="LeBoldus, Jared" w:date="2022-10-27T09:53:00Z">
        <w:r>
          <w:rPr>
            <w:sz w:val="24"/>
            <w:szCs w:val="24"/>
          </w:rPr>
          <w:delText xml:space="preserve"> (Bloomberg </w:delText>
        </w:r>
      </w:del>
      <w:ins w:id="535" w:author="LeBoldus, Jared" w:date="2022-10-27T09:57:00Z">
        <w:r>
          <w:rPr>
            <w:sz w:val="24"/>
            <w:szCs w:val="24"/>
          </w:rPr>
          <w:t xml:space="preserve"> </w:t>
        </w:r>
      </w:ins>
      <w:ins w:id="536" w:author="LeBoldus, Jared" w:date="2022-10-27T09:59:00Z">
        <w:r>
          <w:rPr>
            <w:sz w:val="24"/>
            <w:szCs w:val="24"/>
          </w:rPr>
          <w:t>per tr</w:t>
        </w:r>
      </w:ins>
      <w:ins w:id="537" w:author="LeBoldus, Jared" w:date="2022-10-27T10:00:00Z">
        <w:r>
          <w:rPr>
            <w:sz w:val="24"/>
            <w:szCs w:val="24"/>
          </w:rPr>
          <w:t xml:space="preserve">eatment </w:t>
        </w:r>
      </w:ins>
      <w:del w:id="538" w:author="LeBoldus, Jared" w:date="2022-10-27T09:53:00Z">
        <w:r>
          <w:rPr>
            <w:sz w:val="24"/>
            <w:szCs w:val="24"/>
          </w:rPr>
          <w:delText xml:space="preserve">The area was clear cut between 1910 and 1920, burned after reharvest, and reestablished naturally from seed (Tkacz and Hansen, 1982). </w:delText>
        </w:r>
      </w:del>
      <w:del w:id="539" w:author="LeBoldus, Jared" w:date="2022-10-27T09:57:00Z">
        <w:r>
          <w:rPr>
            <w:sz w:val="24"/>
            <w:szCs w:val="24"/>
          </w:rPr>
          <w:delText xml:space="preserve">The study area encompassed 15 stands </w:delText>
        </w:r>
      </w:del>
      <w:r>
        <w:rPr>
          <w:sz w:val="24"/>
          <w:szCs w:val="24"/>
        </w:rPr>
        <w:t>(mean = 9.7 h</w:t>
      </w:r>
      <w:ins w:id="540" w:author="LeBoldus, Jared" w:date="2022-10-27T09:58:00Z">
        <w:r>
          <w:rPr>
            <w:sz w:val="24"/>
            <w:szCs w:val="24"/>
          </w:rPr>
          <w:t>a</w:t>
        </w:r>
      </w:ins>
      <w:del w:id="541" w:author="LeBoldus, Jared" w:date="2022-10-27T09:58:00Z">
        <w:r>
          <w:rPr>
            <w:sz w:val="24"/>
            <w:szCs w:val="24"/>
          </w:rPr>
          <w:delText>ectares</w:delText>
        </w:r>
      </w:del>
      <w:r>
        <w:rPr>
          <w:sz w:val="24"/>
          <w:szCs w:val="24"/>
        </w:rPr>
        <w:t xml:space="preserve">, range = 6.7 - 14.7 </w:t>
      </w:r>
      <w:del w:id="542" w:author="LeBoldus, Jared" w:date="2022-10-27T09:58:00Z">
        <w:r>
          <w:rPr>
            <w:sz w:val="24"/>
            <w:szCs w:val="24"/>
          </w:rPr>
          <w:delText>hectares</w:delText>
        </w:r>
      </w:del>
      <w:ins w:id="543" w:author="LeBoldus, Jared" w:date="2022-10-27T09:58:00Z">
        <w:r>
          <w:rPr>
            <w:sz w:val="24"/>
            <w:szCs w:val="24"/>
          </w:rPr>
          <w:t>ha</w:t>
        </w:r>
      </w:ins>
      <w:r>
        <w:rPr>
          <w:sz w:val="24"/>
          <w:szCs w:val="24"/>
        </w:rPr>
        <w:t xml:space="preserve">) </w:t>
      </w:r>
      <w:del w:id="544" w:author="LeBoldus, Jared" w:date="2022-10-27T09:58:00Z">
        <w:r>
          <w:rPr>
            <w:sz w:val="24"/>
            <w:szCs w:val="24"/>
          </w:rPr>
          <w:delText xml:space="preserve">across ~162 hectares </w:delText>
        </w:r>
      </w:del>
      <w:r>
        <w:rPr>
          <w:sz w:val="24"/>
          <w:szCs w:val="24"/>
        </w:rPr>
        <w:t>(</w:t>
      </w:r>
      <w:r>
        <w:rPr>
          <w:bCs/>
          <w:sz w:val="24"/>
          <w:szCs w:val="24"/>
        </w:rPr>
        <w:t>Fi</w:t>
      </w:r>
      <w:ins w:id="545" w:author="LeBoldus, Jared" w:date="2022-10-27T09:58:00Z">
        <w:r>
          <w:rPr>
            <w:bCs/>
            <w:sz w:val="24"/>
            <w:szCs w:val="24"/>
          </w:rPr>
          <w:t>g.</w:t>
        </w:r>
      </w:ins>
      <w:del w:id="546" w:author="LeBoldus, Jared" w:date="2022-10-27T09:58:00Z">
        <w:r>
          <w:rPr>
            <w:bCs/>
            <w:sz w:val="24"/>
            <w:szCs w:val="24"/>
          </w:rPr>
          <w:delText>gure</w:delText>
        </w:r>
      </w:del>
      <w:r>
        <w:rPr>
          <w:bCs/>
          <w:sz w:val="24"/>
          <w:szCs w:val="24"/>
        </w:rPr>
        <w:t xml:space="preserve"> 1</w:t>
      </w:r>
      <w:r>
        <w:rPr>
          <w:sz w:val="24"/>
          <w:szCs w:val="24"/>
        </w:rPr>
        <w:t xml:space="preserve">). </w:t>
      </w:r>
      <w:ins w:id="547" w:author="LeBoldus, Jared" w:date="2022-10-27T10:01:00Z">
        <w:bookmarkStart w:id="4" w:name="move117757279"/>
        <w:r>
          <w:rPr>
            <w:sz w:val="24"/>
            <w:szCs w:val="24"/>
          </w:rPr>
          <w:t>The treatments included an unthinned control</w:t>
        </w:r>
      </w:ins>
      <w:ins w:id="548" w:author="LeBoldus, Jared" w:date="2022-10-27T10:02:00Z">
        <w:r>
          <w:rPr>
            <w:sz w:val="24"/>
            <w:szCs w:val="24"/>
          </w:rPr>
          <w:t xml:space="preserve"> (BA</w:t>
        </w:r>
      </w:ins>
      <w:ins w:id="549" w:author="LeBoldus, Jared" w:date="2022-10-27T10:03:00Z">
        <w:r>
          <w:rPr>
            <w:sz w:val="24"/>
            <w:szCs w:val="24"/>
          </w:rPr>
          <w:t xml:space="preserve"> = 61.4 m</w:t>
        </w:r>
      </w:ins>
      <w:ins w:id="550" w:author="LeBoldus, Jared" w:date="2022-10-27T10:03:00Z">
        <w:r>
          <w:rPr>
            <w:color w:val="333333"/>
            <w:sz w:val="24"/>
            <w:szCs w:val="24"/>
            <w:vertAlign w:val="superscript"/>
          </w:rPr>
          <w:t>2</w:t>
        </w:r>
      </w:ins>
      <w:ins w:id="551" w:author="LeBoldus, Jared" w:date="2022-10-27T10:03:00Z">
        <w:r>
          <w:rPr>
            <w:sz w:val="24"/>
            <w:szCs w:val="24"/>
          </w:rPr>
          <w:t>ha</w:t>
        </w:r>
      </w:ins>
      <w:ins w:id="552" w:author="LeBoldus, Jared" w:date="2022-10-27T10:03:00Z">
        <w:r>
          <w:rPr>
            <w:sz w:val="24"/>
            <w:szCs w:val="24"/>
            <w:vertAlign w:val="superscript"/>
          </w:rPr>
          <w:t>-1</w:t>
        </w:r>
      </w:ins>
      <w:ins w:id="553" w:author="LeBoldus, Jared" w:date="2022-10-27T10:03:00Z">
        <w:r>
          <w:rPr>
            <w:sz w:val="24"/>
            <w:szCs w:val="24"/>
          </w:rPr>
          <w:t>; quadratic mean diameter</w:t>
        </w:r>
      </w:ins>
      <w:ins w:id="554" w:author="LeBoldus, Jared" w:date="2022-10-27T10:05:00Z">
        <w:r>
          <w:rPr>
            <w:sz w:val="24"/>
            <w:szCs w:val="24"/>
          </w:rPr>
          <w:t xml:space="preserve"> (QMD</w:t>
        </w:r>
      </w:ins>
      <w:r>
        <w:rPr>
          <w:sz w:val="24"/>
          <w:szCs w:val="24"/>
        </w:rPr>
        <w:t xml:space="preserve">) </w:t>
      </w:r>
      <w:ins w:id="555" w:author="LeBoldus, Jared" w:date="2022-10-27T10:05:00Z">
        <w:r>
          <w:rPr>
            <w:sz w:val="24"/>
            <w:szCs w:val="24"/>
          </w:rPr>
          <w:t>=</w:t>
        </w:r>
      </w:ins>
      <w:ins w:id="556" w:author="LeBoldus, Jared" w:date="2022-10-27T10:03:00Z">
        <w:r>
          <w:rPr>
            <w:sz w:val="24"/>
            <w:szCs w:val="24"/>
          </w:rPr>
          <w:t xml:space="preserve"> </w:t>
        </w:r>
      </w:ins>
      <w:ins w:id="557" w:author="LeBoldus, Jared" w:date="2022-10-27T10:04:00Z">
        <w:r>
          <w:rPr>
            <w:sz w:val="24"/>
            <w:szCs w:val="24"/>
          </w:rPr>
          <w:t>41cm)</w:t>
        </w:r>
      </w:ins>
      <w:ins w:id="558" w:author="LeBoldus, Jared" w:date="2022-10-27T10:01:00Z">
        <w:r>
          <w:rPr>
            <w:sz w:val="24"/>
            <w:szCs w:val="24"/>
          </w:rPr>
          <w:t xml:space="preserve">, </w:t>
        </w:r>
      </w:ins>
      <w:ins w:id="559" w:author="LeBoldus, Jared" w:date="2022-10-27T10:01:00Z">
        <w:bookmarkEnd w:id="4"/>
        <w:r>
          <w:rPr>
            <w:sz w:val="24"/>
            <w:szCs w:val="24"/>
          </w:rPr>
          <w:t>a light thinning</w:t>
        </w:r>
      </w:ins>
      <w:ins w:id="560" w:author="LeBoldus, Jared" w:date="2022-10-27T10:04:00Z">
        <w:r>
          <w:rPr>
            <w:sz w:val="24"/>
            <w:szCs w:val="24"/>
          </w:rPr>
          <w:t xml:space="preserve"> (BA = 43.1 m</w:t>
        </w:r>
      </w:ins>
      <w:ins w:id="561" w:author="LeBoldus, Jared" w:date="2022-10-27T10:04:00Z">
        <w:r>
          <w:rPr>
            <w:color w:val="333333"/>
            <w:sz w:val="24"/>
            <w:szCs w:val="24"/>
            <w:vertAlign w:val="superscript"/>
          </w:rPr>
          <w:t>2</w:t>
        </w:r>
      </w:ins>
      <w:ins w:id="562" w:author="LeBoldus, Jared" w:date="2022-10-27T10:04:00Z">
        <w:r>
          <w:rPr>
            <w:sz w:val="24"/>
            <w:szCs w:val="24"/>
          </w:rPr>
          <w:t>ha</w:t>
        </w:r>
      </w:ins>
      <w:ins w:id="563" w:author="LeBoldus, Jared" w:date="2022-10-27T10:04:00Z">
        <w:r>
          <w:rPr>
            <w:sz w:val="24"/>
            <w:szCs w:val="24"/>
            <w:vertAlign w:val="superscript"/>
          </w:rPr>
          <w:t>-1</w:t>
        </w:r>
      </w:ins>
      <w:ins w:id="564" w:author="LeBoldus, Jared" w:date="2022-10-27T10:04:00Z">
        <w:r>
          <w:rPr>
            <w:sz w:val="24"/>
            <w:szCs w:val="24"/>
          </w:rPr>
          <w:t xml:space="preserve">; </w:t>
        </w:r>
      </w:ins>
      <w:ins w:id="565" w:author="LeBoldus, Jared" w:date="2022-10-27T10:05:00Z">
        <w:r>
          <w:rPr>
            <w:sz w:val="24"/>
            <w:szCs w:val="24"/>
          </w:rPr>
          <w:t>QMD</w:t>
        </w:r>
      </w:ins>
      <w:ins w:id="566" w:author="LeBoldus, Jared" w:date="2022-10-27T10:04:00Z">
        <w:r>
          <w:rPr>
            <w:sz w:val="24"/>
            <w:szCs w:val="24"/>
          </w:rPr>
          <w:t>= 47cm</w:t>
        </w:r>
      </w:ins>
      <w:ins w:id="567" w:author="LeBoldus, Jared" w:date="2022-10-27T10:05:00Z">
        <w:r>
          <w:rPr>
            <w:sz w:val="24"/>
            <w:szCs w:val="24"/>
          </w:rPr>
          <w:t>)</w:t>
        </w:r>
      </w:ins>
      <w:ins w:id="568" w:author="LeBoldus, Jared" w:date="2022-10-27T10:02:00Z">
        <w:r>
          <w:rPr>
            <w:sz w:val="24"/>
            <w:szCs w:val="24"/>
          </w:rPr>
          <w:t xml:space="preserve"> and a thinning</w:t>
        </w:r>
      </w:ins>
      <w:ins w:id="569" w:author="LeBoldus, Jared" w:date="2022-10-27T10:05:00Z">
        <w:r>
          <w:rPr>
            <w:sz w:val="24"/>
            <w:szCs w:val="24"/>
          </w:rPr>
          <w:t xml:space="preserve"> (BA = 35.3 m</w:t>
        </w:r>
      </w:ins>
      <w:ins w:id="570" w:author="LeBoldus, Jared" w:date="2022-10-27T10:05:00Z">
        <w:r>
          <w:rPr>
            <w:color w:val="333333"/>
            <w:sz w:val="24"/>
            <w:szCs w:val="24"/>
            <w:vertAlign w:val="superscript"/>
          </w:rPr>
          <w:t>2</w:t>
        </w:r>
      </w:ins>
      <w:ins w:id="571" w:author="LeBoldus, Jared" w:date="2022-10-27T10:05:00Z">
        <w:r>
          <w:rPr>
            <w:sz w:val="24"/>
            <w:szCs w:val="24"/>
          </w:rPr>
          <w:t>ha</w:t>
        </w:r>
      </w:ins>
      <w:ins w:id="572" w:author="LeBoldus, Jared" w:date="2022-10-27T10:05:00Z">
        <w:r>
          <w:rPr>
            <w:sz w:val="24"/>
            <w:szCs w:val="24"/>
            <w:vertAlign w:val="superscript"/>
          </w:rPr>
          <w:t>-1</w:t>
        </w:r>
      </w:ins>
      <w:ins w:id="573" w:author="LeBoldus, Jared" w:date="2022-10-27T10:05:00Z">
        <w:r>
          <w:rPr>
            <w:sz w:val="24"/>
            <w:szCs w:val="24"/>
          </w:rPr>
          <w:t xml:space="preserve">; QMD = </w:t>
        </w:r>
      </w:ins>
      <w:ins w:id="574" w:author="LeBoldus, Jared" w:date="2022-10-27T10:06:00Z">
        <w:r>
          <w:rPr>
            <w:sz w:val="24"/>
            <w:szCs w:val="24"/>
          </w:rPr>
          <w:t>55cm)</w:t>
        </w:r>
      </w:ins>
      <w:ins w:id="575" w:author="LeBoldus, Jared" w:date="2022-10-27T10:07:00Z">
        <w:r>
          <w:rPr>
            <w:sz w:val="24"/>
            <w:szCs w:val="24"/>
          </w:rPr>
          <w:t xml:space="preserve"> (Hansen, unpublished data)</w:t>
        </w:r>
      </w:ins>
      <w:ins w:id="576" w:author="LeBoldus, Jared" w:date="2022-10-27T10:06:00Z">
        <w:r>
          <w:rPr>
            <w:sz w:val="24"/>
            <w:szCs w:val="24"/>
          </w:rPr>
          <w:t>.</w:t>
        </w:r>
      </w:ins>
      <w:ins w:id="577" w:author="LeBoldus, Jared" w:date="2022-10-27T10:08:00Z">
        <w:r>
          <w:rPr>
            <w:sz w:val="24"/>
            <w:szCs w:val="24"/>
          </w:rPr>
          <w:t xml:space="preserve"> </w:t>
        </w:r>
      </w:ins>
      <w:ins w:id="578" w:author="LeBoldus, Jared" w:date="2022-10-27T10:09:00Z">
        <w:bookmarkStart w:id="5" w:name="move117757751"/>
        <w:r>
          <w:rPr>
            <w:sz w:val="24"/>
            <w:szCs w:val="24"/>
          </w:rPr>
          <w:t>P</w:t>
        </w:r>
      </w:ins>
      <w:ins w:id="579" w:author="LeBoldus, Jared" w:date="2022-10-27T10:08:00Z">
        <w:r>
          <w:rPr>
            <w:sz w:val="24"/>
            <w:szCs w:val="24"/>
          </w:rPr>
          <w:t>rior to any treatments being conducted, a total of 75 circular, fixed radius plots</w:t>
        </w:r>
      </w:ins>
      <w:ins w:id="580" w:author="LeBoldus, Jared" w:date="2022-10-27T10:10:00Z">
        <w:r>
          <w:rPr>
            <w:sz w:val="24"/>
            <w:szCs w:val="24"/>
          </w:rPr>
          <w:t xml:space="preserve"> (11.3 m</w:t>
        </w:r>
      </w:ins>
      <w:del w:id="581" w:author="LeBoldus, Jared" w:date="2022-10-27T10:10:00Z">
        <w:r>
          <w:rPr>
            <w:sz w:val="24"/>
            <w:szCs w:val="24"/>
          </w:rPr>
          <w:delText xml:space="preserve"> </w:delText>
        </w:r>
      </w:del>
      <w:ins w:id="582" w:author="LeBoldus, Jared" w:date="2022-10-27T10:10:00Z">
        <w:r>
          <w:rPr>
            <w:sz w:val="24"/>
            <w:szCs w:val="24"/>
          </w:rPr>
          <w:t xml:space="preserve">) </w:t>
        </w:r>
      </w:ins>
      <w:ins w:id="583" w:author="LeBoldus, Jared" w:date="2022-10-27T10:08:00Z">
        <w:r>
          <w:rPr>
            <w:sz w:val="24"/>
            <w:szCs w:val="24"/>
          </w:rPr>
          <w:t>were established</w:t>
        </w:r>
      </w:ins>
      <w:ins w:id="584" w:author="LeBoldus, Jared" w:date="2022-10-27T10:09:00Z">
        <w:r>
          <w:rPr>
            <w:sz w:val="24"/>
            <w:szCs w:val="24"/>
          </w:rPr>
          <w:t xml:space="preserve"> within the study area</w:t>
        </w:r>
      </w:ins>
      <w:ins w:id="585" w:author="LeBoldus, Jared" w:date="2022-10-27T10:08:00Z">
        <w:r>
          <w:rPr>
            <w:sz w:val="24"/>
            <w:szCs w:val="24"/>
          </w:rPr>
          <w:t xml:space="preserve"> (</w:t>
        </w:r>
      </w:ins>
      <w:ins w:id="586" w:author="LeBoldus, Jared" w:date="2022-10-27T10:08:00Z">
        <w:r>
          <w:rPr>
            <w:bCs/>
            <w:sz w:val="24"/>
            <w:szCs w:val="24"/>
          </w:rPr>
          <w:t>Fig</w:t>
        </w:r>
      </w:ins>
      <w:del w:id="587" w:author="LeBoldus, Jared" w:date="2022-10-27T10:09:00Z">
        <w:r>
          <w:rPr>
            <w:bCs/>
            <w:sz w:val="24"/>
            <w:szCs w:val="24"/>
          </w:rPr>
          <w:delText>ure</w:delText>
        </w:r>
      </w:del>
      <w:ins w:id="588" w:author="LeBoldus, Jared" w:date="2022-10-27T10:09:00Z">
        <w:r>
          <w:rPr>
            <w:bCs/>
            <w:sz w:val="24"/>
            <w:szCs w:val="24"/>
          </w:rPr>
          <w:t>.</w:t>
        </w:r>
      </w:ins>
      <w:ins w:id="589" w:author="LeBoldus, Jared" w:date="2022-10-27T10:08:00Z">
        <w:r>
          <w:rPr>
            <w:bCs/>
            <w:sz w:val="24"/>
            <w:szCs w:val="24"/>
          </w:rPr>
          <w:t xml:space="preserve"> 1</w:t>
        </w:r>
      </w:ins>
      <w:ins w:id="590" w:author="LeBoldus, Jared" w:date="2022-10-27T10:08:00Z">
        <w:r>
          <w:rPr>
            <w:sz w:val="24"/>
            <w:szCs w:val="24"/>
          </w:rPr>
          <w:t xml:space="preserve">). </w:t>
        </w:r>
      </w:ins>
      <w:ins w:id="591" w:author="LeBoldus, Jared" w:date="2022-10-27T10:09:00Z">
        <w:r>
          <w:rPr>
            <w:sz w:val="24"/>
            <w:szCs w:val="24"/>
          </w:rPr>
          <w:t xml:space="preserve">There </w:t>
        </w:r>
      </w:ins>
      <w:r>
        <w:rPr>
          <w:sz w:val="24"/>
          <w:szCs w:val="24"/>
        </w:rPr>
        <w:t>was</w:t>
      </w:r>
      <w:ins w:id="592" w:author="LeBoldus, Jared" w:date="2022-10-27T10:09:00Z">
        <w:r>
          <w:rPr>
            <w:sz w:val="24"/>
            <w:szCs w:val="24"/>
          </w:rPr>
          <w:t xml:space="preserve"> a total of </w:t>
        </w:r>
      </w:ins>
      <w:ins w:id="593" w:author="LeBoldus, Jared" w:date="2022-10-27T10:08:00Z">
        <w:r>
          <w:rPr>
            <w:sz w:val="24"/>
            <w:szCs w:val="24"/>
          </w:rPr>
          <w:t>25 plots in each of the three different treatment areas</w:t>
        </w:r>
      </w:ins>
      <w:ins w:id="594" w:author="LeBoldus, Jared" w:date="2022-10-27T10:10:00Z">
        <w:r>
          <w:rPr>
            <w:sz w:val="24"/>
            <w:szCs w:val="24"/>
          </w:rPr>
          <w:t xml:space="preserve"> with 5 plots in each block</w:t>
        </w:r>
      </w:ins>
      <w:ins w:id="595" w:author="LeBoldus, Jared" w:date="2022-10-27T10:08:00Z">
        <w:r>
          <w:rPr>
            <w:sz w:val="24"/>
            <w:szCs w:val="24"/>
          </w:rPr>
          <w:t>. The location of the plots was on the northeast slope of Mary’s Peak, Oregon, USA. Plot</w:t>
        </w:r>
      </w:ins>
      <w:ins w:id="596" w:author="LeBoldus, Jared" w:date="2022-10-27T10:11:00Z">
        <w:r>
          <w:rPr>
            <w:sz w:val="24"/>
            <w:szCs w:val="24"/>
          </w:rPr>
          <w:t xml:space="preserve"> locations</w:t>
        </w:r>
      </w:ins>
      <w:del w:id="597" w:author="LeBoldus, Jared" w:date="2022-10-27T10:11:00Z">
        <w:r>
          <w:rPr>
            <w:sz w:val="24"/>
            <w:szCs w:val="24"/>
          </w:rPr>
          <w:delText>s</w:delText>
        </w:r>
      </w:del>
      <w:ins w:id="598" w:author="LeBoldus, Jared" w:date="2022-10-27T10:08:00Z">
        <w:r>
          <w:rPr>
            <w:sz w:val="24"/>
            <w:szCs w:val="24"/>
          </w:rPr>
          <w:t xml:space="preserve"> were semi randomized and chosen with respect to access points such as trails and roads. </w:t>
        </w:r>
      </w:ins>
      <w:ins w:id="599" w:author="LeBoldus, Jared" w:date="2022-10-27T10:12:00Z">
        <w:r>
          <w:rPr>
            <w:sz w:val="24"/>
            <w:szCs w:val="24"/>
          </w:rPr>
          <w:t xml:space="preserve">The elevation of the plots ranged from 381 - 634m (mean = 511m). </w:t>
        </w:r>
      </w:ins>
      <w:del w:id="600" w:author="LeBoldus, Jared" w:date="2022-10-27T10:11:00Z">
        <w:bookmarkEnd w:id="5"/>
        <w:r>
          <w:rPr>
            <w:sz w:val="24"/>
            <w:szCs w:val="24"/>
          </w:rPr>
          <w:delText>Each plot was 0.04 hectares with a plot radius of 11.3 m.</w:delText>
        </w:r>
      </w:del>
      <w:del w:id="601" w:author="LeBoldus, Jared" w:date="2022-10-27T10:07:00Z">
        <w:r>
          <w:rPr>
            <w:b/>
            <w:bCs/>
            <w:sz w:val="24"/>
            <w:szCs w:val="24"/>
          </w:rPr>
          <w:delText xml:space="preserve">Three categories of treatment areas were originally designed for this study, with five replicates for each treatment. </w:delText>
        </w:r>
      </w:del>
      <w:del w:id="602" w:author="LeBoldus, Jared" w:date="2022-10-27T10:01:00Z">
        <w:r>
          <w:rPr>
            <w:b/>
            <w:bCs/>
            <w:sz w:val="24"/>
            <w:szCs w:val="24"/>
          </w:rPr>
          <w:delText xml:space="preserve">The treatment categories included the control, that contained five stands where no thinning occurred. </w:delText>
        </w:r>
      </w:del>
      <w:del w:id="603" w:author="LeBoldus, Jared" w:date="2022-10-27T10:07:00Z">
        <w:r>
          <w:rPr>
            <w:b/>
            <w:bCs/>
            <w:sz w:val="24"/>
            <w:szCs w:val="24"/>
          </w:rPr>
          <w:delText>The basal area of the control stands was 61.4 m</w:delText>
        </w:r>
      </w:del>
      <w:del w:id="604" w:author="LeBoldus, Jared" w:date="2022-10-27T10:07:00Z">
        <w:r>
          <w:rPr>
            <w:b/>
            <w:bCs/>
            <w:color w:val="333333"/>
            <w:sz w:val="24"/>
            <w:szCs w:val="24"/>
            <w:vertAlign w:val="superscript"/>
          </w:rPr>
          <w:delText>2</w:delText>
        </w:r>
      </w:del>
      <w:del w:id="605" w:author="LeBoldus, Jared" w:date="2022-10-27T10:07:00Z">
        <w:r>
          <w:rPr>
            <w:b/>
            <w:bCs/>
            <w:sz w:val="24"/>
            <w:szCs w:val="24"/>
          </w:rPr>
          <w:delText>ha</w:delText>
        </w:r>
      </w:del>
      <w:del w:id="606" w:author="LeBoldus, Jared" w:date="2022-10-27T10:07:00Z">
        <w:r>
          <w:rPr>
            <w:b/>
            <w:bCs/>
            <w:sz w:val="24"/>
            <w:szCs w:val="24"/>
            <w:vertAlign w:val="superscript"/>
          </w:rPr>
          <w:delText>-1</w:delText>
        </w:r>
      </w:del>
      <w:del w:id="607" w:author="LeBoldus, Jared" w:date="2022-10-27T10:07:00Z">
        <w:r>
          <w:rPr>
            <w:b/>
            <w:bCs/>
            <w:sz w:val="24"/>
            <w:szCs w:val="24"/>
          </w:rPr>
          <w:delText xml:space="preserve"> in 1990 with a stand mean quadratic mean diameter of 41 cm. The lightly thinned treatment area was made up of five stands that were thinned to 43.1 m</w:delText>
        </w:r>
      </w:del>
      <w:del w:id="608" w:author="LeBoldus, Jared" w:date="2022-10-27T10:07:00Z">
        <w:r>
          <w:rPr>
            <w:b/>
            <w:bCs/>
            <w:color w:val="333333"/>
            <w:sz w:val="24"/>
            <w:szCs w:val="24"/>
            <w:vertAlign w:val="superscript"/>
          </w:rPr>
          <w:delText>2</w:delText>
        </w:r>
      </w:del>
      <w:del w:id="609" w:author="LeBoldus, Jared" w:date="2022-10-27T10:07:00Z">
        <w:r>
          <w:rPr>
            <w:b/>
            <w:bCs/>
            <w:sz w:val="24"/>
            <w:szCs w:val="24"/>
          </w:rPr>
          <w:delText>ha</w:delText>
        </w:r>
      </w:del>
      <w:del w:id="610" w:author="LeBoldus, Jared" w:date="2022-10-27T10:07:00Z">
        <w:r>
          <w:rPr>
            <w:b/>
            <w:bCs/>
            <w:sz w:val="24"/>
            <w:szCs w:val="24"/>
            <w:vertAlign w:val="superscript"/>
          </w:rPr>
          <w:delText>-1</w:delText>
        </w:r>
      </w:del>
      <w:del w:id="611" w:author="LeBoldus, Jared" w:date="2022-10-27T10:07:00Z">
        <w:r>
          <w:rPr>
            <w:b/>
            <w:bCs/>
            <w:sz w:val="24"/>
            <w:szCs w:val="24"/>
          </w:rPr>
          <w:delText xml:space="preserve"> of basal area with a stand mean quadratic mean diameter of 47 cm. The thinned area was made up of five stands that were thinned to 35.3 m</w:delText>
        </w:r>
      </w:del>
      <w:del w:id="612" w:author="LeBoldus, Jared" w:date="2022-10-27T10:07:00Z">
        <w:r>
          <w:rPr>
            <w:b/>
            <w:bCs/>
            <w:color w:val="333333"/>
            <w:sz w:val="24"/>
            <w:szCs w:val="24"/>
            <w:vertAlign w:val="superscript"/>
          </w:rPr>
          <w:delText>2</w:delText>
        </w:r>
      </w:del>
      <w:del w:id="613" w:author="LeBoldus, Jared" w:date="2022-10-27T10:07:00Z">
        <w:r>
          <w:rPr>
            <w:b/>
            <w:bCs/>
            <w:sz w:val="24"/>
            <w:szCs w:val="24"/>
          </w:rPr>
          <w:delText>ha</w:delText>
        </w:r>
      </w:del>
      <w:del w:id="614" w:author="LeBoldus, Jared" w:date="2022-10-27T10:07:00Z">
        <w:r>
          <w:rPr>
            <w:b/>
            <w:bCs/>
            <w:sz w:val="24"/>
            <w:szCs w:val="24"/>
            <w:vertAlign w:val="superscript"/>
          </w:rPr>
          <w:delText>-1</w:delText>
        </w:r>
      </w:del>
      <w:del w:id="615" w:author="LeBoldus, Jared" w:date="2022-10-27T10:07:00Z">
        <w:r>
          <w:rPr>
            <w:b/>
            <w:bCs/>
            <w:sz w:val="24"/>
            <w:szCs w:val="24"/>
          </w:rPr>
          <w:delText xml:space="preserve"> of basal area with a stand mean quadratic mean diameter of 55 cm. </w:delText>
        </w:r>
      </w:del>
      <w:del w:id="616" w:author="LeBoldus, Jared" w:date="2022-10-27T10:13:00Z">
        <w:r>
          <w:rPr>
            <w:b/>
            <w:bCs/>
            <w:sz w:val="24"/>
            <w:szCs w:val="24"/>
          </w:rPr>
          <w:br/>
        </w:r>
      </w:del>
    </w:p>
    <w:p>
      <w:pPr>
        <w:pStyle w:val="Normal"/>
        <w:spacing w:lineRule="auto" w:line="480"/>
        <w:ind w:firstLine="720"/>
        <w:rPr>
          <w:b/>
          <w:b/>
          <w:bCs/>
          <w:sz w:val="24"/>
          <w:szCs w:val="24"/>
          <w:del w:id="619" w:author="LeBoldus, Jared" w:date="2022-10-27T10:13:00Z"/>
        </w:rPr>
      </w:pPr>
      <w:del w:id="618" w:author="LeBoldus, Jared" w:date="2022-10-27T10:13:00Z">
        <w:r>
          <w:rPr>
            <w:b/>
            <w:bCs/>
            <w:sz w:val="24"/>
            <w:szCs w:val="24"/>
          </w:rPr>
          <w:delText xml:space="preserve">2.1.2 Plot network </w:delText>
        </w:r>
      </w:del>
    </w:p>
    <w:p>
      <w:pPr>
        <w:pStyle w:val="Normal"/>
        <w:spacing w:lineRule="auto" w:line="480"/>
        <w:ind w:firstLine="720"/>
        <w:rPr>
          <w:sz w:val="24"/>
          <w:szCs w:val="24"/>
          <w:del w:id="627" w:author="LeBoldus, Jared" w:date="2022-10-27T10:13:00Z"/>
        </w:rPr>
      </w:pPr>
      <w:del w:id="620" w:author="LeBoldus, Jared" w:date="2022-10-27T10:08:00Z">
        <w:r>
          <w:rPr>
            <w:b/>
            <w:bCs/>
            <w:sz w:val="24"/>
            <w:szCs w:val="24"/>
          </w:rPr>
          <w:delText xml:space="preserve">In 1985, prior to any treatments being conducted, a total of 75 circular, fixed radius plots were established (Figure 1). The plot network contained 25 plots in each of the three different treatment areas. The location of the plots was on the northeast slope of Mary’s Peak, Oregon, USA. Plots were semi randomized and chosen with respect to access points such as trails and roads. Each plot was 0.04 hectares with a plot radius of 11.3 m. </w:delText>
        </w:r>
      </w:del>
      <w:del w:id="621" w:author="LeBoldus, Jared" w:date="2022-10-27T10:12:00Z">
        <w:r>
          <w:rPr>
            <w:b/>
            <w:bCs/>
            <w:sz w:val="24"/>
            <w:szCs w:val="24"/>
          </w:rPr>
          <w:delText xml:space="preserve">The elevation of the plots ranged from 381 - 634m (mean = 511m). </w:delText>
        </w:r>
      </w:del>
      <w:del w:id="622" w:author="LeBoldus, Jared" w:date="2022-10-27T10:13:00Z">
        <w:r>
          <w:rPr>
            <w:b/>
            <w:bCs/>
            <w:sz w:val="24"/>
            <w:szCs w:val="24"/>
          </w:rPr>
          <w:delText xml:space="preserve">Elevation was found by using a Digital Elevation Model (DEM) in ArcGIS Pro 2.8.0 </w:delText>
        </w:r>
      </w:del>
      <w:del w:id="623" w:author="LeBoldus, Jared" w:date="2022-10-27T10:13:00Z">
        <w:r>
          <w:rPr>
            <w:b/>
            <w:bCs/>
            <w:sz w:val="24"/>
            <w:szCs w:val="24"/>
            <w:highlight w:val="white"/>
          </w:rPr>
          <w:delText>(ESRI, 2011)</w:delText>
        </w:r>
      </w:del>
      <w:del w:id="624" w:author="LeBoldus, Jared" w:date="2022-10-27T10:13:00Z">
        <w:r>
          <w:rPr>
            <w:b/>
            <w:bCs/>
            <w:sz w:val="24"/>
            <w:szCs w:val="24"/>
          </w:rPr>
          <w:delText>. The DEM was downloaded from the USGS Earth Explorer online website (</w:delText>
        </w:r>
      </w:del>
      <w:hyperlink r:id="rId10">
        <w:del w:id="625" w:author="LeBoldus, Jared" w:date="2022-10-27T10:13:00Z">
          <w:r>
            <w:rPr>
              <w:rStyle w:val="InternetLink"/>
              <w:b/>
              <w:bCs/>
              <w:color w:val="auto"/>
              <w:sz w:val="24"/>
              <w:szCs w:val="24"/>
            </w:rPr>
            <w:delText>http://earthexplorer.usgs.gov</w:delText>
          </w:r>
        </w:del>
      </w:hyperlink>
      <w:del w:id="626" w:author="LeBoldus, Jared" w:date="2022-10-27T10:13:00Z">
        <w:r>
          <w:rPr>
            <w:b/>
            <w:bCs/>
            <w:sz w:val="24"/>
            <w:szCs w:val="24"/>
          </w:rPr>
          <w:delText xml:space="preserve">). </w:delText>
        </w:r>
      </w:del>
    </w:p>
    <w:p>
      <w:pPr>
        <w:pStyle w:val="Normal"/>
        <w:spacing w:lineRule="auto" w:line="480"/>
        <w:ind w:firstLine="72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pPr>
      <w:r>
        <w:rPr>
          <w:b/>
          <w:iCs/>
          <w:sz w:val="24"/>
          <w:szCs w:val="24"/>
        </w:rPr>
        <w:t>2.1.3 Data collection</w:t>
      </w:r>
    </w:p>
    <w:p>
      <w:pPr>
        <w:pStyle w:val="Normal"/>
        <w:spacing w:lineRule="auto" w:line="480"/>
        <w:ind w:firstLine="720"/>
        <w:rPr>
          <w:sz w:val="24"/>
          <w:szCs w:val="24"/>
        </w:rPr>
      </w:pPr>
      <w:r>
        <w:rPr>
          <w:sz w:val="24"/>
          <w:szCs w:val="24"/>
        </w:rPr>
        <w:t>Beginning in 1985, the plots were surveyed and each tree within the plot was tagged with a tree identification number. The tree species, diameter at breast height (DBH)</w:t>
      </w:r>
      <w:del w:id="628" w:author="LeBoldus, Jared" w:date="2022-10-27T10:13:00Z">
        <w:r>
          <w:rPr>
            <w:sz w:val="24"/>
            <w:szCs w:val="24"/>
          </w:rPr>
          <w:delText xml:space="preserve"> measurements</w:delText>
        </w:r>
      </w:del>
      <w:r>
        <w:rPr>
          <w:sz w:val="24"/>
          <w:szCs w:val="24"/>
        </w:rPr>
        <w:t>, and tree health condition codes</w:t>
      </w:r>
      <w:ins w:id="629" w:author="LeBoldus, Jared" w:date="2022-10-27T10:15:00Z">
        <w:r>
          <w:rPr>
            <w:sz w:val="24"/>
            <w:szCs w:val="24"/>
          </w:rPr>
          <w:t xml:space="preserve"> </w:t>
        </w:r>
      </w:ins>
      <w:ins w:id="630" w:author="LeBoldus, Jared" w:date="2022-10-27T10:15:00Z">
        <w:bookmarkStart w:id="6" w:name="move117758121"/>
        <w:r>
          <w:rPr>
            <w:sz w:val="24"/>
            <w:szCs w:val="24"/>
          </w:rPr>
          <w:t>(1 = healthy, 2 = live tree with symptoms, 3 = dead from</w:t>
        </w:r>
      </w:ins>
      <w:ins w:id="631" w:author="LeBoldus, Jared" w:date="2022-10-27T10:15:00Z">
        <w:r>
          <w:rPr>
            <w:i/>
            <w:sz w:val="24"/>
            <w:szCs w:val="24"/>
          </w:rPr>
          <w:t xml:space="preserve"> C. sulphurascens</w:t>
        </w:r>
      </w:ins>
      <w:ins w:id="632" w:author="LeBoldus, Jared" w:date="2022-10-27T10:15:00Z">
        <w:r>
          <w:rPr>
            <w:sz w:val="24"/>
            <w:szCs w:val="24"/>
          </w:rPr>
          <w:t xml:space="preserve">, 4 = dead not from </w:t>
        </w:r>
      </w:ins>
      <w:ins w:id="633" w:author="LeBoldus, Jared" w:date="2022-10-27T10:15:00Z">
        <w:r>
          <w:rPr>
            <w:i/>
            <w:sz w:val="24"/>
            <w:szCs w:val="24"/>
          </w:rPr>
          <w:t>C. sulphurascens</w:t>
        </w:r>
      </w:ins>
      <w:ins w:id="634" w:author="LeBoldus, Jared" w:date="2022-10-27T10:15:00Z">
        <w:r>
          <w:rPr>
            <w:sz w:val="24"/>
            <w:szCs w:val="24"/>
          </w:rPr>
          <w:t>)</w:t>
        </w:r>
      </w:ins>
      <w:bookmarkEnd w:id="6"/>
      <w:r>
        <w:rPr>
          <w:sz w:val="24"/>
          <w:szCs w:val="24"/>
        </w:rPr>
        <w:t xml:space="preserve"> were recorded.  </w:t>
      </w:r>
      <w:ins w:id="635" w:author="LeBoldus, Jared" w:date="2022-10-27T10:15:00Z">
        <w:bookmarkStart w:id="7" w:name="move117758149"/>
        <w:r>
          <w:rPr>
            <w:sz w:val="24"/>
            <w:szCs w:val="24"/>
          </w:rPr>
          <w:t xml:space="preserve">Windblown trees or stumps were given a code of 4 if signs of LRR were not present. </w:t>
        </w:r>
      </w:ins>
      <w:ins w:id="636" w:author="LeBoldus, Jared" w:date="2022-10-27T10:16:00Z">
        <w:r>
          <w:rPr>
            <w:sz w:val="24"/>
            <w:szCs w:val="24"/>
          </w:rPr>
          <w:t>New seedlings were addded to the plots when they reached a</w:t>
        </w:r>
      </w:ins>
      <w:r>
        <w:rPr>
          <w:sz w:val="24"/>
          <w:szCs w:val="24"/>
        </w:rPr>
        <w:t xml:space="preserve"> </w:t>
      </w:r>
      <w:ins w:id="637" w:author="LeBoldus, Jared" w:date="2022-10-27T10:16:00Z">
        <w:r>
          <w:rPr>
            <w:sz w:val="24"/>
            <w:szCs w:val="24"/>
          </w:rPr>
          <w:t xml:space="preserve">minimum </w:t>
        </w:r>
      </w:ins>
      <w:ins w:id="638" w:author="LeBoldus, Jared" w:date="2022-10-27T10:17:00Z">
        <w:r>
          <w:rPr>
            <w:sz w:val="24"/>
            <w:szCs w:val="24"/>
          </w:rPr>
          <w:t>DBH of</w:t>
        </w:r>
      </w:ins>
      <w:ins w:id="639" w:author="LeBoldus, Jared" w:date="2022-10-27T10:16:00Z">
        <w:r>
          <w:rPr>
            <w:sz w:val="24"/>
            <w:szCs w:val="24"/>
          </w:rPr>
          <w:t xml:space="preserve"> 15.24 cm. </w:t>
        </w:r>
      </w:ins>
      <w:ins w:id="640" w:author="LeBoldus, Jared" w:date="2022-10-27T10:15:00Z">
        <w:r>
          <w:rPr>
            <w:sz w:val="24"/>
            <w:szCs w:val="24"/>
          </w:rPr>
          <w:t xml:space="preserve">Plots were surveyed in 1990, 1995, 2000, 2009, and 2020. </w:t>
        </w:r>
      </w:ins>
      <w:del w:id="641" w:author="LeBoldus, Jared" w:date="2022-10-27T10:14:00Z">
        <w:bookmarkEnd w:id="7"/>
        <w:r>
          <w:rPr>
            <w:sz w:val="24"/>
            <w:szCs w:val="24"/>
          </w:rPr>
          <w:delText xml:space="preserve">DBH was taken ~1.37 m from the highest point of the surface of the soil, on the uphill side of the tree. A line had been spray painted at breast height from previous surveys, to ensure consistent measurements were replicated. </w:delText>
        </w:r>
      </w:del>
      <w:del w:id="642" w:author="LeBoldus, Jared" w:date="2022-10-27T10:16:00Z">
        <w:r>
          <w:rPr>
            <w:sz w:val="24"/>
            <w:szCs w:val="24"/>
          </w:rPr>
          <w:delText xml:space="preserve">The breakpoint DBH was 15.24 cm and all ingrown trees that were &gt; 15.24 cm were added to the plots. </w:delText>
        </w:r>
      </w:del>
      <w:del w:id="643" w:author="LeBoldus, Jared" w:date="2022-10-27T10:15:00Z">
        <w:r>
          <w:rPr>
            <w:sz w:val="24"/>
            <w:szCs w:val="24"/>
          </w:rPr>
          <w:delText>Tree health conditions were assigned a code from 1 - 4</w:delText>
        </w:r>
      </w:del>
      <w:del w:id="644" w:author="LeBoldus, Jared" w:date="2022-10-27T10:15:00Z">
        <w:bookmarkStart w:id="8" w:name="move1177581211111111111111111111"/>
        <w:r>
          <w:rPr>
            <w:sz w:val="24"/>
            <w:szCs w:val="24"/>
          </w:rPr>
          <w:delText xml:space="preserve"> (1 = healthy, 2 = live tree with symptoms, 3 = dead from</w:delText>
        </w:r>
      </w:del>
      <w:del w:id="645" w:author="LeBoldus, Jared" w:date="2022-10-27T10:15:00Z">
        <w:r>
          <w:rPr>
            <w:i/>
            <w:sz w:val="24"/>
            <w:szCs w:val="24"/>
          </w:rPr>
          <w:delText xml:space="preserve"> C. sulphurascens</w:delText>
        </w:r>
      </w:del>
      <w:del w:id="646" w:author="LeBoldus, Jared" w:date="2022-10-27T10:15:00Z">
        <w:r>
          <w:rPr>
            <w:sz w:val="24"/>
            <w:szCs w:val="24"/>
          </w:rPr>
          <w:delText xml:space="preserve">, 4 = dead not from </w:delText>
        </w:r>
      </w:del>
      <w:del w:id="647" w:author="LeBoldus, Jared" w:date="2022-10-27T10:15:00Z">
        <w:r>
          <w:rPr>
            <w:i/>
            <w:sz w:val="24"/>
            <w:szCs w:val="24"/>
          </w:rPr>
          <w:delText>C. sulphurascens</w:delText>
        </w:r>
      </w:del>
      <w:del w:id="648" w:author="LeBoldus, Jared" w:date="2022-10-27T10:15:00Z">
        <w:r>
          <w:rPr>
            <w:sz w:val="24"/>
            <w:szCs w:val="24"/>
          </w:rPr>
          <w:delText>)</w:delText>
        </w:r>
      </w:del>
      <w:del w:id="649" w:author="LeBoldus, Jared" w:date="2022-10-27T10:15:00Z">
        <w:bookmarkEnd w:id="8"/>
        <w:r>
          <w:rPr>
            <w:sz w:val="24"/>
            <w:szCs w:val="24"/>
          </w:rPr>
          <w:delText xml:space="preserve">. </w:delText>
        </w:r>
      </w:del>
      <w:del w:id="650" w:author="LeBoldus, Jared" w:date="2022-10-27T10:15:00Z">
        <w:bookmarkStart w:id="9" w:name="move1177581491111111111111111111"/>
        <w:r>
          <w:rPr>
            <w:sz w:val="24"/>
            <w:szCs w:val="24"/>
          </w:rPr>
          <w:delText xml:space="preserve">Windblown trees or stumps were given a code of 4 if signs of LRR were not present. Plots were surveyed in 1990, 1995, 2000, 2009, and 2020. </w:delText>
        </w:r>
      </w:del>
      <w:del w:id="651" w:author="LeBoldus, Jared" w:date="2022-10-27T10:15:00Z">
        <w:bookmarkEnd w:id="9"/>
        <w:r>
          <w:rPr>
            <w:sz w:val="24"/>
            <w:szCs w:val="24"/>
          </w:rPr>
          <w:br/>
        </w:r>
      </w:del>
    </w:p>
    <w:p>
      <w:pPr>
        <w:pStyle w:val="Normal"/>
        <w:tabs>
          <w:tab w:val="clear" w:pos="720"/>
          <w:tab w:val="left" w:pos="6390" w:leader="none"/>
        </w:tabs>
        <w:spacing w:lineRule="auto" w:line="480"/>
        <w:ind w:firstLine="720"/>
        <w:rPr/>
      </w:pPr>
      <w:r>
        <w:rPr>
          <w:sz w:val="24"/>
          <w:szCs w:val="24"/>
        </w:rPr>
        <w:t xml:space="preserve">Confirmation of </w:t>
      </w:r>
      <w:r>
        <w:rPr>
          <w:i/>
          <w:sz w:val="24"/>
          <w:szCs w:val="24"/>
        </w:rPr>
        <w:t xml:space="preserve">C. sulphurascens </w:t>
      </w:r>
      <w:r>
        <w:rPr>
          <w:sz w:val="24"/>
          <w:szCs w:val="24"/>
        </w:rPr>
        <w:t xml:space="preserve">was determined in the field by </w:t>
      </w:r>
      <w:del w:id="652" w:author="LeBoldus, Jared" w:date="2022-10-27T10:17:00Z">
        <w:r>
          <w:rPr>
            <w:sz w:val="24"/>
            <w:szCs w:val="24"/>
          </w:rPr>
          <w:delText>observation of</w:delText>
        </w:r>
      </w:del>
      <w:ins w:id="653" w:author="LeBoldus, Jared" w:date="2022-10-27T10:17:00Z">
        <w:r>
          <w:rPr>
            <w:sz w:val="24"/>
            <w:szCs w:val="24"/>
          </w:rPr>
          <w:t>the presence</w:t>
        </w:r>
      </w:ins>
      <w:r>
        <w:rPr>
          <w:sz w:val="24"/>
          <w:szCs w:val="24"/>
        </w:rPr>
        <w:t xml:space="preserve"> pitted wood in advanced decay </w:t>
      </w:r>
      <w:del w:id="654" w:author="LeBoldus, Jared" w:date="2022-10-27T10:17:00Z">
        <w:r>
          <w:rPr>
            <w:sz w:val="24"/>
            <w:szCs w:val="24"/>
          </w:rPr>
          <w:delText xml:space="preserve">and </w:delText>
        </w:r>
      </w:del>
      <w:ins w:id="655" w:author="LeBoldus, Jared" w:date="2022-10-27T10:17:00Z">
        <w:r>
          <w:rPr>
            <w:sz w:val="24"/>
            <w:szCs w:val="24"/>
          </w:rPr>
          <w:t xml:space="preserve">with </w:t>
        </w:r>
      </w:ins>
      <w:r>
        <w:rPr>
          <w:sz w:val="24"/>
          <w:szCs w:val="24"/>
        </w:rPr>
        <w:t xml:space="preserve">setal hyphae </w:t>
      </w:r>
      <w:ins w:id="656" w:author="LeBoldus, Jared" w:date="2022-10-27T10:17:00Z">
        <w:r>
          <w:rPr>
            <w:sz w:val="24"/>
            <w:szCs w:val="24"/>
          </w:rPr>
          <w:t xml:space="preserve">or the presence of ectotrophic mycelium </w:t>
        </w:r>
      </w:ins>
      <w:del w:id="657" w:author="LeBoldus, Jared" w:date="2022-10-27T10:17:00Z">
        <w:r>
          <w:rPr>
            <w:sz w:val="24"/>
            <w:szCs w:val="24"/>
          </w:rPr>
          <w:delText xml:space="preserve">under a hand lens </w:delText>
        </w:r>
      </w:del>
      <w:r>
        <w:rPr>
          <w:sz w:val="24"/>
          <w:szCs w:val="24"/>
        </w:rPr>
        <w:t xml:space="preserve">(Hansen, 1979). If </w:t>
      </w:r>
      <w:del w:id="658" w:author="LeBoldus, Jared" w:date="2022-10-27T10:18:00Z">
        <w:r>
          <w:rPr>
            <w:sz w:val="24"/>
            <w:szCs w:val="24"/>
          </w:rPr>
          <w:delText>determination could not be identified in the</w:delText>
        </w:r>
      </w:del>
      <w:ins w:id="659" w:author="LeBoldus, Jared" w:date="2022-10-27T10:18:00Z">
        <w:r>
          <w:rPr>
            <w:sz w:val="24"/>
            <w:szCs w:val="24"/>
          </w:rPr>
          <w:t>the presence of LRR could not be confirmed in the</w:t>
        </w:r>
      </w:ins>
      <w:r>
        <w:rPr>
          <w:sz w:val="24"/>
          <w:szCs w:val="24"/>
        </w:rPr>
        <w:t xml:space="preserve"> field, samples were </w:t>
      </w:r>
      <w:ins w:id="660" w:author="LeBoldus, Jared" w:date="2022-10-27T10:19:00Z">
        <w:r>
          <w:rPr>
            <w:sz w:val="24"/>
            <w:szCs w:val="24"/>
          </w:rPr>
          <w:t xml:space="preserve">collected </w:t>
        </w:r>
      </w:ins>
      <w:del w:id="661" w:author="LeBoldus, Jared" w:date="2022-10-27T10:19:00Z">
        <w:r>
          <w:rPr>
            <w:sz w:val="24"/>
            <w:szCs w:val="24"/>
          </w:rPr>
          <w:delText>were brought back to the lab and grown on</w:delText>
        </w:r>
      </w:del>
      <w:ins w:id="662" w:author="LeBoldus, Jared" w:date="2022-10-27T10:19:00Z">
        <w:r>
          <w:rPr>
            <w:sz w:val="24"/>
            <w:szCs w:val="24"/>
          </w:rPr>
          <w:t>and plated on</w:t>
        </w:r>
      </w:ins>
      <w:r>
        <w:rPr>
          <w:sz w:val="24"/>
          <w:szCs w:val="24"/>
        </w:rPr>
        <w:t xml:space="preserve"> </w:t>
      </w:r>
      <w:ins w:id="663" w:author="LeBoldus, Jared" w:date="2022-10-27T10:21:00Z">
        <w:r>
          <w:rPr>
            <w:sz w:val="24"/>
            <w:szCs w:val="24"/>
          </w:rPr>
          <w:t>M</w:t>
        </w:r>
      </w:ins>
      <w:del w:id="664" w:author="LeBoldus, Jared" w:date="2022-10-27T10:21:00Z">
        <w:r>
          <w:rPr>
            <w:sz w:val="24"/>
            <w:szCs w:val="24"/>
          </w:rPr>
          <w:delText>m</w:delText>
        </w:r>
      </w:del>
      <w:r>
        <w:rPr>
          <w:sz w:val="24"/>
          <w:szCs w:val="24"/>
        </w:rPr>
        <w:t xml:space="preserve">alt </w:t>
      </w:r>
      <w:ins w:id="665" w:author="LeBoldus, Jared" w:date="2022-10-27T10:21:00Z">
        <w:r>
          <w:rPr>
            <w:sz w:val="24"/>
            <w:szCs w:val="24"/>
          </w:rPr>
          <w:t>E</w:t>
        </w:r>
      </w:ins>
      <w:del w:id="666" w:author="LeBoldus, Jared" w:date="2022-10-27T10:21:00Z">
        <w:r>
          <w:rPr>
            <w:sz w:val="24"/>
            <w:szCs w:val="24"/>
          </w:rPr>
          <w:delText>e</w:delText>
        </w:r>
      </w:del>
      <w:r>
        <w:rPr>
          <w:sz w:val="24"/>
          <w:szCs w:val="24"/>
        </w:rPr>
        <w:t xml:space="preserve">xtract </w:t>
      </w:r>
      <w:ins w:id="667" w:author="LeBoldus, Jared" w:date="2022-10-27T10:21:00Z">
        <w:r>
          <w:rPr>
            <w:sz w:val="24"/>
            <w:szCs w:val="24"/>
          </w:rPr>
          <w:t>A</w:t>
        </w:r>
      </w:ins>
      <w:del w:id="668" w:author="LeBoldus, Jared" w:date="2022-10-27T10:21:00Z">
        <w:r>
          <w:rPr>
            <w:sz w:val="24"/>
            <w:szCs w:val="24"/>
          </w:rPr>
          <w:delText>a</w:delText>
        </w:r>
      </w:del>
      <w:r>
        <w:rPr>
          <w:sz w:val="24"/>
          <w:szCs w:val="24"/>
        </w:rPr>
        <w:t xml:space="preserve">gar (1 L sterilized deionized water, 15g malt extract, 15g Bacto agar) and </w:t>
      </w:r>
      <w:del w:id="669" w:author="LeBoldus, Jared" w:date="2022-10-27T10:19:00Z">
        <w:r>
          <w:rPr>
            <w:sz w:val="24"/>
            <w:szCs w:val="24"/>
          </w:rPr>
          <w:delText>in a low temperature</w:delText>
        </w:r>
      </w:del>
      <w:ins w:id="670" w:author="LeBoldus, Jared" w:date="2022-10-27T10:19:00Z">
        <w:r>
          <w:rPr>
            <w:sz w:val="24"/>
            <w:szCs w:val="24"/>
          </w:rPr>
          <w:t xml:space="preserve">incubated at </w:t>
        </w:r>
      </w:ins>
      <w:r>
        <w:rPr>
          <w:sz w:val="24"/>
          <w:szCs w:val="24"/>
        </w:rPr>
        <w:t>18</w:t>
      </w:r>
      <w:ins w:id="671" w:author="LeBoldus, Jared" w:date="2022-10-27T10:19:00Z">
        <w:r>
          <w:rPr>
            <w:sz w:val="24"/>
            <w:szCs w:val="24"/>
          </w:rPr>
          <w:t>°C for 4 - 6 weeks</w:t>
        </w:r>
      </w:ins>
      <w:r>
        <w:rPr>
          <w:sz w:val="24"/>
          <w:szCs w:val="24"/>
        </w:rPr>
        <w:t xml:space="preserve"> </w:t>
      </w:r>
      <w:ins w:id="672" w:author="LeBoldus, Jared" w:date="2022-10-27T10:20:00Z">
        <w:r>
          <w:rPr>
            <w:sz w:val="24"/>
            <w:szCs w:val="24"/>
          </w:rPr>
          <w:t xml:space="preserve">in an </w:t>
        </w:r>
      </w:ins>
      <w:r>
        <w:rPr>
          <w:sz w:val="24"/>
          <w:szCs w:val="24"/>
        </w:rPr>
        <w:t xml:space="preserve">incubator </w:t>
      </w:r>
      <w:del w:id="673" w:author="LeBoldus, Jared" w:date="2022-10-27T10:20:00Z">
        <w:r>
          <w:rPr>
            <w:sz w:val="24"/>
            <w:szCs w:val="24"/>
          </w:rPr>
          <w:delText xml:space="preserve">815 </w:delText>
        </w:r>
      </w:del>
      <w:r>
        <w:rPr>
          <w:sz w:val="24"/>
          <w:szCs w:val="24"/>
        </w:rPr>
        <w:t>(Precision Scientific Inc., Chicago, IL)</w:t>
      </w:r>
      <w:del w:id="674" w:author="LeBoldus, Jared" w:date="2022-10-27T10:20:00Z">
        <w:r>
          <w:rPr>
            <w:sz w:val="24"/>
            <w:szCs w:val="24"/>
          </w:rPr>
          <w:delText xml:space="preserve"> at</w:delText>
        </w:r>
      </w:del>
      <w:del w:id="675" w:author="LeBoldus, Jared" w:date="2022-10-27T10:19:00Z">
        <w:r>
          <w:rPr>
            <w:sz w:val="24"/>
            <w:szCs w:val="24"/>
          </w:rPr>
          <w:delText xml:space="preserve"> 20°C for 4 - 6 weeks</w:delText>
        </w:r>
      </w:del>
      <w:r>
        <w:rPr>
          <w:sz w:val="24"/>
          <w:szCs w:val="24"/>
        </w:rPr>
        <w:t xml:space="preserve">. </w:t>
      </w:r>
      <w:ins w:id="676" w:author="LeBoldus, Jared" w:date="2022-10-27T10:20:00Z">
        <w:r>
          <w:rPr>
            <w:sz w:val="24"/>
            <w:szCs w:val="24"/>
          </w:rPr>
          <w:t xml:space="preserve">Presence of </w:t>
        </w:r>
      </w:ins>
      <w:r>
        <w:rPr>
          <w:sz w:val="24"/>
          <w:szCs w:val="24"/>
        </w:rPr>
        <w:t>s</w:t>
      </w:r>
      <w:ins w:id="677" w:author="LeBoldus, Jared" w:date="2022-10-27T10:20:00Z">
        <w:r>
          <w:rPr>
            <w:sz w:val="24"/>
            <w:szCs w:val="24"/>
          </w:rPr>
          <w:t>etal hyphae was</w:t>
        </w:r>
      </w:ins>
      <w:ins w:id="678" w:author="LeBoldus, Jared" w:date="2022-10-27T10:21:00Z">
        <w:r>
          <w:rPr>
            <w:sz w:val="24"/>
            <w:szCs w:val="24"/>
          </w:rPr>
          <w:t xml:space="preserve"> </w:t>
        </w:r>
      </w:ins>
      <w:del w:id="679" w:author="LeBoldus, Jared" w:date="2022-10-27T10:21:00Z">
        <w:r>
          <w:rPr>
            <w:sz w:val="24"/>
            <w:szCs w:val="24"/>
          </w:rPr>
          <w:delText xml:space="preserve">Confirmation of setal hyphae was later </w:delText>
        </w:r>
      </w:del>
      <w:r>
        <w:rPr>
          <w:sz w:val="24"/>
          <w:szCs w:val="24"/>
        </w:rPr>
        <w:t>confirmed by viewing under a dissecting microscope</w:t>
      </w:r>
      <w:ins w:id="680" w:author="LeBoldus, Jared" w:date="2022-10-27T10:21:00Z">
        <w:r>
          <w:rPr>
            <w:sz w:val="24"/>
            <w:szCs w:val="24"/>
          </w:rPr>
          <w:t xml:space="preserve"> (</w:t>
        </w:r>
      </w:ins>
      <w:r>
        <w:rPr>
          <w:sz w:val="24"/>
          <w:szCs w:val="24"/>
        </w:rPr>
        <w:t>MZ6, Leicia Microsystems, Wetzlar, Germany).</w:t>
      </w:r>
    </w:p>
    <w:p>
      <w:pPr>
        <w:pStyle w:val="Normal"/>
        <w:tabs>
          <w:tab w:val="clear" w:pos="720"/>
          <w:tab w:val="left" w:pos="6390" w:leader="none"/>
        </w:tabs>
        <w:spacing w:lineRule="auto" w:line="480"/>
        <w:rPr>
          <w:sz w:val="24"/>
          <w:szCs w:val="24"/>
        </w:rPr>
      </w:pPr>
      <w:r>
        <w:rPr>
          <w:sz w:val="24"/>
          <w:szCs w:val="24"/>
        </w:rPr>
      </w:r>
    </w:p>
    <w:p>
      <w:pPr>
        <w:pStyle w:val="Normal"/>
        <w:spacing w:lineRule="auto" w:line="480"/>
        <w:rPr>
          <w:sz w:val="24"/>
          <w:szCs w:val="24"/>
        </w:rPr>
      </w:pPr>
      <w:r>
        <w:rPr>
          <w:b/>
          <w:iCs/>
          <w:sz w:val="24"/>
          <w:szCs w:val="24"/>
        </w:rPr>
        <w:t xml:space="preserve">2.1.4 </w:t>
      </w:r>
      <w:del w:id="681" w:author="LeBoldus, Jared" w:date="2022-10-27T10:54:00Z">
        <w:r>
          <w:rPr>
            <w:b/>
            <w:iCs/>
            <w:sz w:val="24"/>
            <w:szCs w:val="24"/>
          </w:rPr>
          <w:delText xml:space="preserve">Data </w:delText>
        </w:r>
      </w:del>
      <w:ins w:id="682" w:author="LeBoldus, Jared" w:date="2022-10-27T10:54:00Z">
        <w:r>
          <w:rPr>
            <w:b/>
            <w:iCs/>
            <w:sz w:val="24"/>
            <w:szCs w:val="24"/>
          </w:rPr>
          <w:t xml:space="preserve">Statistical </w:t>
        </w:r>
      </w:ins>
      <w:del w:id="683" w:author="LeBoldus, Jared" w:date="2022-10-27T10:22:00Z">
        <w:r>
          <w:rPr>
            <w:b/>
            <w:iCs/>
            <w:sz w:val="24"/>
            <w:szCs w:val="24"/>
          </w:rPr>
          <w:delText xml:space="preserve">cleaning and </w:delText>
        </w:r>
      </w:del>
      <w:r>
        <w:rPr>
          <w:b/>
          <w:iCs/>
          <w:sz w:val="24"/>
          <w:szCs w:val="24"/>
        </w:rPr>
        <w:t>analysis</w:t>
      </w:r>
    </w:p>
    <w:p>
      <w:pPr>
        <w:pStyle w:val="Normal"/>
        <w:spacing w:lineRule="auto" w:line="480"/>
        <w:ind w:firstLine="720"/>
        <w:rPr>
          <w:sz w:val="24"/>
          <w:szCs w:val="24"/>
          <w:del w:id="704" w:author="LeBoldus, Jared" w:date="2022-10-27T10:33:00Z"/>
        </w:rPr>
      </w:pPr>
      <w:del w:id="684" w:author="LeBoldus, Jared" w:date="2022-10-27T10:23:00Z">
        <w:r>
          <w:rPr>
            <w:sz w:val="24"/>
            <w:szCs w:val="24"/>
          </w:rPr>
          <w:delText>Extensive data cleaning and validation was required to identify data entry errors, inconsistencies in variable names or values, to identify missing data, and to make sure that data from different years adhered to the same format. Data was also subset and reshaped (wide to long) and stand-level summary statistics were generated to facilitate statistics and visualization for specific questions such as mean DBH. The data was primarily cleaned in</w:delText>
        </w:r>
      </w:del>
      <w:ins w:id="685" w:author="LeBoldus, Jared" w:date="2022-10-27T10:23:00Z">
        <w:r>
          <w:rPr>
            <w:sz w:val="24"/>
            <w:szCs w:val="24"/>
          </w:rPr>
          <w:t xml:space="preserve">Data processing and </w:t>
        </w:r>
      </w:ins>
      <w:ins w:id="686" w:author="LeBoldus, Jared" w:date="2022-10-27T10:29:00Z">
        <w:r>
          <w:rPr>
            <w:sz w:val="24"/>
            <w:szCs w:val="24"/>
          </w:rPr>
          <w:t>analysis</w:t>
        </w:r>
      </w:ins>
      <w:ins w:id="687" w:author="LeBoldus, Jared" w:date="2022-10-27T10:23:00Z">
        <w:r>
          <w:rPr>
            <w:sz w:val="24"/>
            <w:szCs w:val="24"/>
          </w:rPr>
          <w:t xml:space="preserve"> was conducted in</w:t>
        </w:r>
      </w:ins>
      <w:r>
        <w:rPr>
          <w:sz w:val="24"/>
          <w:szCs w:val="24"/>
        </w:rPr>
        <w:t xml:space="preserve"> Microsoft Excel</w:t>
      </w:r>
      <w:r>
        <w:rPr/>
        <w:t xml:space="preserve"> </w:t>
      </w:r>
      <w:r>
        <w:rPr>
          <w:sz w:val="24"/>
          <w:szCs w:val="24"/>
        </w:rPr>
        <w:t xml:space="preserve">and RStudio </w:t>
      </w:r>
      <w:del w:id="688" w:author="LeBoldus, Jared" w:date="2022-10-27T10:23:00Z">
        <w:r>
          <w:rPr>
            <w:sz w:val="24"/>
            <w:szCs w:val="24"/>
          </w:rPr>
          <w:delText>(</w:delText>
        </w:r>
      </w:del>
      <w:r>
        <w:rPr>
          <w:sz w:val="24"/>
          <w:szCs w:val="24"/>
        </w:rPr>
        <w:t>v. 1.4.1103</w:t>
      </w:r>
      <w:del w:id="689" w:author="LeBoldus, Jared" w:date="2022-10-27T10:23:00Z">
        <w:r>
          <w:rPr>
            <w:sz w:val="24"/>
            <w:szCs w:val="24"/>
          </w:rPr>
          <w:delText>,</w:delText>
        </w:r>
      </w:del>
      <w:r>
        <w:rPr>
          <w:sz w:val="24"/>
          <w:szCs w:val="24"/>
        </w:rPr>
        <w:t xml:space="preserve"> </w:t>
      </w:r>
      <w:ins w:id="690" w:author="LeBoldus, Jared" w:date="2022-10-27T10:23:00Z">
        <w:r>
          <w:rPr>
            <w:sz w:val="24"/>
            <w:szCs w:val="24"/>
          </w:rPr>
          <w:t>(</w:t>
        </w:r>
      </w:ins>
      <w:r>
        <w:rPr>
          <w:rFonts w:eastAsia="Times New Roman"/>
          <w:sz w:val="24"/>
          <w:szCs w:val="24"/>
        </w:rPr>
        <w:t>RStudio Team 2021</w:t>
      </w:r>
      <w:r>
        <w:rPr>
          <w:sz w:val="24"/>
          <w:szCs w:val="24"/>
        </w:rPr>
        <w:t xml:space="preserve">). </w:t>
      </w:r>
      <w:ins w:id="691" w:author="LeBoldus, Jared" w:date="2022-10-27T10:31:00Z">
        <w:r>
          <w:rPr>
            <w:sz w:val="24"/>
            <w:szCs w:val="24"/>
          </w:rPr>
          <w:t>Over the course of this study, a total of 1,900 trees with more than 7,500 measurements were recorded. For the final analysis</w:t>
        </w:r>
      </w:ins>
      <w:ins w:id="692" w:author="LeBoldus, Jared" w:date="2022-10-27T10:47:00Z">
        <w:r>
          <w:rPr>
            <w:sz w:val="24"/>
            <w:szCs w:val="24"/>
          </w:rPr>
          <w:t xml:space="preserve"> only data collected post thinni</w:t>
        </w:r>
      </w:ins>
      <w:ins w:id="693" w:author="LeBoldus, Jared" w:date="2022-10-27T10:48:00Z">
        <w:r>
          <w:rPr>
            <w:sz w:val="24"/>
            <w:szCs w:val="24"/>
          </w:rPr>
          <w:t>ng (1990 – 2020)</w:t>
        </w:r>
      </w:ins>
      <w:r>
        <w:rPr>
          <w:sz w:val="24"/>
          <w:szCs w:val="24"/>
        </w:rPr>
        <w:t xml:space="preserve"> </w:t>
      </w:r>
      <w:ins w:id="694" w:author="LeBoldus, Jared" w:date="2022-10-27T10:48:00Z">
        <w:r>
          <w:rPr>
            <w:sz w:val="24"/>
            <w:szCs w:val="24"/>
          </w:rPr>
          <w:t>was used</w:t>
        </w:r>
      </w:ins>
      <w:del w:id="695" w:author="LeBoldus, Jared" w:date="2022-10-27T10:48:00Z">
        <w:r>
          <w:rPr>
            <w:sz w:val="24"/>
            <w:szCs w:val="24"/>
          </w:rPr>
          <w:delText>, only data from 1990 - 2020 was used, as this was the years after the thinning treatments had been completed</w:delText>
        </w:r>
      </w:del>
      <w:ins w:id="696" w:author="LeBoldus, Jared" w:date="2022-10-27T10:31:00Z">
        <w:r>
          <w:rPr>
            <w:sz w:val="24"/>
            <w:szCs w:val="24"/>
          </w:rPr>
          <w:t xml:space="preserve">. The reduced dataset included </w:t>
        </w:r>
      </w:ins>
      <w:ins w:id="697" w:author="LeBoldus, Jared" w:date="2022-10-27T10:48:00Z">
        <w:r>
          <w:rPr>
            <w:sz w:val="24"/>
            <w:szCs w:val="24"/>
          </w:rPr>
          <w:t>ca.</w:t>
        </w:r>
      </w:ins>
      <w:ins w:id="698" w:author="LeBoldus, Jared" w:date="2022-10-27T10:31:00Z">
        <w:r>
          <w:rPr>
            <w:sz w:val="24"/>
            <w:szCs w:val="24"/>
          </w:rPr>
          <w:t xml:space="preserve"> 1,100 different trees with approximately 4,100 measurements.</w:t>
        </w:r>
      </w:ins>
      <w:ins w:id="699" w:author="LeBoldus, Jared" w:date="2022-10-27T10:48:00Z">
        <w:r>
          <w:rPr>
            <w:sz w:val="24"/>
            <w:szCs w:val="24"/>
          </w:rPr>
          <w:t xml:space="preserve"> To</w:t>
        </w:r>
      </w:ins>
      <w:ins w:id="700" w:author="LeBoldus, Jared" w:date="2022-10-27T10:32:00Z">
        <w:r>
          <w:rPr>
            <w:sz w:val="24"/>
            <w:szCs w:val="24"/>
          </w:rPr>
          <w:t xml:space="preserve"> r</w:t>
        </w:r>
      </w:ins>
      <w:ins w:id="701" w:author="LeBoldus, Jared" w:date="2022-10-27T10:48:00Z">
        <w:r>
          <w:rPr>
            <w:sz w:val="24"/>
            <w:szCs w:val="24"/>
          </w:rPr>
          <w:t>e</w:t>
        </w:r>
      </w:ins>
      <w:ins w:id="702" w:author="LeBoldus, Jared" w:date="2022-10-27T10:32:00Z">
        <w:r>
          <w:rPr>
            <w:sz w:val="24"/>
            <w:szCs w:val="24"/>
          </w:rPr>
          <w:t>ach this reduced data set the following steps were conducted</w:t>
        </w:r>
      </w:ins>
      <w:ins w:id="703" w:author="LeBoldus, Jared" w:date="2022-10-27T10:33:00Z">
        <w:r>
          <w:rPr>
            <w:sz w:val="24"/>
            <w:szCs w:val="24"/>
          </w:rPr>
          <w:t xml:space="preserve">. </w:t>
        </w:r>
      </w:ins>
    </w:p>
    <w:p>
      <w:pPr>
        <w:pStyle w:val="Normal"/>
        <w:spacing w:lineRule="auto" w:line="480"/>
        <w:ind w:firstLine="720"/>
        <w:rPr>
          <w:sz w:val="24"/>
          <w:szCs w:val="24"/>
          <w:ins w:id="715" w:author="LeBoldus, Jared" w:date="2022-10-27T10:35:00Z"/>
        </w:rPr>
      </w:pPr>
      <w:del w:id="705" w:author="LeBoldus, Jared" w:date="2022-10-27T10:24:00Z">
        <w:r>
          <w:rPr>
            <w:sz w:val="24"/>
            <w:szCs w:val="24"/>
          </w:rPr>
          <w:delText>First</w:delText>
        </w:r>
      </w:del>
      <w:del w:id="706" w:author="Shawn McMurtrey" w:date="2022-11-10T11:20:00Z">
        <w:r>
          <w:rPr>
            <w:sz w:val="24"/>
            <w:szCs w:val="24"/>
          </w:rPr>
          <w:delText xml:space="preserve">and a list was made to document all the trees that were removedYOU NEED TO ADD A SENETENCE EXPLAINING WHY. </w:delText>
        </w:r>
      </w:del>
      <w:del w:id="707" w:author="Shawn McMurtrey" w:date="2022-11-08T08:58:00Z">
        <w:r>
          <w:rPr>
            <w:sz w:val="24"/>
            <w:szCs w:val="24"/>
          </w:rPr>
          <w:delText xml:space="preserve">Trees </w:delText>
        </w:r>
      </w:del>
      <w:del w:id="708" w:author="Shawn McMurtrey" w:date="2022-11-10T11:20:00Z">
        <w:r>
          <w:rPr>
            <w:sz w:val="24"/>
            <w:szCs w:val="24"/>
          </w:rPr>
          <w:delText xml:space="preserve">with missing health condition codes were removed. </w:delText>
        </w:r>
      </w:del>
      <w:ins w:id="709" w:author="LeBoldus, Jared" w:date="2022-10-27T10:30:00Z">
        <w:r>
          <w:rPr>
            <w:sz w:val="24"/>
            <w:szCs w:val="24"/>
          </w:rPr>
          <w:t xml:space="preserve">Detailed steps of the data processing can be found at the Github repository: </w:t>
        </w:r>
      </w:ins>
      <w:hyperlink r:id="rId11">
        <w:ins w:id="710" w:author="LeBoldus, Jared" w:date="2022-10-27T10:30:00Z">
          <w:r>
            <w:rPr>
              <w:rStyle w:val="InternetLink"/>
              <w:sz w:val="24"/>
              <w:szCs w:val="24"/>
            </w:rPr>
            <w:t>https://mcmurtrs.github.io/WoodsCreek/</w:t>
          </w:r>
        </w:ins>
      </w:hyperlink>
      <w:ins w:id="711" w:author="LeBoldus, Jared" w:date="2022-10-27T10:30:00Z">
        <w:r>
          <w:rPr>
            <w:rStyle w:val="InternetLink"/>
            <w:color w:val="auto"/>
            <w:sz w:val="24"/>
            <w:szCs w:val="24"/>
          </w:rPr>
          <w:t xml:space="preserve">. </w:t>
        </w:r>
      </w:ins>
      <w:del w:id="712" w:author="LeBoldus, Jared" w:date="2022-10-27T10:30:00Z">
        <w:r>
          <w:rPr>
            <w:rStyle w:val="InternetLink"/>
            <w:color w:val="auto"/>
            <w:sz w:val="24"/>
            <w:szCs w:val="24"/>
          </w:rPr>
          <w:delText xml:space="preserve">Condition codes for all trees were then recorded if any were missing and could be positively identified from previous/current years or through the notes documented from previous years. Detailed steps of the data cleaning methods can be found at the Github repository: </w:delText>
        </w:r>
      </w:del>
      <w:hyperlink r:id="rId12">
        <w:del w:id="713" w:author="LeBoldus, Jared" w:date="2022-10-27T10:30:00Z">
          <w:r>
            <w:rPr>
              <w:rStyle w:val="InternetLink"/>
              <w:sz w:val="24"/>
              <w:szCs w:val="24"/>
            </w:rPr>
            <w:delText>https://mcmurtrs.github.io/WoodsCreek/</w:delText>
          </w:r>
        </w:del>
      </w:hyperlink>
      <w:del w:id="714" w:author="LeBoldus, Jared" w:date="2022-10-27T10:30:00Z">
        <w:r>
          <w:rPr>
            <w:rStyle w:val="InternetLink"/>
            <w:color w:val="auto"/>
            <w:sz w:val="24"/>
            <w:szCs w:val="24"/>
          </w:rPr>
          <w:delText>.</w:delText>
        </w:r>
      </w:del>
    </w:p>
    <w:p>
      <w:pPr>
        <w:pStyle w:val="Normal"/>
        <w:tabs>
          <w:tab w:val="clear" w:pos="720"/>
          <w:tab w:val="left" w:pos="6390" w:leader="none"/>
        </w:tabs>
        <w:spacing w:lineRule="auto" w:line="480"/>
        <w:ind w:firstLine="720"/>
        <w:rPr>
          <w:bCs/>
          <w:iCs/>
          <w:sz w:val="24"/>
          <w:szCs w:val="24"/>
          <w:del w:id="717" w:author="Shawn McMurtrey" w:date="2022-11-10T11:21:00Z"/>
        </w:rPr>
      </w:pPr>
      <w:del w:id="716" w:author="Shawn McMurtrey" w:date="2022-11-10T11:21:00Z">
        <w:r>
          <w:rPr>
            <w:rStyle w:val="InternetLink"/>
            <w:bCs/>
            <w:iCs/>
            <w:color w:val="auto"/>
            <w:sz w:val="24"/>
            <w:szCs w:val="24"/>
          </w:rPr>
          <w:delText>You combined the two different thinning regimes into a single treatment correct? You need to say that. You should also probably indicate that you transfromed everything.</w:delText>
        </w:r>
      </w:del>
    </w:p>
    <w:p>
      <w:pPr>
        <w:pStyle w:val="Normal"/>
        <w:tabs>
          <w:tab w:val="clear" w:pos="720"/>
          <w:tab w:val="left" w:pos="6390" w:leader="none"/>
        </w:tabs>
        <w:spacing w:lineRule="auto" w:line="480"/>
        <w:ind w:firstLine="720"/>
        <w:rPr>
          <w:bCs/>
          <w:iCs/>
          <w:sz w:val="24"/>
          <w:szCs w:val="24"/>
          <w:del w:id="719" w:author="LeBoldus, Jared" w:date="2022-10-27T10:31:00Z"/>
        </w:rPr>
      </w:pPr>
      <w:del w:id="718" w:author="LeBoldus, Jared" w:date="2022-10-27T10:31:00Z">
        <w:r>
          <w:rPr>
            <w:bCs/>
            <w:iCs/>
            <w:sz w:val="24"/>
            <w:szCs w:val="24"/>
          </w:rPr>
          <w:delText>Over the course of this study, data were collected on over 1,900 trees with more than 7,500 tree measurements being recorded. For the final analysis, only data from 1990 - 2020 was used, as this was the years after the thinning treatments had been completed. The reduced dataset included around 1,100 different trees with approximately 4,100 DBH measurements.</w:delText>
        </w:r>
      </w:del>
      <w:bookmarkStart w:id="10" w:name="move1177590791111111111111111111"/>
      <w:bookmarkEnd w:id="10"/>
    </w:p>
    <w:p>
      <w:pPr>
        <w:pStyle w:val="Normal"/>
        <w:tabs>
          <w:tab w:val="clear" w:pos="720"/>
          <w:tab w:val="left" w:pos="6390" w:leader="none"/>
        </w:tabs>
        <w:spacing w:lineRule="auto" w:line="480"/>
        <w:ind w:firstLine="720"/>
        <w:rPr>
          <w:bCs/>
          <w:iCs/>
          <w:sz w:val="24"/>
          <w:szCs w:val="24"/>
        </w:rPr>
      </w:pPr>
      <w:r>
        <w:rPr>
          <w:bCs/>
          <w:iCs/>
          <w:sz w:val="24"/>
          <w:szCs w:val="24"/>
        </w:rPr>
        <w:t xml:space="preserve">A two-factor analysis of variance (ANOVA) was conducted to test the main effects of block and treatment on arcsine square root transformed cumulative proportional stand mortality caused by LRR. Cumulative proportional stand mortality was defined as number of confirmed dead trees showing LRR symptoms over the total number of trees within the stand, </w:t>
      </w:r>
      <w:r>
        <w:rPr>
          <w:bCs/>
          <w:iCs/>
          <w:sz w:val="24"/>
          <w:szCs w:val="24"/>
        </w:rPr>
        <w:t>and these proportional values were arcsine squareroot transformed to conform to parametric assumptions of homoscedasticity and normality of residuals</w:t>
      </w:r>
      <w:r>
        <w:rPr>
          <w:bCs/>
          <w:iCs/>
          <w:sz w:val="24"/>
          <w:szCs w:val="24"/>
        </w:rPr>
        <w:t xml:space="preserve">. </w:t>
      </w:r>
      <w:ins w:id="720" w:author="Shawn McMurtrey" w:date="2022-11-10T19:03:00Z">
        <w:r>
          <w:rPr>
            <w:bCs/>
            <w:iCs/>
            <w:sz w:val="24"/>
            <w:szCs w:val="24"/>
          </w:rPr>
          <w:t xml:space="preserve"> </w:t>
        </w:r>
      </w:ins>
      <w:r>
        <w:rPr>
          <w:bCs/>
          <w:iCs/>
          <w:sz w:val="24"/>
          <w:szCs w:val="24"/>
        </w:rPr>
        <w:t xml:space="preserve">A multi-factor ANOVA was also used to test the effect of block and treatment on mortality while using the relative stand presence of </w:t>
      </w:r>
      <w:r>
        <w:rPr>
          <w:bCs/>
          <w:i/>
          <w:sz w:val="24"/>
          <w:szCs w:val="24"/>
        </w:rPr>
        <w:t xml:space="preserve">C. </w:t>
      </w:r>
      <w:r>
        <w:rPr>
          <w:bCs/>
          <w:i/>
          <w:sz w:val="24"/>
          <w:szCs w:val="24"/>
        </w:rPr>
        <w:t>sulfrascens.</w:t>
      </w:r>
      <w:r>
        <w:rPr>
          <w:bCs/>
          <w:i w:val="false"/>
          <w:iCs w:val="false"/>
          <w:sz w:val="24"/>
          <w:szCs w:val="24"/>
        </w:rPr>
        <w:t xml:space="preserve"> </w:t>
      </w:r>
      <w:r>
        <w:rPr>
          <w:bCs/>
          <w:i w:val="false"/>
          <w:iCs/>
          <w:sz w:val="24"/>
          <w:szCs w:val="24"/>
        </w:rPr>
        <w:t>T</w:t>
      </w:r>
      <w:r>
        <w:rPr>
          <w:bCs/>
          <w:i w:val="false"/>
          <w:iCs/>
          <w:sz w:val="24"/>
          <w:szCs w:val="24"/>
        </w:rPr>
        <w:t>wo-factor analys</w:t>
      </w:r>
      <w:r>
        <w:rPr>
          <w:bCs/>
          <w:i w:val="false"/>
          <w:iCs/>
          <w:sz w:val="24"/>
          <w:szCs w:val="24"/>
        </w:rPr>
        <w:t>e</w:t>
      </w:r>
      <w:r>
        <w:rPr>
          <w:bCs/>
          <w:i w:val="false"/>
          <w:iCs/>
          <w:sz w:val="24"/>
          <w:szCs w:val="24"/>
        </w:rPr>
        <w:t>s of variance (ANOVA</w:t>
      </w:r>
      <w:r>
        <w:rPr>
          <w:bCs/>
          <w:i w:val="false"/>
          <w:iCs/>
          <w:sz w:val="24"/>
          <w:szCs w:val="24"/>
        </w:rPr>
        <w:t>s</w:t>
      </w:r>
      <w:r>
        <w:rPr>
          <w:bCs/>
          <w:i w:val="false"/>
          <w:iCs/>
          <w:sz w:val="24"/>
          <w:szCs w:val="24"/>
        </w:rPr>
        <w:t>) w</w:t>
      </w:r>
      <w:r>
        <w:rPr>
          <w:bCs/>
          <w:i w:val="false"/>
          <w:iCs/>
          <w:sz w:val="24"/>
          <w:szCs w:val="24"/>
        </w:rPr>
        <w:t>ere</w:t>
      </w:r>
      <w:r>
        <w:rPr>
          <w:bCs/>
          <w:i w:val="false"/>
          <w:iCs/>
          <w:sz w:val="24"/>
          <w:szCs w:val="24"/>
        </w:rPr>
        <w:t xml:space="preserve"> conducted to test the main effects of block and treatment on </w:t>
      </w:r>
      <w:r>
        <w:rPr>
          <w:bCs/>
          <w:i w:val="false"/>
          <w:iCs/>
          <w:sz w:val="24"/>
          <w:szCs w:val="24"/>
        </w:rPr>
        <w:t>initial and final basal area and annual basal area i</w:t>
      </w:r>
      <w:r>
        <w:rPr>
          <w:bCs/>
          <w:i w:val="false"/>
          <w:iCs/>
          <w:sz w:val="24"/>
          <w:szCs w:val="24"/>
        </w:rPr>
        <w:t>n</w:t>
      </w:r>
      <w:r>
        <w:rPr>
          <w:bCs/>
          <w:i w:val="false"/>
          <w:iCs/>
          <w:sz w:val="24"/>
          <w:szCs w:val="24"/>
        </w:rPr>
        <w:t>crement</w:t>
      </w:r>
      <w:r>
        <w:rPr>
          <w:bCs/>
          <w:iCs/>
          <w:sz w:val="24"/>
          <w:szCs w:val="24"/>
        </w:rPr>
        <w:t>.</w:t>
      </w:r>
    </w:p>
    <w:p>
      <w:pPr>
        <w:pStyle w:val="Normal"/>
        <w:tabs>
          <w:tab w:val="clear" w:pos="720"/>
          <w:tab w:val="left" w:pos="6390" w:leader="none"/>
        </w:tabs>
        <w:spacing w:lineRule="auto" w:line="480"/>
        <w:ind w:firstLine="720"/>
        <w:rPr>
          <w:bCs/>
          <w:iCs/>
          <w:sz w:val="24"/>
          <w:szCs w:val="24"/>
        </w:rPr>
      </w:pPr>
      <w:r>
        <w:rPr>
          <w:bCs/>
          <w:iCs/>
          <w:sz w:val="24"/>
          <w:szCs w:val="24"/>
        </w:rPr>
        <w:t xml:space="preserve">All statistical analysis and data visualization was conducted in R (version 4.1.1) using the </w:t>
      </w:r>
      <w:r>
        <w:rPr>
          <w:bCs/>
          <w:iCs/>
          <w:sz w:val="24"/>
          <w:szCs w:val="24"/>
          <w:highlight w:val="white"/>
        </w:rPr>
        <w:t>packages</w:t>
      </w:r>
      <w:r>
        <w:rPr>
          <w:bCs/>
          <w:iCs/>
          <w:sz w:val="24"/>
          <w:szCs w:val="24"/>
        </w:rPr>
        <w:t xml:space="preserve"> stats (R Core Team 2021), tidyverse (Wickham, 2017), and ggplot2 (</w:t>
      </w:r>
      <w:r>
        <w:rPr>
          <w:bCs/>
          <w:iCs/>
          <w:color w:val="000000"/>
          <w:sz w:val="24"/>
          <w:szCs w:val="24"/>
          <w:shd w:fill="FFFFFF" w:val="clear"/>
        </w:rPr>
        <w:t>Wickham, 2009).</w:t>
      </w:r>
      <w:r>
        <w:rPr>
          <w:bCs/>
          <w:iCs/>
          <w:color w:val="000000"/>
          <w:sz w:val="24"/>
          <w:szCs w:val="24"/>
          <w:highlight w:val="white"/>
          <w:shd w:fill="FFFFFF" w:val="clear"/>
        </w:rPr>
        <w:t xml:space="preserve"> </w:t>
      </w:r>
      <w:bookmarkStart w:id="11" w:name="move117760322"/>
      <w:r>
        <w:rPr>
          <w:bCs/>
          <w:iCs/>
          <w:color w:val="000000"/>
          <w:sz w:val="24"/>
          <w:szCs w:val="24"/>
          <w:highlight w:val="white"/>
          <w:shd w:fill="FFFFFF" w:val="clear"/>
        </w:rPr>
        <w:t xml:space="preserve">The significance was assessed at </w:t>
      </w:r>
      <w:r>
        <w:rPr>
          <w:bCs/>
          <w:iCs/>
          <w:color w:val="000000"/>
          <w:sz w:val="24"/>
          <w:szCs w:val="24"/>
          <w:shd w:fill="FFFFFF" w:val="clear"/>
        </w:rPr>
        <w:t>α = 0.05.</w:t>
      </w:r>
      <w:bookmarkEnd w:id="11"/>
      <w:r>
        <w:rPr>
          <w:bCs/>
          <w:iCs/>
          <w:color w:val="000000"/>
          <w:sz w:val="24"/>
          <w:szCs w:val="24"/>
          <w:shd w:fill="FFFFFF" w:val="clear"/>
        </w:rPr>
        <w:t xml:space="preserve"> Assumptions of normality and homoscedasticity were assessed using diagnostic plots of residuals and fitted values </w:t>
      </w:r>
      <w:r>
        <w:rPr>
          <w:bCs/>
          <w:iCs/>
          <w:color w:val="000000"/>
          <w:sz w:val="24"/>
          <w:szCs w:val="24"/>
          <w:shd w:fill="FFFFFF" w:val="clear"/>
        </w:rPr>
        <w:t xml:space="preserve">and using Q-Q normality plots </w:t>
      </w:r>
      <w:ins w:id="721" w:author="Shawn McMurtrey" w:date="2022-11-15T22:02:00Z">
        <w:r>
          <w:rPr>
            <w:bCs/>
            <w:iCs/>
            <w:color w:val="000000"/>
            <w:sz w:val="24"/>
            <w:szCs w:val="24"/>
            <w:shd w:fill="FFFFFF" w:val="clear"/>
          </w:rPr>
          <w:t>(</w:t>
        </w:r>
      </w:ins>
      <w:ins w:id="722" w:author="Shawn McMurtrey" w:date="2022-11-15T22:03:00Z">
        <w:r>
          <w:rPr>
            <w:bCs/>
            <w:iCs/>
            <w:color w:val="000000"/>
            <w:sz w:val="24"/>
            <w:szCs w:val="24"/>
            <w:shd w:fill="FFFFFF" w:val="clear"/>
          </w:rPr>
          <w:t xml:space="preserve">Schützenmeister et al. 2012, </w:t>
        </w:r>
      </w:ins>
      <w:ins w:id="723" w:author="Shawn McMurtrey" w:date="2022-11-15T22:02:00Z">
        <w:r>
          <w:rPr>
            <w:bCs/>
            <w:iCs/>
            <w:color w:val="000000"/>
            <w:sz w:val="24"/>
            <w:szCs w:val="24"/>
            <w:shd w:fill="FFFFFF" w:val="clear"/>
          </w:rPr>
          <w:t>Atkinson</w:t>
        </w:r>
      </w:ins>
      <w:ins w:id="724" w:author="Shawn McMurtrey" w:date="2022-11-15T22:03:00Z">
        <w:r>
          <w:rPr>
            <w:bCs/>
            <w:iCs/>
            <w:color w:val="000000"/>
            <w:sz w:val="24"/>
            <w:szCs w:val="24"/>
            <w:shd w:fill="FFFFFF" w:val="clear"/>
          </w:rPr>
          <w:t xml:space="preserve"> 1981, Atkinson 1985)</w:t>
        </w:r>
      </w:ins>
      <w:r>
        <w:rPr>
          <w:bCs/>
          <w:iCs/>
          <w:color w:val="000000"/>
          <w:sz w:val="24"/>
          <w:szCs w:val="24"/>
          <w:shd w:fill="FFFFFF" w:val="clear"/>
        </w:rPr>
        <w:t xml:space="preserve"> </w:t>
      </w:r>
      <w:r>
        <w:rPr>
          <w:bCs/>
          <w:iCs/>
          <w:color w:val="000000"/>
          <w:sz w:val="24"/>
          <w:szCs w:val="24"/>
          <w:shd w:fill="FFFFFF" w:val="clear"/>
        </w:rPr>
        <w:t>as sample sizes were too small for formal tests of these assumptions</w:t>
      </w:r>
      <w:ins w:id="725" w:author="Shawn McMurtrey" w:date="2022-11-15T22:03:00Z">
        <w:r>
          <w:rPr>
            <w:bCs/>
            <w:iCs/>
            <w:color w:val="000000"/>
            <w:sz w:val="24"/>
            <w:szCs w:val="24"/>
            <w:shd w:fill="FFFFFF" w:val="clear"/>
          </w:rPr>
          <w:t>.</w:t>
        </w:r>
      </w:ins>
      <w:del w:id="726" w:author="Shawn McMurtrey" w:date="2022-11-15T22:02:00Z">
        <w:r>
          <w:rPr>
            <w:bCs/>
            <w:iCs/>
            <w:color w:val="000000"/>
            <w:sz w:val="24"/>
            <w:szCs w:val="24"/>
            <w:shd w:fill="FFFFFF" w:val="clear"/>
          </w:rPr>
          <w:delText xml:space="preserve"> and using Q-Q plots.</w:delText>
        </w:r>
      </w:del>
    </w:p>
    <w:p>
      <w:pPr>
        <w:pStyle w:val="Normal"/>
        <w:tabs>
          <w:tab w:val="clear" w:pos="720"/>
          <w:tab w:val="left" w:pos="6390" w:leader="none"/>
        </w:tabs>
        <w:spacing w:lineRule="auto" w:line="480"/>
        <w:ind w:firstLine="720"/>
        <w:rPr>
          <w:color w:val="000000"/>
          <w:highlight w:val="white"/>
          <w:shd w:fill="FFFFFF" w:val="clear"/>
          <w:del w:id="731" w:author="LeBoldus, Jared" w:date="2022-10-27T10:52:00Z"/>
        </w:rPr>
      </w:pPr>
      <w:del w:id="727" w:author="LeBoldus, Jared" w:date="2022-10-27T10:52:00Z">
        <w:r>
          <w:rPr>
            <w:b/>
            <w:color w:val="000000"/>
            <w:sz w:val="24"/>
            <w:szCs w:val="24"/>
            <w:highlight w:val="white"/>
            <w:shd w:fill="FFFFFF" w:val="clear"/>
          </w:rPr>
          <w:delText>Data cleaning and visualization were performed in R using</w:delText>
        </w:r>
      </w:del>
      <w:del w:id="728" w:author="LeBoldus, Jared" w:date="2022-10-27T10:50:00Z">
        <w:r>
          <w:rPr>
            <w:b/>
            <w:color w:val="000000"/>
            <w:sz w:val="24"/>
            <w:szCs w:val="24"/>
            <w:highlight w:val="white"/>
            <w:shd w:fill="FFFFFF" w:val="clear"/>
          </w:rPr>
          <w:delText xml:space="preserve"> packages tidyverse (Wickham, 2017) and ggplot2 (Wickham, 2009)</w:delText>
        </w:r>
      </w:del>
      <w:del w:id="729" w:author="LeBoldus, Jared" w:date="2022-10-27T10:52:00Z">
        <w:r>
          <w:rPr>
            <w:b/>
            <w:color w:val="000000"/>
            <w:sz w:val="24"/>
            <w:szCs w:val="24"/>
            <w:highlight w:val="white"/>
            <w:shd w:fill="FFFFFF" w:val="clear"/>
          </w:rPr>
          <w:delText xml:space="preserve">. ANOVA tests were performed in R using the stats package. </w:delText>
        </w:r>
      </w:del>
      <w:del w:id="730" w:author="LeBoldus, Jared" w:date="2022-10-27T10:51:00Z">
        <w:r>
          <w:rPr>
            <w:b/>
            <w:color w:val="000000"/>
            <w:sz w:val="24"/>
            <w:szCs w:val="24"/>
            <w:highlight w:val="white"/>
            <w:shd w:fill="FFFFFF" w:val="clear"/>
          </w:rPr>
          <w:delText>The threshold for significance was set at α = 0.05.</w:delText>
        </w:r>
      </w:del>
    </w:p>
    <w:p>
      <w:pPr>
        <w:pStyle w:val="Normal"/>
        <w:tabs>
          <w:tab w:val="clear" w:pos="720"/>
          <w:tab w:val="left" w:pos="6390" w:leader="none"/>
        </w:tabs>
        <w:spacing w:lineRule="auto" w:line="480"/>
        <w:ind w:firstLine="720"/>
        <w:rPr>
          <w:color w:val="000000"/>
          <w:highlight w:val="white"/>
          <w:shd w:fill="FFFFFF" w:val="clear"/>
        </w:rPr>
      </w:pPr>
      <w:r>
        <w:rPr>
          <w:color w:val="000000"/>
          <w:highlight w:val="white"/>
          <w:shd w:fill="FFFFFF" w:val="clear"/>
        </w:rPr>
      </w:r>
    </w:p>
    <w:p>
      <w:pPr>
        <w:pStyle w:val="Normal"/>
        <w:spacing w:lineRule="auto" w:line="480"/>
        <w:rPr>
          <w:b/>
          <w:b/>
          <w:bCs/>
        </w:rPr>
      </w:pPr>
      <w:r>
        <w:rPr>
          <w:b/>
          <w:bCs/>
          <w:sz w:val="24"/>
          <w:szCs w:val="24"/>
        </w:rPr>
        <w:t>2</w:t>
      </w:r>
      <w:r>
        <w:rPr>
          <w:b/>
          <w:bCs/>
          <w:iCs/>
          <w:sz w:val="24"/>
          <w:szCs w:val="24"/>
        </w:rPr>
        <w:t xml:space="preserve">.1.6 Forest </w:t>
      </w:r>
      <w:ins w:id="732" w:author="Shawn McMurtrey" w:date="2022-11-15T21:18:00Z">
        <w:r>
          <w:rPr>
            <w:b/>
            <w:bCs/>
            <w:iCs/>
            <w:sz w:val="24"/>
            <w:szCs w:val="24"/>
          </w:rPr>
          <w:t>v</w:t>
        </w:r>
      </w:ins>
      <w:del w:id="733" w:author="Shawn McMurtrey" w:date="2022-11-15T21:18:00Z">
        <w:r>
          <w:rPr>
            <w:b/>
            <w:bCs/>
            <w:iCs/>
            <w:sz w:val="24"/>
            <w:szCs w:val="24"/>
          </w:rPr>
          <w:delText>V</w:delText>
        </w:r>
      </w:del>
      <w:r>
        <w:rPr>
          <w:b/>
          <w:bCs/>
          <w:iCs/>
          <w:sz w:val="24"/>
          <w:szCs w:val="24"/>
        </w:rPr>
        <w:t xml:space="preserve">egetation </w:t>
      </w:r>
      <w:ins w:id="734" w:author="Shawn McMurtrey" w:date="2022-11-15T21:18:00Z">
        <w:r>
          <w:rPr>
            <w:b/>
            <w:bCs/>
            <w:iCs/>
            <w:sz w:val="24"/>
            <w:szCs w:val="24"/>
          </w:rPr>
          <w:t>s</w:t>
        </w:r>
      </w:ins>
      <w:del w:id="735" w:author="Shawn McMurtrey" w:date="2022-11-15T21:18:00Z">
        <w:r>
          <w:rPr>
            <w:b/>
            <w:bCs/>
            <w:iCs/>
            <w:sz w:val="24"/>
            <w:szCs w:val="24"/>
          </w:rPr>
          <w:delText>S</w:delText>
        </w:r>
      </w:del>
      <w:r>
        <w:rPr>
          <w:b/>
          <w:bCs/>
          <w:iCs/>
          <w:sz w:val="24"/>
          <w:szCs w:val="24"/>
        </w:rPr>
        <w:t>imulator</w:t>
      </w:r>
    </w:p>
    <w:p>
      <w:pPr>
        <w:pStyle w:val="Normal"/>
        <w:spacing w:lineRule="auto" w:line="480"/>
        <w:ind w:firstLine="720"/>
        <w:rPr>
          <w:bCs/>
          <w:iCs/>
          <w:sz w:val="24"/>
          <w:szCs w:val="24"/>
          <w:del w:id="759" w:author="Shawn McMurtrey" w:date="2022-11-10T11:52:00Z"/>
        </w:rPr>
      </w:pPr>
      <w:r>
        <w:rPr>
          <w:bCs/>
          <w:iCs/>
          <w:sz w:val="24"/>
          <w:szCs w:val="24"/>
        </w:rPr>
        <w:t>For the FVS analysis, two comparisons were made; the first comparison involved the observed data</w:t>
      </w:r>
      <w:ins w:id="736" w:author="Shawn McMurtrey" w:date="2022-11-10T11:35:00Z">
        <w:r>
          <w:rPr>
            <w:bCs/>
            <w:iCs/>
            <w:sz w:val="24"/>
            <w:szCs w:val="24"/>
          </w:rPr>
          <w:t xml:space="preserve"> from 1990,</w:t>
        </w:r>
      </w:ins>
      <w:r>
        <w:rPr>
          <w:bCs/>
          <w:iCs/>
          <w:sz w:val="24"/>
          <w:szCs w:val="24"/>
        </w:rPr>
        <w:t xml:space="preserve"> compared to a default run in FVS. The second comparison included a comparison of the observed data </w:t>
      </w:r>
      <w:ins w:id="737" w:author="Shawn McMurtrey" w:date="2022-11-10T11:36:00Z">
        <w:r>
          <w:rPr>
            <w:bCs/>
            <w:iCs/>
            <w:sz w:val="24"/>
            <w:szCs w:val="24"/>
          </w:rPr>
          <w:t xml:space="preserve">from 1990, </w:t>
        </w:r>
      </w:ins>
      <w:r>
        <w:rPr>
          <w:bCs/>
          <w:iCs/>
          <w:sz w:val="24"/>
          <w:szCs w:val="24"/>
        </w:rPr>
        <w:t>with the WRDM extension using default parameters.</w:t>
      </w:r>
      <w:ins w:id="738" w:author="Sarah Hoffman" w:date="2022-11-05T23:04:00Z">
        <w:r>
          <w:rPr>
            <w:bCs/>
            <w:iCs/>
            <w:sz w:val="24"/>
            <w:szCs w:val="24"/>
          </w:rPr>
          <w:t xml:space="preserve"> </w:t>
        </w:r>
      </w:ins>
      <w:r>
        <w:rPr>
          <w:bCs/>
          <w:iCs/>
          <w:sz w:val="24"/>
          <w:szCs w:val="24"/>
        </w:rPr>
        <w:t>Individual stand files</w:t>
      </w:r>
      <w:ins w:id="739" w:author="Sarah Hoffman" w:date="2022-11-05T23:04:00Z">
        <w:r>
          <w:rPr>
            <w:bCs/>
            <w:iCs/>
            <w:sz w:val="24"/>
            <w:szCs w:val="24"/>
          </w:rPr>
          <w:t xml:space="preserve"> </w:t>
        </w:r>
      </w:ins>
      <w:del w:id="740" w:author="Shawn McMurtrey" w:date="2022-11-10T11:31:00Z">
        <w:r>
          <w:rPr>
            <w:bCs/>
            <w:iCs/>
            <w:sz w:val="24"/>
            <w:szCs w:val="24"/>
          </w:rPr>
          <w:delText xml:space="preserve">(five for unthinned stands, five for lightly thinned stands, and five for controls stands) </w:delText>
        </w:r>
      </w:del>
      <w:r>
        <w:rPr>
          <w:bCs/>
          <w:iCs/>
          <w:sz w:val="24"/>
          <w:szCs w:val="24"/>
        </w:rPr>
        <w:t>were each run within FVS v. 3261, RV: 2020.10.10, through the graphical user interface.</w:t>
      </w:r>
      <w:ins w:id="741" w:author="Shawn McMurtrey" w:date="2022-11-10T11:31:00Z">
        <w:r>
          <w:rPr>
            <w:bCs/>
            <w:iCs/>
            <w:sz w:val="24"/>
            <w:szCs w:val="24"/>
          </w:rPr>
          <w:t xml:space="preserve"> The stand files included </w:t>
        </w:r>
      </w:ins>
      <w:ins w:id="742" w:author="Shawn McMurtrey" w:date="2022-11-10T11:32:00Z">
        <w:r>
          <w:rPr>
            <w:bCs/>
            <w:iCs/>
            <w:sz w:val="24"/>
            <w:szCs w:val="24"/>
          </w:rPr>
          <w:t>five for the unthinned stands, five for lightly thinned stands, and five control stands. The individual tree data for the fiv</w:t>
        </w:r>
      </w:ins>
      <w:ins w:id="743" w:author="Shawn McMurtrey" w:date="2022-11-10T11:33:00Z">
        <w:r>
          <w:rPr>
            <w:bCs/>
            <w:iCs/>
            <w:sz w:val="24"/>
            <w:szCs w:val="24"/>
          </w:rPr>
          <w:t>e subplots for each stand were included in each of the 15 stand files.</w:t>
        </w:r>
      </w:ins>
      <w:r>
        <w:rPr>
          <w:bCs/>
          <w:iCs/>
          <w:sz w:val="24"/>
          <w:szCs w:val="24"/>
        </w:rPr>
        <w:t xml:space="preserve"> The variant used for all modelled runs was the Pacific Northwest Coast (PN) variant. Cleaned excel files were formatted to work with FVS. Underlying data errors were initially checked in FVS using the “stand summary data'' option.</w:t>
      </w:r>
      <w:del w:id="744" w:author="Shawn McMurtrey" w:date="2022-11-10T11:36:00Z">
        <w:r>
          <w:rPr>
            <w:bCs/>
            <w:iCs/>
            <w:sz w:val="24"/>
            <w:szCs w:val="24"/>
          </w:rPr>
          <w:delText xml:space="preserve"> </w:delText>
          <w:br/>
          <w:tab/>
          <w:delText xml:space="preserve">The data runs used the data collected from 1990, which included individual tree level, plot level, and stand level data. </w:delText>
        </w:r>
      </w:del>
      <w:ins w:id="745" w:author="Shawn McMurtrey" w:date="2022-11-10T11:38:00Z">
        <w:r>
          <w:rPr>
            <w:bCs/>
            <w:iCs/>
            <w:sz w:val="24"/>
            <w:szCs w:val="24"/>
          </w:rPr>
          <w:t xml:space="preserve">The comparison of the modelled data with the collected data was conducted using the </w:t>
        </w:r>
      </w:ins>
      <w:ins w:id="746" w:author="Shawn McMurtrey" w:date="2022-11-10T11:39:00Z">
        <w:r>
          <w:rPr>
            <w:bCs/>
            <w:iCs/>
            <w:sz w:val="24"/>
            <w:szCs w:val="24"/>
          </w:rPr>
          <w:t xml:space="preserve">stand mean for the </w:t>
        </w:r>
      </w:ins>
      <w:ins w:id="747" w:author="Shawn McMurtrey" w:date="2022-11-10T11:42:00Z">
        <w:r>
          <w:rPr>
            <w:bCs/>
            <w:iCs/>
            <w:sz w:val="24"/>
            <w:szCs w:val="24"/>
          </w:rPr>
          <w:t xml:space="preserve">five </w:t>
        </w:r>
      </w:ins>
      <w:ins w:id="748" w:author="Shawn McMurtrey" w:date="2022-11-10T11:40:00Z">
        <w:r>
          <w:rPr>
            <w:bCs/>
            <w:iCs/>
            <w:sz w:val="24"/>
            <w:szCs w:val="24"/>
          </w:rPr>
          <w:t>control</w:t>
        </w:r>
      </w:ins>
      <w:ins w:id="749" w:author="Shawn McMurtrey" w:date="2022-11-10T11:42:00Z">
        <w:r>
          <w:rPr>
            <w:bCs/>
            <w:iCs/>
            <w:sz w:val="24"/>
            <w:szCs w:val="24"/>
          </w:rPr>
          <w:t xml:space="preserve"> stands,</w:t>
        </w:r>
      </w:ins>
      <w:ins w:id="750" w:author="Shawn McMurtrey" w:date="2022-11-10T11:40:00Z">
        <w:r>
          <w:rPr>
            <w:bCs/>
            <w:iCs/>
            <w:sz w:val="24"/>
            <w:szCs w:val="24"/>
          </w:rPr>
          <w:t xml:space="preserve"> </w:t>
        </w:r>
      </w:ins>
      <w:ins w:id="751" w:author="Shawn McMurtrey" w:date="2022-11-10T11:42:00Z">
        <w:r>
          <w:rPr>
            <w:bCs/>
            <w:iCs/>
            <w:sz w:val="24"/>
            <w:szCs w:val="24"/>
          </w:rPr>
          <w:t>five lightly thinned stands, and five thinned stands.</w:t>
        </w:r>
      </w:ins>
      <w:del w:id="752" w:author="Shawn McMurtrey" w:date="2022-11-10T11:40:00Z">
        <w:r>
          <w:rPr>
            <w:bCs/>
            <w:iCs/>
            <w:sz w:val="24"/>
            <w:szCs w:val="24"/>
          </w:rPr>
          <w:delText xml:space="preserve">This data was run with default parameters from 1990-2020 and summarized at the stand level. </w:delText>
        </w:r>
      </w:del>
      <w:r>
        <w:rPr>
          <w:bCs/>
          <w:iCs/>
          <w:sz w:val="24"/>
          <w:szCs w:val="24"/>
        </w:rPr>
        <w:t xml:space="preserve">For the observed data the standard basal area calculation was used to calculate basal area. </w:t>
      </w:r>
      <w:del w:id="753" w:author="Shawn McMurtrey" w:date="2022-11-10T11:41:00Z">
        <w:r>
          <w:rPr>
            <w:bCs/>
            <w:iCs/>
            <w:sz w:val="24"/>
            <w:szCs w:val="24"/>
          </w:rPr>
          <w:delText xml:space="preserve">For the WRDM, sensitivity analysis was initially conducted on proportion of root system affected, disease area, proportion of diseased trees, and random seed to determine the degree to which parameters contribute to different outcomes of model. Guidance from previous investigators were also used to determine parameters (Maffei </w:delText>
        </w:r>
      </w:del>
      <w:r>
        <w:rPr>
          <w:bCs/>
          <w:iCs/>
          <w:sz w:val="24"/>
          <w:szCs w:val="24"/>
        </w:rPr>
        <w:t>et al.</w:t>
      </w:r>
      <w:del w:id="754" w:author="Shawn McMurtrey" w:date="2022-11-10T11:41:00Z">
        <w:r>
          <w:rPr>
            <w:bCs/>
            <w:iCs/>
            <w:sz w:val="24"/>
            <w:szCs w:val="24"/>
          </w:rPr>
          <w:delText>2008; Goheen and Thompson, 1998; Marsden, 1992a; Smith and Zhang ,1997)</w:delText>
        </w:r>
      </w:del>
      <w:r>
        <w:rPr>
          <w:bCs/>
          <w:iCs/>
          <w:sz w:val="24"/>
          <w:szCs w:val="24"/>
        </w:rPr>
        <w:t>.</w:t>
      </w:r>
      <w:ins w:id="755" w:author="Shawn McMurtrey" w:date="2022-11-10T11:40:00Z">
        <w:r>
          <w:rPr>
            <w:bCs/>
            <w:iCs/>
            <w:sz w:val="24"/>
            <w:szCs w:val="24"/>
          </w:rPr>
          <w:t xml:space="preserve"> </w:t>
        </w:r>
      </w:ins>
      <w:ins w:id="756" w:author="Sarah Hoffman" w:date="2022-11-05T22:15:00Z">
        <w:r>
          <w:rPr>
            <w:bCs/>
            <w:iCs/>
            <w:sz w:val="24"/>
            <w:szCs w:val="24"/>
          </w:rPr>
          <w:t>O</w:t>
        </w:r>
      </w:ins>
      <w:ins w:id="757" w:author="Sarah Hoffman" w:date="2022-11-05T22:14:00Z">
        <w:r>
          <w:rPr>
            <w:bCs/>
            <w:iCs/>
            <w:sz w:val="24"/>
            <w:szCs w:val="24"/>
          </w:rPr>
          <w:t>ver 30 separate runs were made using FVS and WRDM for the final analysis. All input data files, output data files, and log files can be found at https://github.com/mcmurtrs/WoodsCreekFVS</w:t>
        </w:r>
      </w:ins>
      <w:del w:id="758" w:author="Shawn McMurtrey" w:date="2022-11-10T11:52:00Z">
        <w:r>
          <w:rPr>
            <w:bCs/>
            <w:iCs/>
            <w:sz w:val="24"/>
            <w:szCs w:val="24"/>
          </w:rPr>
          <w:delText>.</w:delText>
        </w:r>
      </w:del>
    </w:p>
    <w:p>
      <w:pPr>
        <w:pStyle w:val="Normal"/>
        <w:spacing w:lineRule="auto" w:line="480"/>
        <w:ind w:firstLine="720"/>
        <w:rPr>
          <w:bCs/>
          <w:iCs/>
          <w:sz w:val="24"/>
          <w:szCs w:val="24"/>
        </w:rPr>
      </w:pPr>
      <w:r>
        <w:rPr/>
      </w:r>
    </w:p>
    <w:p>
      <w:pPr>
        <w:pStyle w:val="Normal"/>
        <w:spacing w:lineRule="auto" w:line="480"/>
        <w:ind w:firstLine="720"/>
        <w:rPr/>
      </w:pPr>
      <w:ins w:id="760" w:author="Shawn McMurtrey" w:date="2022-11-10T11:44:00Z">
        <w:r>
          <w:rPr>
            <w:iCs/>
            <w:sz w:val="24"/>
            <w:szCs w:val="24"/>
            <w:highlight w:val="white"/>
          </w:rPr>
          <w:t>For reproducibility purposes, the following</w:t>
        </w:r>
      </w:ins>
      <w:ins w:id="761" w:author="Shawn McMurtrey" w:date="2022-11-10T11:47:00Z">
        <w:r>
          <w:rPr>
            <w:iCs/>
            <w:sz w:val="24"/>
            <w:szCs w:val="24"/>
            <w:highlight w:val="white"/>
          </w:rPr>
          <w:t xml:space="preserve"> </w:t>
        </w:r>
      </w:ins>
      <w:ins w:id="762" w:author="Shawn McMurtrey" w:date="2022-11-10T11:46:00Z">
        <w:r>
          <w:rPr>
            <w:iCs/>
            <w:sz w:val="24"/>
            <w:szCs w:val="24"/>
            <w:highlight w:val="white"/>
          </w:rPr>
          <w:t xml:space="preserve">parameters were </w:t>
        </w:r>
      </w:ins>
      <w:ins w:id="763" w:author="Shawn McMurtrey" w:date="2022-11-10T11:47:00Z">
        <w:r>
          <w:rPr>
            <w:iCs/>
            <w:sz w:val="24"/>
            <w:szCs w:val="24"/>
            <w:highlight w:val="white"/>
          </w:rPr>
          <w:t>used</w:t>
        </w:r>
      </w:ins>
      <w:ins w:id="764" w:author="Shawn McMurtrey" w:date="2022-11-10T11:46:00Z">
        <w:r>
          <w:rPr>
            <w:iCs/>
            <w:sz w:val="24"/>
            <w:szCs w:val="24"/>
            <w:highlight w:val="white"/>
          </w:rPr>
          <w:t xml:space="preserve"> </w:t>
        </w:r>
      </w:ins>
      <w:ins w:id="765" w:author="Shawn McMurtrey" w:date="2022-11-10T11:47:00Z">
        <w:r>
          <w:rPr>
            <w:iCs/>
            <w:sz w:val="24"/>
            <w:szCs w:val="24"/>
            <w:highlight w:val="white"/>
          </w:rPr>
          <w:t>with</w:t>
        </w:r>
      </w:ins>
      <w:ins w:id="766" w:author="Shawn McMurtrey" w:date="2022-11-10T11:46:00Z">
        <w:r>
          <w:rPr>
            <w:iCs/>
            <w:sz w:val="24"/>
            <w:szCs w:val="24"/>
            <w:highlight w:val="white"/>
          </w:rPr>
          <w:t xml:space="preserve">in the WRDM </w:t>
        </w:r>
      </w:ins>
      <w:ins w:id="767" w:author="Shawn McMurtrey" w:date="2022-11-10T11:45:00Z">
        <w:r>
          <w:rPr>
            <w:iCs/>
            <w:sz w:val="24"/>
            <w:szCs w:val="24"/>
            <w:highlight w:val="white"/>
          </w:rPr>
          <w:t>to represent the</w:t>
        </w:r>
      </w:ins>
      <w:ins w:id="768" w:author="Shawn McMurtrey" w:date="2022-11-10T11:46:00Z">
        <w:r>
          <w:rPr>
            <w:iCs/>
            <w:sz w:val="24"/>
            <w:szCs w:val="24"/>
            <w:highlight w:val="white"/>
          </w:rPr>
          <w:t xml:space="preserve"> Woods Creek</w:t>
        </w:r>
      </w:ins>
      <w:ins w:id="769" w:author="Shawn McMurtrey" w:date="2022-11-10T11:45:00Z">
        <w:r>
          <w:rPr>
            <w:iCs/>
            <w:sz w:val="24"/>
            <w:szCs w:val="24"/>
            <w:highlight w:val="white"/>
          </w:rPr>
          <w:t xml:space="preserve"> data</w:t>
        </w:r>
      </w:ins>
      <w:ins w:id="770" w:author="Shawn McMurtrey" w:date="2022-11-10T11:46:00Z">
        <w:r>
          <w:rPr>
            <w:iCs/>
            <w:sz w:val="24"/>
            <w:szCs w:val="24"/>
            <w:highlight w:val="white"/>
          </w:rPr>
          <w:t>.</w:t>
        </w:r>
      </w:ins>
      <w:ins w:id="771" w:author="Shawn McMurtrey" w:date="2022-11-10T11:45:00Z">
        <w:r>
          <w:rPr>
            <w:iCs/>
            <w:sz w:val="24"/>
            <w:szCs w:val="24"/>
            <w:highlight w:val="white"/>
          </w:rPr>
          <w:t xml:space="preserve"> </w:t>
        </w:r>
      </w:ins>
      <w:del w:id="772" w:author="Shawn McMurtrey" w:date="2022-11-10T11:45:00Z">
        <w:r>
          <w:rPr>
            <w:iCs/>
            <w:sz w:val="24"/>
            <w:szCs w:val="24"/>
            <w:highlight w:val="white"/>
          </w:rPr>
          <w:delText>For the WRDM</w:delText>
        </w:r>
      </w:del>
      <w:r>
        <w:rPr>
          <w:iCs/>
          <w:sz w:val="24"/>
          <w:szCs w:val="24"/>
          <w:highlight w:val="white"/>
        </w:rPr>
        <w:t xml:space="preserve">,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w:t>
      </w:r>
      <w:r>
        <w:rPr>
          <w:sz w:val="24"/>
          <w:szCs w:val="24"/>
          <w:highlight w:val="white"/>
        </w:rPr>
        <w:t xml:space="preserve">total root disease areas. Number of root disease centers was set to the default value of 20. </w:t>
      </w:r>
      <w:ins w:id="773" w:author="Shawn McMurtrey" w:date="2022-11-10T11:49:00Z">
        <w:r>
          <w:rPr>
            <w:sz w:val="24"/>
            <w:szCs w:val="24"/>
            <w:highlight w:val="white"/>
          </w:rPr>
          <w:t> The keyword RRINIT with 20 disease centers was instead of RRTREIN with damage codes because t</w:t>
        </w:r>
      </w:ins>
      <w:ins w:id="774" w:author="Shawn McMurtrey" w:date="2022-11-10T11:50:00Z">
        <w:r>
          <w:rPr>
            <w:sz w:val="24"/>
            <w:szCs w:val="24"/>
            <w:highlight w:val="white"/>
          </w:rPr>
          <w:t xml:space="preserve">here was not stem maps or geographical information for the trees </w:t>
        </w:r>
      </w:ins>
      <w:ins w:id="775" w:author="Shawn McMurtrey" w:date="2022-11-10T11:51:00Z">
        <w:r>
          <w:rPr>
            <w:sz w:val="24"/>
            <w:szCs w:val="24"/>
            <w:highlight w:val="white"/>
          </w:rPr>
          <w:t>within</w:t>
        </w:r>
      </w:ins>
      <w:ins w:id="776" w:author="Shawn McMurtrey" w:date="2022-11-10T11:50:00Z">
        <w:r>
          <w:rPr>
            <w:sz w:val="24"/>
            <w:szCs w:val="24"/>
            <w:highlight w:val="white"/>
          </w:rPr>
          <w:t xml:space="preserve"> the plots.  As a result, we were unable to know which trees to code as "1" within RRINIT (for trees located within " 30 feet [9.1 m] of a tree with a deteriorating crown or killed by root disease")</w:t>
        </w:r>
      </w:ins>
      <w:ins w:id="777" w:author="Shawn McMurtrey" w:date="2022-11-10T11:51:00Z">
        <w:r>
          <w:rPr>
            <w:sz w:val="24"/>
            <w:szCs w:val="24"/>
            <w:highlight w:val="white"/>
          </w:rPr>
          <w:t xml:space="preserve"> (David 2018)</w:t>
        </w:r>
      </w:ins>
      <w:ins w:id="778" w:author="Shawn McMurtrey" w:date="2022-11-10T11:50:00Z">
        <w:r>
          <w:rPr>
            <w:sz w:val="24"/>
            <w:szCs w:val="24"/>
            <w:highlight w:val="white"/>
          </w:rPr>
          <w:t>.</w:t>
        </w:r>
      </w:ins>
      <w:ins w:id="779" w:author="Shawn McMurtrey" w:date="2022-11-10T11:49:00Z">
        <w:r>
          <w:rPr>
            <w:sz w:val="24"/>
            <w:szCs w:val="24"/>
            <w:highlight w:val="white"/>
          </w:rPr>
          <w:t> </w:t>
        </w:r>
      </w:ins>
      <w:r>
        <w:rPr>
          <w:sz w:val="24"/>
          <w:szCs w:val="24"/>
          <w:highlight w:val="white"/>
        </w:rPr>
        <w:t>The</w:t>
      </w:r>
      <w:r>
        <w:rPr>
          <w:sz w:val="24"/>
          <w:szCs w:val="24"/>
        </w:rPr>
        <w:t xml:space="preserve"> number of infected and uninfected trees in disease centers was set at the default value of 50%. Level of root system infected was set at the default value of 10% (David</w:t>
      </w:r>
      <w:ins w:id="780" w:author="Sarah Hoffman" w:date="2022-11-05T22:08:00Z">
        <w:r>
          <w:rPr>
            <w:sz w:val="24"/>
            <w:szCs w:val="24"/>
          </w:rPr>
          <w:t>,</w:t>
        </w:r>
      </w:ins>
      <w:r>
        <w:rPr>
          <w:sz w:val="24"/>
          <w:szCs w:val="24"/>
        </w:rPr>
        <w:t xml:space="preserve"> 2018).</w:t>
      </w:r>
      <w:r>
        <w:rPr>
          <w:sz w:val="24"/>
          <w:szCs w:val="24"/>
          <w:highlight w:val="white"/>
        </w:rPr>
        <w:t xml:space="preserve"> Default parameters were used regarding bark beetles considering that the Douglas-fir beetle (</w:t>
      </w:r>
      <w:r>
        <w:rPr>
          <w:i/>
          <w:sz w:val="24"/>
          <w:szCs w:val="24"/>
          <w:highlight w:val="white"/>
        </w:rPr>
        <w:t>Dendroctonus pseudotsugae</w:t>
      </w:r>
      <w:r>
        <w:rPr>
          <w:sz w:val="24"/>
          <w:szCs w:val="24"/>
          <w:highlight w:val="white"/>
        </w:rPr>
        <w:t xml:space="preserve"> Hopkins) occurs throughout the </w:t>
      </w:r>
      <w:del w:id="781" w:author="LeBoldus, Jared" w:date="2022-11-04T09:59:00Z">
        <w:r>
          <w:rPr>
            <w:sz w:val="24"/>
            <w:szCs w:val="24"/>
            <w:highlight w:val="white"/>
          </w:rPr>
          <w:delText xml:space="preserve">extensive </w:delText>
        </w:r>
      </w:del>
      <w:r>
        <w:rPr>
          <w:sz w:val="24"/>
          <w:szCs w:val="24"/>
          <w:highlight w:val="white"/>
        </w:rPr>
        <w:t xml:space="preserve">range of </w:t>
      </w:r>
      <w:r>
        <w:rPr>
          <w:sz w:val="24"/>
          <w:szCs w:val="24"/>
        </w:rPr>
        <w:t>Douglas-fir</w:t>
      </w:r>
      <w:r>
        <w:rPr>
          <w:i/>
          <w:sz w:val="24"/>
          <w:szCs w:val="24"/>
        </w:rPr>
        <w:t xml:space="preserve"> </w:t>
      </w:r>
      <w:r>
        <w:rPr>
          <w:sz w:val="24"/>
          <w:szCs w:val="24"/>
        </w:rPr>
        <w:t>(Furniss and Kegley 2014).</w:t>
      </w:r>
      <w:r>
        <w:rPr>
          <w:i/>
          <w:sz w:val="24"/>
          <w:szCs w:val="24"/>
        </w:rPr>
        <w:t xml:space="preserve"> </w:t>
      </w:r>
    </w:p>
    <w:p>
      <w:pPr>
        <w:pStyle w:val="Normal"/>
        <w:spacing w:lineRule="auto" w:line="480"/>
        <w:rPr>
          <w:sz w:val="24"/>
          <w:szCs w:val="24"/>
        </w:rPr>
      </w:pPr>
      <w:r>
        <w:rPr>
          <w:sz w:val="24"/>
          <w:szCs w:val="24"/>
        </w:rPr>
      </w:r>
    </w:p>
    <w:p>
      <w:pPr>
        <w:pStyle w:val="Normal"/>
        <w:spacing w:lineRule="auto" w:line="480"/>
        <w:rPr/>
      </w:pPr>
      <w:r>
        <w:rPr>
          <w:b/>
          <w:sz w:val="24"/>
          <w:szCs w:val="24"/>
        </w:rPr>
        <w:t xml:space="preserve">2.2 Apiary hardwood rotation study </w:t>
      </w:r>
    </w:p>
    <w:p>
      <w:pPr>
        <w:pStyle w:val="Normal"/>
        <w:spacing w:lineRule="auto" w:line="480"/>
        <w:rPr>
          <w:b/>
          <w:b/>
          <w:sz w:val="24"/>
          <w:szCs w:val="24"/>
          <w:ins w:id="782" w:author="Sarah Hoffman" w:date="2022-11-05T22:18:00Z"/>
        </w:rPr>
      </w:pPr>
      <w:r>
        <w:rPr>
          <w:b/>
          <w:sz w:val="24"/>
          <w:szCs w:val="24"/>
        </w:rPr>
        <w:t>2.2.1 Study area</w:t>
      </w:r>
    </w:p>
    <w:p>
      <w:pPr>
        <w:pStyle w:val="Heading1"/>
        <w:shd w:val="clear" w:color="auto" w:fill="FFFFFF"/>
        <w:spacing w:lineRule="auto" w:line="480" w:before="0" w:after="0"/>
        <w:textAlignment w:val="baseline"/>
        <w:rPr>
          <w:rFonts w:ascii="Roboto" w:hAnsi="Roboto"/>
          <w:color w:val="202124"/>
          <w:ins w:id="796" w:author="Sarah Hoffman" w:date="2022-11-06T12:22:00Z"/>
        </w:rPr>
      </w:pPr>
      <w:del w:id="783" w:author="Shawn McMurtrey" w:date="2022-11-15T18:50:00Z">
        <w:r>
          <w:rPr>
            <w:sz w:val="24"/>
            <w:szCs w:val="24"/>
          </w:rPr>
          <w:delText>.</w:delText>
        </w:r>
      </w:del>
      <w:ins w:id="784" w:author="Sarah Hoffman" w:date="2022-11-06T17:22:00Z">
        <w:r>
          <w:rPr>
            <w:sz w:val="24"/>
            <w:szCs w:val="24"/>
          </w:rPr>
          <w:t>The Apiar</w:t>
        </w:r>
      </w:ins>
      <w:ins w:id="785" w:author="Sarah Hoffman" w:date="2022-11-06T17:23:00Z">
        <w:r>
          <w:rPr>
            <w:sz w:val="24"/>
            <w:szCs w:val="24"/>
          </w:rPr>
          <w:t>y study area was privately</w:t>
        </w:r>
      </w:ins>
      <w:ins w:id="786" w:author="Sarah Hoffman" w:date="2022-11-06T12:22:00Z">
        <w:r>
          <w:rPr>
            <w:sz w:val="24"/>
            <w:szCs w:val="24"/>
          </w:rPr>
          <w:t xml:space="preserve"> owned forest land in the Oregon coast range near the town of Apiary in NW Oregon, USA (</w:t>
        </w:r>
      </w:ins>
      <w:r>
        <w:rPr>
          <w:sz w:val="24"/>
          <w:szCs w:val="24"/>
        </w:rPr>
        <w:t>46°00'07.2"N 123°04'47.1"W</w:t>
      </w:r>
      <w:ins w:id="787" w:author="Sarah Hoffman" w:date="2022-11-06T12:22:00Z">
        <w:r>
          <w:rPr>
            <w:sz w:val="24"/>
            <w:szCs w:val="24"/>
          </w:rPr>
          <w:t>).</w:t>
        </w:r>
      </w:ins>
      <w:ins w:id="788" w:author="Sarah Hoffman" w:date="2022-11-06T12:24:00Z">
        <w:r>
          <w:rPr>
            <w:sz w:val="24"/>
            <w:szCs w:val="24"/>
          </w:rPr>
          <w:t xml:space="preserve"> The stand was situated on a 15% NE aspect slope with a mean elevation of 335 m</w:t>
        </w:r>
      </w:ins>
      <w:ins w:id="789" w:author="Sarah Hoffman" w:date="2022-11-06T12:25:00Z">
        <w:r>
          <w:rPr>
            <w:sz w:val="24"/>
            <w:szCs w:val="24"/>
          </w:rPr>
          <w:t xml:space="preserve"> and was selected based on the high </w:t>
        </w:r>
      </w:ins>
      <w:ins w:id="790" w:author="Sarah Hoffman" w:date="2022-11-07T05:30:00Z">
        <w:r>
          <w:rPr>
            <w:sz w:val="24"/>
            <w:szCs w:val="24"/>
          </w:rPr>
          <w:t>incidence</w:t>
        </w:r>
      </w:ins>
      <w:ins w:id="791" w:author="Sarah Hoffman" w:date="2022-11-06T12:25:00Z">
        <w:r>
          <w:rPr>
            <w:sz w:val="24"/>
            <w:szCs w:val="24"/>
          </w:rPr>
          <w:t xml:space="preserve"> of LRR</w:t>
        </w:r>
      </w:ins>
      <w:ins w:id="792" w:author="Sarah Hoffman" w:date="2022-11-06T12:24:00Z">
        <w:r>
          <w:rPr>
            <w:sz w:val="24"/>
            <w:szCs w:val="24"/>
          </w:rPr>
          <w:t xml:space="preserve"> </w:t>
        </w:r>
      </w:ins>
      <w:r>
        <w:rPr>
          <w:sz w:val="24"/>
          <w:szCs w:val="24"/>
        </w:rPr>
        <w:t xml:space="preserve">(Thies and Westlind 2005). </w:t>
      </w:r>
      <w:ins w:id="793" w:author="Sarah Hoffman" w:date="2022-11-06T12:22:00Z">
        <w:r>
          <w:rPr>
            <w:sz w:val="24"/>
            <w:szCs w:val="24"/>
          </w:rPr>
          <w:t xml:space="preserve">Prior to this study, the site had a predominately Douglas-fir natural regeneration, with fewer amounts of Western hemlock, western red cedar, choke cherry, and red alder (Thies &amp; Westlind, 2005). Mean annual precipitation ranged from 1500 – 1600 mm. Mean annual temperature ranged from 4 - 10°C (PRISM Climate Group, Oregon State University 2018). The soil is a Bacona silt loam with a surface layer of dark brown silt loam (Thies </w:t>
        </w:r>
      </w:ins>
      <w:r>
        <w:rPr>
          <w:sz w:val="24"/>
          <w:szCs w:val="24"/>
        </w:rPr>
        <w:t>and</w:t>
      </w:r>
      <w:ins w:id="794" w:author="Sarah Hoffman" w:date="2022-11-06T12:22:00Z">
        <w:r>
          <w:rPr>
            <w:sz w:val="24"/>
            <w:szCs w:val="24"/>
          </w:rPr>
          <w:t xml:space="preserve"> Westlind 2005; Langridge 1987)</w:t>
        </w:r>
      </w:ins>
      <w:ins w:id="795" w:author="Sarah Hoffman" w:date="2022-11-06T12:30:00Z">
        <w:r>
          <w:rPr>
            <w:sz w:val="24"/>
            <w:szCs w:val="24"/>
          </w:rPr>
          <w:t>.</w:t>
        </w:r>
      </w:ins>
    </w:p>
    <w:p>
      <w:pPr>
        <w:pStyle w:val="Normal"/>
        <w:spacing w:lineRule="auto" w:line="480"/>
        <w:ind w:firstLine="720"/>
        <w:rPr>
          <w:sz w:val="24"/>
          <w:szCs w:val="24"/>
        </w:rPr>
      </w:pPr>
      <w:del w:id="797" w:author="LeBoldus, Jared" w:date="2022-11-04T10:05:00Z">
        <w:r>
          <w:rPr>
            <w:sz w:val="24"/>
            <w:szCs w:val="24"/>
          </w:rPr>
          <w:delText xml:space="preserve">Like the Woods Creek study area, this location was also selected based on high incidence of LRR. </w:delText>
        </w:r>
      </w:del>
      <w:r>
        <w:rPr>
          <w:sz w:val="24"/>
          <w:szCs w:val="24"/>
        </w:rPr>
        <w:t xml:space="preserve">In March of 1973, the </w:t>
      </w:r>
      <w:del w:id="798" w:author="LeBoldus, Jared" w:date="2022-11-04T10:08:00Z">
        <w:r>
          <w:rPr>
            <w:sz w:val="24"/>
            <w:szCs w:val="24"/>
          </w:rPr>
          <w:delText xml:space="preserve">experimental </w:delText>
        </w:r>
      </w:del>
      <w:ins w:id="799" w:author="LeBoldus, Jared" w:date="2022-11-04T10:08:00Z">
        <w:r>
          <w:rPr>
            <w:sz w:val="24"/>
            <w:szCs w:val="24"/>
          </w:rPr>
          <w:t xml:space="preserve">trial </w:t>
        </w:r>
      </w:ins>
      <w:r>
        <w:rPr>
          <w:rFonts w:eastAsia="NSimSun" w:cs="Lucida Sans"/>
          <w:kern w:val="2"/>
          <w:sz w:val="24"/>
          <w:szCs w:val="24"/>
          <w:lang w:val="en-US" w:eastAsia="zh-CN" w:bidi="hi-IN"/>
        </w:rPr>
        <w:t>area</w:t>
      </w:r>
      <w:r>
        <w:rPr>
          <w:sz w:val="24"/>
          <w:szCs w:val="24"/>
        </w:rPr>
        <w:t xml:space="preserve"> was delimited by establishing a grid of stakes at</w:t>
      </w:r>
      <w:ins w:id="800" w:author="LeBoldus, Jared" w:date="2022-11-04T10:05:00Z">
        <w:r>
          <w:rPr>
            <w:sz w:val="24"/>
            <w:szCs w:val="24"/>
          </w:rPr>
          <w:t xml:space="preserve"> ca</w:t>
        </w:r>
      </w:ins>
      <w:ins w:id="801" w:author="LeBoldus, Jared" w:date="2022-11-04T10:06:00Z">
        <w:r>
          <w:rPr>
            <w:sz w:val="24"/>
            <w:szCs w:val="24"/>
          </w:rPr>
          <w:t>.</w:t>
        </w:r>
      </w:ins>
      <w:r>
        <w:rPr>
          <w:sz w:val="24"/>
          <w:szCs w:val="24"/>
        </w:rPr>
        <w:t xml:space="preserve"> 2-chain (40 m) intervals running NE-SW and S</w:t>
      </w:r>
      <w:r>
        <w:rPr>
          <w:rFonts w:eastAsia="NSimSun" w:cs="Lucida Sans"/>
          <w:kern w:val="2"/>
          <w:sz w:val="24"/>
          <w:szCs w:val="24"/>
          <w:lang w:val="en-US" w:eastAsia="zh-CN" w:bidi="hi-IN"/>
        </w:rPr>
        <w:t xml:space="preserve">E-NW. </w:t>
      </w:r>
      <w:r>
        <w:rPr>
          <w:sz w:val="24"/>
          <w:szCs w:val="24"/>
        </w:rPr>
        <w:t xml:space="preserve">Each </w:t>
      </w:r>
      <w:del w:id="802" w:author="LeBoldus, Jared" w:date="2022-11-04T10:08:00Z">
        <w:r>
          <w:rPr>
            <w:sz w:val="24"/>
            <w:szCs w:val="24"/>
          </w:rPr>
          <w:delText xml:space="preserve">grid </w:delText>
        </w:r>
      </w:del>
      <w:ins w:id="803" w:author="LeBoldus, Jared" w:date="2022-11-04T10:08:00Z">
        <w:r>
          <w:rPr>
            <w:sz w:val="24"/>
            <w:szCs w:val="24"/>
          </w:rPr>
          <w:t xml:space="preserve">block in the grid </w:t>
        </w:r>
      </w:ins>
      <w:del w:id="804" w:author="LeBoldus, Jared" w:date="2022-11-04T10:08:00Z">
        <w:r>
          <w:rPr>
            <w:sz w:val="24"/>
            <w:szCs w:val="24"/>
          </w:rPr>
          <w:delText xml:space="preserve">block </w:delText>
        </w:r>
      </w:del>
      <w:r>
        <w:rPr>
          <w:sz w:val="24"/>
          <w:szCs w:val="24"/>
        </w:rPr>
        <w:t xml:space="preserve">was surveyed for evidence of laminated root rot, with each stump, log, or tree showing signs or symptoms recorded along with its diameter, </w:t>
      </w:r>
      <w:r>
        <w:rPr>
          <w:rFonts w:eastAsia="NSimSun" w:cs="Lucida Sans"/>
          <w:kern w:val="2"/>
          <w:sz w:val="24"/>
          <w:szCs w:val="24"/>
          <w:lang w:val="en-US" w:eastAsia="zh-CN" w:bidi="hi-IN"/>
        </w:rPr>
        <w:t>location relative to chain grid,</w:t>
      </w:r>
      <w:r>
        <w:rPr>
          <w:sz w:val="24"/>
          <w:szCs w:val="24"/>
        </w:rPr>
        <w:t xml:space="preserve"> and approximate date of </w:t>
      </w:r>
      <w:r>
        <w:rPr>
          <w:rFonts w:eastAsia="NSimSun" w:cs="Lucida Sans"/>
          <w:kern w:val="2"/>
          <w:sz w:val="24"/>
          <w:szCs w:val="24"/>
          <w:lang w:val="en-US" w:eastAsia="zh-CN" w:bidi="hi-IN"/>
        </w:rPr>
        <w:t>mortality</w:t>
      </w:r>
      <w:r>
        <w:rPr>
          <w:sz w:val="24"/>
          <w:szCs w:val="24"/>
        </w:rPr>
        <w:t xml:space="preserve">. Signs and symptoms included </w:t>
      </w:r>
      <w:r>
        <w:rPr>
          <w:rFonts w:eastAsia="NSimSun" w:cs="Lucida Sans"/>
          <w:kern w:val="2"/>
          <w:sz w:val="24"/>
          <w:szCs w:val="24"/>
          <w:lang w:val="en-US" w:eastAsia="zh-CN" w:bidi="hi-IN"/>
        </w:rPr>
        <w:t>crescent-shaped decay pockets extending from bole to roots</w:t>
      </w:r>
      <w:r>
        <w:rPr>
          <w:sz w:val="24"/>
          <w:szCs w:val="24"/>
        </w:rPr>
        <w:t xml:space="preserve">, ring lamination, and presence of setal hyphae (Hansen 1979). The site was </w:t>
      </w:r>
      <w:del w:id="805" w:author="LeBoldus, Jared" w:date="2022-11-04T10:07:00Z">
        <w:r>
          <w:rPr>
            <w:sz w:val="24"/>
            <w:szCs w:val="24"/>
          </w:rPr>
          <w:delText xml:space="preserve">harvested </w:delText>
        </w:r>
      </w:del>
      <w:ins w:id="806" w:author="LeBoldus, Jared" w:date="2022-11-04T10:07:00Z">
        <w:r>
          <w:rPr>
            <w:sz w:val="24"/>
            <w:szCs w:val="24"/>
          </w:rPr>
          <w:t xml:space="preserve">clear cut </w:t>
        </w:r>
      </w:ins>
      <w:r>
        <w:rPr>
          <w:sz w:val="24"/>
          <w:szCs w:val="24"/>
        </w:rPr>
        <w:t xml:space="preserve">in the autumn of 1973, at which point cut stumps were </w:t>
      </w:r>
      <w:del w:id="807" w:author="LeBoldus, Jared" w:date="2022-11-04T10:07:00Z">
        <w:r>
          <w:rPr>
            <w:sz w:val="24"/>
            <w:szCs w:val="24"/>
          </w:rPr>
          <w:delText>surveyed for presence of laminated root rot and recorded as before.</w:delText>
        </w:r>
      </w:del>
      <w:ins w:id="808" w:author="LeBoldus, Jared" w:date="2022-11-04T10:07:00Z">
        <w:r>
          <w:rPr>
            <w:sz w:val="24"/>
            <w:szCs w:val="24"/>
          </w:rPr>
          <w:t>resurveyed for LRR as describ</w:t>
        </w:r>
      </w:ins>
      <w:ins w:id="809" w:author="LeBoldus, Jared" w:date="2022-11-04T10:09:00Z">
        <w:r>
          <w:rPr>
            <w:sz w:val="24"/>
            <w:szCs w:val="24"/>
          </w:rPr>
          <w:t>e</w:t>
        </w:r>
      </w:ins>
      <w:ins w:id="810" w:author="LeBoldus, Jared" w:date="2022-11-04T10:07:00Z">
        <w:r>
          <w:rPr>
            <w:sz w:val="24"/>
            <w:szCs w:val="24"/>
          </w:rPr>
          <w:t>d above.</w:t>
        </w:r>
      </w:ins>
      <w:r>
        <w:rPr>
          <w:sz w:val="24"/>
          <w:szCs w:val="24"/>
        </w:rPr>
        <w:t xml:space="preserve"> </w:t>
      </w:r>
      <w:r>
        <w:rPr>
          <w:rFonts w:eastAsia="NSimSun" w:cs="Lucida Sans"/>
          <w:kern w:val="2"/>
          <w:sz w:val="24"/>
          <w:szCs w:val="24"/>
          <w:lang w:val="en-US" w:eastAsia="zh-CN" w:bidi="hi-IN"/>
        </w:rPr>
        <w:t>S</w:t>
      </w:r>
      <w:r>
        <w:rPr>
          <w:sz w:val="24"/>
          <w:szCs w:val="24"/>
        </w:rPr>
        <w:t xml:space="preserve">lash </w:t>
      </w:r>
      <w:r>
        <w:rPr>
          <w:rFonts w:eastAsia="NSimSun" w:cs="Lucida Sans"/>
          <w:kern w:val="2"/>
          <w:sz w:val="24"/>
          <w:szCs w:val="24"/>
          <w:lang w:val="en-US" w:eastAsia="zh-CN" w:bidi="hi-IN"/>
        </w:rPr>
        <w:t xml:space="preserve">was broadcast burned in </w:t>
      </w:r>
      <w:r>
        <w:rPr>
          <w:sz w:val="24"/>
          <w:szCs w:val="24"/>
        </w:rPr>
        <w:t xml:space="preserve">the spring of 1974.  </w:t>
      </w:r>
    </w:p>
    <w:p>
      <w:pPr>
        <w:pStyle w:val="Normal"/>
        <w:spacing w:lineRule="auto" w:line="480"/>
        <w:ind w:firstLine="720"/>
        <w:rPr>
          <w:sz w:val="24"/>
          <w:szCs w:val="24"/>
        </w:rPr>
      </w:pPr>
      <w:r>
        <w:rPr>
          <w:sz w:val="24"/>
          <w:szCs w:val="24"/>
        </w:rPr>
      </w:r>
    </w:p>
    <w:p>
      <w:pPr>
        <w:pStyle w:val="Normal"/>
        <w:spacing w:lineRule="auto" w:line="480"/>
        <w:rPr>
          <w:b/>
          <w:b/>
          <w:bCs/>
          <w:ins w:id="816" w:author="LeBoldus, Jared" w:date="2022-11-04T10:14:00Z"/>
          <w:sz w:val="24"/>
          <w:szCs w:val="24"/>
        </w:rPr>
      </w:pPr>
      <w:r>
        <w:rPr>
          <w:b/>
          <w:bCs/>
          <w:sz w:val="24"/>
          <w:szCs w:val="24"/>
        </w:rPr>
        <w:t xml:space="preserve">2.2.2 </w:t>
      </w:r>
      <w:del w:id="811" w:author="LeBoldus, Jared" w:date="2022-11-04T10:15:00Z">
        <w:r>
          <w:rPr>
            <w:b/>
            <w:bCs/>
            <w:sz w:val="24"/>
            <w:szCs w:val="24"/>
          </w:rPr>
          <w:delText>Plot network</w:delText>
        </w:r>
      </w:del>
      <w:ins w:id="812" w:author="LeBoldus, Jared" w:date="2022-11-04T10:15:00Z">
        <w:r>
          <w:rPr>
            <w:b/>
            <w:bCs/>
            <w:sz w:val="24"/>
            <w:szCs w:val="24"/>
          </w:rPr>
          <w:t xml:space="preserve">Experimental </w:t>
        </w:r>
      </w:ins>
      <w:ins w:id="813" w:author="Shawn McMurtrey" w:date="2022-11-15T21:18:00Z">
        <w:r>
          <w:rPr>
            <w:b/>
            <w:bCs/>
            <w:sz w:val="24"/>
            <w:szCs w:val="24"/>
          </w:rPr>
          <w:t>d</w:t>
        </w:r>
      </w:ins>
      <w:del w:id="814" w:author="Shawn McMurtrey" w:date="2022-11-15T21:18:00Z">
        <w:r>
          <w:rPr>
            <w:b/>
            <w:bCs/>
            <w:sz w:val="24"/>
            <w:szCs w:val="24"/>
          </w:rPr>
          <w:delText>D</w:delText>
        </w:r>
      </w:del>
      <w:ins w:id="815" w:author="LeBoldus, Jared" w:date="2022-11-04T10:15:00Z">
        <w:r>
          <w:rPr>
            <w:b/>
            <w:bCs/>
            <w:sz w:val="24"/>
            <w:szCs w:val="24"/>
          </w:rPr>
          <w:t>esign</w:t>
        </w:r>
      </w:ins>
      <w:r>
        <w:rPr>
          <w:b/>
          <w:bCs/>
          <w:sz w:val="24"/>
          <w:szCs w:val="24"/>
        </w:rPr>
        <w:t xml:space="preserve"> </w:t>
      </w:r>
      <w:r>
        <w:rPr>
          <w:b/>
          <w:bCs/>
          <w:sz w:val="24"/>
          <w:szCs w:val="24"/>
        </w:rPr>
        <w:t>and data collection</w:t>
      </w:r>
    </w:p>
    <w:p>
      <w:pPr>
        <w:pStyle w:val="Normal"/>
        <w:spacing w:lineRule="auto" w:line="480"/>
        <w:rPr>
          <w:rFonts w:eastAsia="NSimSun" w:cs="Lucida Sans"/>
          <w:kern w:val="2"/>
          <w:sz w:val="24"/>
          <w:szCs w:val="24"/>
          <w:lang w:val="en-US" w:eastAsia="zh-CN" w:bidi="hi-IN"/>
          <w:del w:id="845" w:author="LeBoldus, Jared" w:date="2022-11-04T10:35:00Z"/>
        </w:rPr>
      </w:pPr>
      <w:ins w:id="817" w:author="LeBoldus, Jared" w:date="2022-11-04T10:15:00Z">
        <w:r>
          <w:rPr>
            <w:sz w:val="24"/>
            <w:szCs w:val="24"/>
          </w:rPr>
          <w:t xml:space="preserve">The experimental design was a randomized complete block design with </w:t>
        </w:r>
      </w:ins>
      <w:ins w:id="818" w:author="LeBoldus, Jared" w:date="2022-11-04T10:16:00Z">
        <w:r>
          <w:rPr>
            <w:sz w:val="24"/>
            <w:szCs w:val="24"/>
          </w:rPr>
          <w:t>five blocks</w:t>
        </w:r>
      </w:ins>
      <w:ins w:id="819" w:author="LeBoldus, Jared" w:date="2022-11-04T10:17:00Z">
        <w:r>
          <w:rPr>
            <w:sz w:val="24"/>
            <w:szCs w:val="24"/>
          </w:rPr>
          <w:t xml:space="preserve">. Blocking occurred </w:t>
        </w:r>
      </w:ins>
      <w:ins w:id="820" w:author="LeBoldus, Jared" w:date="2022-11-04T10:19:00Z">
        <w:r>
          <w:rPr>
            <w:sz w:val="24"/>
            <w:szCs w:val="24"/>
          </w:rPr>
          <w:t>based on the</w:t>
        </w:r>
      </w:ins>
      <w:ins w:id="821" w:author="LeBoldus, Jared" w:date="2022-11-04T10:17:00Z">
        <w:r>
          <w:rPr>
            <w:sz w:val="24"/>
            <w:szCs w:val="24"/>
          </w:rPr>
          <w:t xml:space="preserve"> incidence of LRR</w:t>
        </w:r>
      </w:ins>
      <w:ins w:id="822" w:author="LeBoldus, Jared" w:date="2022-11-04T10:19:00Z">
        <w:r>
          <w:rPr>
            <w:sz w:val="24"/>
            <w:szCs w:val="24"/>
          </w:rPr>
          <w:t>.</w:t>
        </w:r>
      </w:ins>
      <w:ins w:id="823" w:author="LeBoldus, Jared" w:date="2022-11-04T10:20:00Z">
        <w:r>
          <w:rPr>
            <w:sz w:val="24"/>
            <w:szCs w:val="24"/>
          </w:rPr>
          <w:t xml:space="preserve"> Five treatments were randomly assigned </w:t>
        </w:r>
      </w:ins>
      <w:ins w:id="824" w:author="LeBoldus, Jared" w:date="2022-11-04T10:21:00Z">
        <w:r>
          <w:rPr>
            <w:sz w:val="24"/>
            <w:szCs w:val="24"/>
          </w:rPr>
          <w:t xml:space="preserve">blocks, with each treatment by block combination occurring </w:t>
        </w:r>
      </w:ins>
      <w:ins w:id="825" w:author="LeBoldus, Jared" w:date="2022-11-04T10:28:00Z">
        <w:r>
          <w:rPr>
            <w:sz w:val="24"/>
            <w:szCs w:val="24"/>
          </w:rPr>
          <w:t>five times. The treatments consisted of</w:t>
        </w:r>
      </w:ins>
      <w:ins w:id="826" w:author="LeBoldus, Jared" w:date="2022-11-04T10:29:00Z">
        <w:r>
          <w:rPr>
            <w:sz w:val="24"/>
            <w:szCs w:val="24"/>
          </w:rPr>
          <w:t>:</w:t>
        </w:r>
      </w:ins>
      <w:ins w:id="827" w:author="LeBoldus, Jared" w:date="2022-11-04T10:30:00Z">
        <w:r>
          <w:rPr>
            <w:sz w:val="24"/>
            <w:szCs w:val="24"/>
          </w:rPr>
          <w:t xml:space="preserve"> </w:t>
        </w:r>
      </w:ins>
      <w:ins w:id="828" w:author="LeBoldus, Jared" w:date="2022-11-04T10:30:00Z">
        <w:r>
          <w:rPr>
            <w:rFonts w:eastAsia="NSimSun" w:cs="Lucida Sans"/>
            <w:kern w:val="2"/>
            <w:sz w:val="24"/>
            <w:szCs w:val="24"/>
            <w:lang w:val="en-US" w:eastAsia="zh-CN" w:bidi="hi-IN"/>
          </w:rPr>
          <w:t>A) 12</w:t>
        </w:r>
      </w:ins>
      <w:ins w:id="829" w:author="Sarah Hoffman" w:date="2022-11-06T12:30:00Z">
        <w:r>
          <w:rPr>
            <w:rFonts w:eastAsia="NSimSun" w:cs="Lucida Sans"/>
            <w:kern w:val="2"/>
            <w:sz w:val="24"/>
            <w:szCs w:val="24"/>
            <w:lang w:val="en-US" w:eastAsia="zh-CN" w:bidi="hi-IN"/>
          </w:rPr>
          <w:t xml:space="preserve"> </w:t>
        </w:r>
      </w:ins>
      <w:ins w:id="830" w:author="LeBoldus, Jared" w:date="2022-11-04T10:30:00Z">
        <w:r>
          <w:rPr>
            <w:rFonts w:eastAsia="NSimSun" w:cs="Lucida Sans"/>
            <w:kern w:val="2"/>
            <w:sz w:val="24"/>
            <w:szCs w:val="24"/>
            <w:lang w:val="en-US" w:eastAsia="zh-CN" w:bidi="hi-IN"/>
          </w:rPr>
          <w:t xml:space="preserve">year rotation of red alder followed by Douglas-fir; B) 12 year rotation of cottonwood followed by Douglas-fir; C) Douglas-fir; D) 25 year red alder followed </w:t>
        </w:r>
      </w:ins>
      <w:ins w:id="831" w:author="LeBoldus, Jared" w:date="2022-11-04T10:31:00Z">
        <w:r>
          <w:rPr>
            <w:rFonts w:eastAsia="NSimSun" w:cs="Lucida Sans"/>
            <w:kern w:val="2"/>
            <w:sz w:val="24"/>
            <w:szCs w:val="24"/>
            <w:lang w:val="en-US" w:eastAsia="zh-CN" w:bidi="hi-IN"/>
          </w:rPr>
          <w:t>by</w:t>
        </w:r>
      </w:ins>
      <w:ins w:id="832" w:author="LeBoldus, Jared" w:date="2022-11-04T10:30:00Z">
        <w:r>
          <w:rPr>
            <w:rFonts w:eastAsia="NSimSun" w:cs="Lucida Sans"/>
            <w:kern w:val="2"/>
            <w:sz w:val="24"/>
            <w:szCs w:val="24"/>
            <w:lang w:val="en-US" w:eastAsia="zh-CN" w:bidi="hi-IN"/>
          </w:rPr>
          <w:t xml:space="preserve"> Douglas-fir; and E) 25 year cottonwood </w:t>
        </w:r>
      </w:ins>
      <w:ins w:id="833" w:author="LeBoldus, Jared" w:date="2022-11-04T10:31:00Z">
        <w:r>
          <w:rPr>
            <w:rFonts w:eastAsia="NSimSun" w:cs="Lucida Sans"/>
            <w:kern w:val="2"/>
            <w:sz w:val="24"/>
            <w:szCs w:val="24"/>
            <w:lang w:val="en-US" w:eastAsia="zh-CN" w:bidi="hi-IN"/>
          </w:rPr>
          <w:t>followed by</w:t>
        </w:r>
      </w:ins>
      <w:ins w:id="834" w:author="LeBoldus, Jared" w:date="2022-11-04T10:30:00Z">
        <w:r>
          <w:rPr>
            <w:rFonts w:eastAsia="NSimSun" w:cs="Lucida Sans"/>
            <w:kern w:val="2"/>
            <w:sz w:val="24"/>
            <w:szCs w:val="24"/>
            <w:lang w:val="en-US" w:eastAsia="zh-CN" w:bidi="hi-IN"/>
          </w:rPr>
          <w:t xml:space="preserve"> Douglas-fir.</w:t>
        </w:r>
      </w:ins>
      <w:ins w:id="835" w:author="LeBoldus, Jared" w:date="2022-11-04T10:31:00Z">
        <w:r>
          <w:rPr>
            <w:rFonts w:eastAsia="NSimSun" w:cs="Lucida Sans"/>
            <w:kern w:val="2"/>
            <w:sz w:val="24"/>
            <w:szCs w:val="24"/>
            <w:lang w:val="en-US" w:eastAsia="zh-CN" w:bidi="hi-IN"/>
          </w:rPr>
          <w:t xml:space="preserve"> Within each block five</w:t>
        </w:r>
      </w:ins>
      <w:r>
        <w:rPr>
          <w:rFonts w:eastAsia="NSimSun" w:cs="Lucida Sans"/>
          <w:kern w:val="2"/>
          <w:sz w:val="24"/>
          <w:szCs w:val="24"/>
          <w:lang w:val="en-US" w:eastAsia="zh-CN" w:bidi="hi-IN"/>
        </w:rPr>
        <w:t xml:space="preserve"> </w:t>
      </w:r>
      <w:r>
        <w:rPr>
          <w:rFonts w:eastAsia="NSimSun" w:cs="Lucida Sans"/>
          <w:kern w:val="2"/>
          <w:sz w:val="24"/>
          <w:szCs w:val="24"/>
          <w:lang w:val="en-US" w:eastAsia="zh-CN" w:bidi="hi-IN"/>
        </w:rPr>
        <w:t>circular</w:t>
      </w:r>
      <w:ins w:id="836" w:author="LeBoldus, Jared" w:date="2022-11-04T10:31:00Z">
        <w:r>
          <w:rPr>
            <w:rFonts w:eastAsia="NSimSun" w:cs="Lucida Sans"/>
            <w:kern w:val="2"/>
            <w:sz w:val="24"/>
            <w:szCs w:val="24"/>
            <w:lang w:val="en-US" w:eastAsia="zh-CN" w:bidi="hi-IN"/>
          </w:rPr>
          <w:t xml:space="preserve"> </w:t>
        </w:r>
      </w:ins>
      <w:ins w:id="837" w:author="LeBoldus, Jared" w:date="2022-11-04T10:32:00Z">
        <w:r>
          <w:rPr>
            <w:rFonts w:eastAsia="NSimSun" w:cs="Lucida Sans"/>
            <w:kern w:val="2"/>
            <w:sz w:val="24"/>
            <w:szCs w:val="24"/>
            <w:lang w:val="en-US" w:eastAsia="zh-CN" w:bidi="hi-IN"/>
          </w:rPr>
          <w:t xml:space="preserve">0.02 ha </w:t>
        </w:r>
      </w:ins>
      <w:r>
        <w:rPr>
          <w:rFonts w:eastAsia="NSimSun" w:cs="Lucida Sans"/>
          <w:kern w:val="2"/>
          <w:sz w:val="24"/>
          <w:szCs w:val="24"/>
          <w:lang w:val="en-US" w:eastAsia="zh-CN" w:bidi="hi-IN"/>
        </w:rPr>
        <w:t xml:space="preserve">fixed radius </w:t>
      </w:r>
      <w:ins w:id="838" w:author="LeBoldus, Jared" w:date="2022-11-04T10:32:00Z">
        <w:r>
          <w:rPr>
            <w:rFonts w:eastAsia="NSimSun" w:cs="Lucida Sans"/>
            <w:kern w:val="2"/>
            <w:sz w:val="24"/>
            <w:szCs w:val="24"/>
            <w:lang w:val="en-US" w:eastAsia="zh-CN" w:bidi="hi-IN"/>
          </w:rPr>
          <w:t>plots were established. Each plot was selected</w:t>
        </w:r>
      </w:ins>
      <w:ins w:id="839" w:author="LeBoldus, Jared" w:date="2022-11-04T10:33:00Z">
        <w:r>
          <w:rPr>
            <w:rFonts w:eastAsia="NSimSun" w:cs="Lucida Sans"/>
            <w:kern w:val="2"/>
            <w:sz w:val="24"/>
            <w:szCs w:val="24"/>
            <w:lang w:val="en-US" w:eastAsia="zh-CN" w:bidi="hi-IN"/>
          </w:rPr>
          <w:t xml:space="preserve"> to include the maximum number of </w:t>
        </w:r>
      </w:ins>
      <w:ins w:id="840" w:author="LeBoldus, Jared" w:date="2022-11-04T10:33:00Z">
        <w:r>
          <w:rPr>
            <w:rFonts w:eastAsia="NSimSun" w:cs="Lucida Sans"/>
            <w:i/>
            <w:iCs/>
            <w:kern w:val="2"/>
            <w:sz w:val="24"/>
            <w:szCs w:val="24"/>
            <w:lang w:val="en-US" w:eastAsia="zh-CN" w:bidi="hi-IN"/>
          </w:rPr>
          <w:t>C. sulphurascens</w:t>
        </w:r>
      </w:ins>
      <w:ins w:id="841" w:author="LeBoldus, Jared" w:date="2022-11-04T10:33:00Z">
        <w:r>
          <w:rPr>
            <w:rFonts w:eastAsia="NSimSun" w:cs="Lucida Sans"/>
            <w:kern w:val="2"/>
            <w:sz w:val="24"/>
            <w:szCs w:val="24"/>
            <w:lang w:val="en-US" w:eastAsia="zh-CN" w:bidi="hi-IN"/>
          </w:rPr>
          <w:t xml:space="preserve"> infected stumps while maintaining a </w:t>
        </w:r>
      </w:ins>
      <w:ins w:id="842" w:author="LeBoldus, Jared" w:date="2022-11-04T10:34:00Z">
        <w:r>
          <w:rPr>
            <w:rFonts w:eastAsia="NSimSun" w:cs="Lucida Sans"/>
            <w:kern w:val="2"/>
            <w:sz w:val="24"/>
            <w:szCs w:val="24"/>
            <w:lang w:val="en-US" w:eastAsia="zh-CN" w:bidi="hi-IN"/>
          </w:rPr>
          <w:t>4.8 m buffer from the block boundary.</w:t>
        </w:r>
      </w:ins>
      <w:ins w:id="843" w:author="LeBoldus, Jared" w:date="2022-11-04T10:35:00Z">
        <w:r>
          <w:rPr>
            <w:rFonts w:eastAsia="NSimSun" w:cs="Lucida Sans"/>
            <w:kern w:val="2"/>
            <w:sz w:val="24"/>
            <w:szCs w:val="24"/>
            <w:lang w:val="en-US" w:eastAsia="zh-CN" w:bidi="hi-IN"/>
          </w:rPr>
          <w:t xml:space="preserve"> </w:t>
        </w:r>
      </w:ins>
      <w:ins w:id="844" w:author="LeBoldus, Jared" w:date="2022-11-04T10:35:00Z">
        <w:bookmarkStart w:id="12" w:name="move118450544"/>
        <w:r>
          <w:rPr>
            <w:rFonts w:eastAsia="NSimSun" w:cs="Lucida Sans"/>
            <w:kern w:val="2"/>
            <w:sz w:val="24"/>
            <w:szCs w:val="24"/>
            <w:lang w:val="en-US" w:eastAsia="zh-CN" w:bidi="hi-IN"/>
          </w:rPr>
          <w:t>Plot centers were marked with metal stakes and mapped in reference to chain grid and later using GPS (Fig. 2).</w:t>
        </w:r>
      </w:ins>
      <w:bookmarkEnd w:id="12"/>
    </w:p>
    <w:p>
      <w:pPr>
        <w:pStyle w:val="Normal"/>
        <w:spacing w:lineRule="auto" w:line="480"/>
        <w:rPr/>
      </w:pPr>
      <w:del w:id="846" w:author="LeBoldus, Jared" w:date="2022-11-04T10:35:00Z">
        <w:r>
          <w:rPr>
            <w:sz w:val="24"/>
            <w:szCs w:val="24"/>
          </w:rPr>
          <w:delText>Twenty-five plots</w:delText>
        </w:r>
      </w:del>
      <w:r>
        <w:rPr>
          <w:sz w:val="24"/>
          <w:szCs w:val="24"/>
        </w:rPr>
        <w:t xml:space="preserve"> were established and </w:t>
      </w:r>
      <w:r>
        <w:rPr>
          <w:rFonts w:eastAsia="NSimSun" w:cs="Lucida Sans"/>
          <w:kern w:val="2"/>
          <w:sz w:val="24"/>
          <w:szCs w:val="24"/>
          <w:lang w:val="en-US" w:eastAsia="zh-CN" w:bidi="hi-IN"/>
        </w:rPr>
        <w:t xml:space="preserve">blocked </w:t>
      </w:r>
      <w:r>
        <w:rPr>
          <w:sz w:val="24"/>
          <w:szCs w:val="24"/>
        </w:rPr>
        <w:t xml:space="preserve">by incidence and distribution of LRR. One </w:t>
      </w:r>
      <w:r>
        <w:rPr>
          <w:rFonts w:eastAsia="NSimSun" w:cs="Lucida Sans"/>
          <w:kern w:val="2"/>
          <w:sz w:val="24"/>
          <w:szCs w:val="24"/>
          <w:lang w:val="en-US" w:eastAsia="zh-CN" w:bidi="hi-IN"/>
        </w:rPr>
        <w:t>block</w:t>
      </w:r>
      <w:r>
        <w:rPr>
          <w:sz w:val="24"/>
          <w:szCs w:val="24"/>
        </w:rPr>
        <w:t xml:space="preserve"> included the five plots at the eastern corner of the site based on high incidence and density of LRR in the area (plots with “0” as first number in the lower left corner of Fig. 2). The remaining 20 plots were assigned to an additional 4 </w:t>
      </w:r>
      <w:r>
        <w:rPr>
          <w:rFonts w:eastAsia="NSimSun" w:cs="Lucida Sans"/>
          <w:kern w:val="2"/>
          <w:sz w:val="24"/>
          <w:szCs w:val="24"/>
          <w:lang w:val="en-US" w:eastAsia="zh-CN" w:bidi="hi-IN"/>
        </w:rPr>
        <w:t>blocks</w:t>
      </w:r>
      <w:r>
        <w:rPr>
          <w:sz w:val="24"/>
          <w:szCs w:val="24"/>
        </w:rPr>
        <w:t xml:space="preserve"> based on disease incidence. </w:t>
      </w:r>
    </w:p>
    <w:p>
      <w:pPr>
        <w:pStyle w:val="Normal"/>
        <w:spacing w:lineRule="auto" w:line="480"/>
        <w:rPr>
          <w:del w:id="852" w:author="LeBoldus, Jared" w:date="2022-11-04T10:35:00Z"/>
        </w:rPr>
      </w:pPr>
      <w:r>
        <w:rPr>
          <w:rFonts w:eastAsia="NSimSun" w:cs="Lucida Sans"/>
          <w:kern w:val="2"/>
          <w:sz w:val="24"/>
          <w:szCs w:val="24"/>
          <w:lang w:val="en-US" w:eastAsia="zh-CN" w:bidi="hi-IN"/>
        </w:rPr>
        <w:tab/>
        <w:t>Five</w:t>
      </w:r>
      <w:r>
        <w:rPr>
          <w:sz w:val="24"/>
          <w:szCs w:val="24"/>
        </w:rPr>
        <w:t xml:space="preserve"> treatments were randomly assigned to plots in each disease severity </w:t>
      </w:r>
      <w:r>
        <w:rPr>
          <w:rFonts w:eastAsia="NSimSun" w:cs="Lucida Sans"/>
          <w:kern w:val="2"/>
          <w:sz w:val="24"/>
          <w:szCs w:val="24"/>
          <w:lang w:val="en-US" w:eastAsia="zh-CN" w:bidi="hi-IN"/>
        </w:rPr>
        <w:t>block</w:t>
      </w:r>
      <w:r>
        <w:rPr>
          <w:sz w:val="24"/>
          <w:szCs w:val="24"/>
        </w:rPr>
        <w:t xml:space="preserve">: </w:t>
      </w:r>
      <w:r>
        <w:rPr>
          <w:rFonts w:eastAsia="NSimSun" w:cs="Lucida Sans"/>
          <w:kern w:val="2"/>
          <w:sz w:val="24"/>
          <w:szCs w:val="24"/>
          <w:lang w:val="en-US" w:eastAsia="zh-CN" w:bidi="hi-IN"/>
        </w:rPr>
        <w:t>A) 12</w:t>
      </w:r>
      <w:del w:id="847" w:author="LeBoldus, Jared" w:date="2022-11-04T10:14:00Z">
        <w:r>
          <w:rPr>
            <w:rFonts w:eastAsia="NSimSun" w:cs="Lucida Sans"/>
            <w:kern w:val="2"/>
            <w:sz w:val="24"/>
            <w:szCs w:val="24"/>
            <w:lang w:val="en-US" w:eastAsia="zh-CN" w:bidi="hi-IN"/>
          </w:rPr>
          <w:delText xml:space="preserve"> </w:delText>
        </w:r>
      </w:del>
      <w:del w:id="848" w:author="LeBoldus, Jared" w:date="2022-11-04T10:35:00Z">
        <w:r>
          <w:rPr>
            <w:rFonts w:eastAsia="NSimSun" w:cs="Lucida Sans"/>
            <w:kern w:val="2"/>
            <w:sz w:val="24"/>
            <w:szCs w:val="24"/>
            <w:lang w:val="en-US" w:eastAsia="zh-CN" w:bidi="hi-IN"/>
          </w:rPr>
          <w:delText xml:space="preserve">year rotation of red alder followed by Douglas-fir; B) 12 year rotation of cottonwood followed by Douglas-fir; C) immediate planting of Douglas-fir; D) 25 year red alder to Douglas-fir; and E) 25 year cottonwood to Douglas-fir. Five .02-hectare (8 m fixed radius) survey subplots were established within in each plot to include the maximum number of </w:delText>
        </w:r>
      </w:del>
      <w:del w:id="849" w:author="LeBoldus, Jared" w:date="2022-11-04T10:35:00Z">
        <w:r>
          <w:rPr>
            <w:rFonts w:eastAsia="NSimSun" w:cs="Lucida Sans"/>
            <w:i/>
            <w:iCs/>
            <w:kern w:val="2"/>
            <w:sz w:val="24"/>
            <w:szCs w:val="24"/>
            <w:lang w:val="en-US" w:eastAsia="zh-CN" w:bidi="hi-IN"/>
          </w:rPr>
          <w:delText>C. sulphurascens</w:delText>
        </w:r>
      </w:del>
      <w:del w:id="850" w:author="LeBoldus, Jared" w:date="2022-11-04T10:35:00Z">
        <w:r>
          <w:rPr>
            <w:rFonts w:eastAsia="NSimSun" w:cs="Lucida Sans"/>
            <w:kern w:val="2"/>
            <w:sz w:val="24"/>
            <w:szCs w:val="24"/>
            <w:lang w:val="en-US" w:eastAsia="zh-CN" w:bidi="hi-IN"/>
          </w:rPr>
          <w:delText xml:space="preserve"> infected stumps while maintaining a 4.8 m buffer from the plot boundary (Figure 2). Plot centers were marked with metal stakes and mapped in reference to chain grid and later using GPS</w:delText>
        </w:r>
      </w:del>
      <w:del w:id="851" w:author="LeBoldus, Jared" w:date="2022-11-04T10:35:00Z">
        <w:bookmarkStart w:id="13" w:name="move1184505441111111111111111111"/>
        <w:bookmarkEnd w:id="13"/>
        <w:r>
          <w:rPr>
            <w:rFonts w:eastAsia="NSimSun" w:cs="Lucida Sans"/>
            <w:kern w:val="2"/>
            <w:sz w:val="24"/>
            <w:szCs w:val="24"/>
            <w:lang w:val="en-US" w:eastAsia="zh-CN" w:bidi="hi-IN"/>
          </w:rPr>
          <w:delText>.</w:delText>
        </w:r>
      </w:del>
    </w:p>
    <w:p>
      <w:pPr>
        <w:pStyle w:val="Normal"/>
        <w:spacing w:lineRule="auto" w:line="480"/>
        <w:rPr>
          <w:rFonts w:eastAsia="NSimSun" w:cs="Lucida Sans"/>
          <w:kern w:val="2"/>
          <w:sz w:val="24"/>
          <w:szCs w:val="24"/>
          <w:lang w:val="en-US" w:eastAsia="zh-CN" w:bidi="hi-IN"/>
          <w:del w:id="870" w:author="LeBoldus, Jared" w:date="2022-11-04T10:39:00Z"/>
        </w:rPr>
      </w:pPr>
      <w:r>
        <w:rPr>
          <w:rFonts w:eastAsia="NSimSun" w:cs="Lucida Sans"/>
          <w:kern w:val="2"/>
          <w:sz w:val="24"/>
          <w:szCs w:val="24"/>
          <w:lang w:val="en-US" w:eastAsia="zh-CN" w:bidi="hi-IN"/>
        </w:rPr>
        <w:t xml:space="preserve">In the fall of 1974 through spring 1975, all plots were </w:t>
      </w:r>
      <w:del w:id="853" w:author="LeBoldus, Jared" w:date="2022-11-04T10:36:00Z">
        <w:r>
          <w:rPr>
            <w:rFonts w:eastAsia="NSimSun" w:cs="Lucida Sans"/>
            <w:kern w:val="2"/>
            <w:sz w:val="24"/>
            <w:szCs w:val="24"/>
            <w:lang w:val="en-US" w:eastAsia="zh-CN" w:bidi="hi-IN"/>
          </w:rPr>
          <w:delText xml:space="preserve">stocked </w:delText>
        </w:r>
      </w:del>
      <w:ins w:id="854" w:author="LeBoldus, Jared" w:date="2022-11-04T10:36:00Z">
        <w:r>
          <w:rPr>
            <w:rFonts w:eastAsia="NSimSun" w:cs="Lucida Sans"/>
            <w:kern w:val="2"/>
            <w:sz w:val="24"/>
            <w:szCs w:val="24"/>
            <w:lang w:val="en-US" w:eastAsia="zh-CN" w:bidi="hi-IN"/>
          </w:rPr>
          <w:t xml:space="preserve">planted </w:t>
        </w:r>
      </w:ins>
      <w:r>
        <w:rPr>
          <w:rFonts w:eastAsia="NSimSun" w:cs="Lucida Sans"/>
          <w:kern w:val="2"/>
          <w:sz w:val="24"/>
          <w:szCs w:val="24"/>
          <w:lang w:val="en-US" w:eastAsia="zh-CN" w:bidi="hi-IN"/>
        </w:rPr>
        <w:t>at 2.4 m x 2.4 m spacing (</w:t>
      </w:r>
      <w:r>
        <w:rPr>
          <w:rFonts w:eastAsia="NSimSun" w:cs="Lucida Sans"/>
          <w:kern w:val="2"/>
          <w:sz w:val="24"/>
          <w:szCs w:val="24"/>
          <w:lang w:val="en-US" w:eastAsia="zh-CN" w:bidi="hi-IN"/>
        </w:rPr>
        <w:t>1700</w:t>
      </w:r>
      <w:r>
        <w:rPr>
          <w:rFonts w:eastAsia="NSimSun" w:cs="Lucida Sans"/>
          <w:kern w:val="2"/>
          <w:sz w:val="24"/>
          <w:szCs w:val="24"/>
          <w:lang w:val="en-US" w:eastAsia="zh-CN" w:bidi="hi-IN"/>
        </w:rPr>
        <w:t xml:space="preserve"> trees/ hectare, 34 trees/subplot) with 1-year old seedlings of </w:t>
      </w:r>
      <w:del w:id="855" w:author="LeBoldus, Jared" w:date="2022-11-04T10:36:00Z">
        <w:r>
          <w:rPr>
            <w:rFonts w:eastAsia="NSimSun" w:cs="Lucida Sans"/>
            <w:kern w:val="2"/>
            <w:sz w:val="24"/>
            <w:szCs w:val="24"/>
            <w:lang w:val="en-US" w:eastAsia="zh-CN" w:bidi="hi-IN"/>
          </w:rPr>
          <w:delText>their respective</w:delText>
        </w:r>
      </w:del>
      <w:ins w:id="856" w:author="LeBoldus, Jared" w:date="2022-11-04T10:36:00Z">
        <w:r>
          <w:rPr>
            <w:rFonts w:eastAsia="NSimSun" w:cs="Lucida Sans"/>
            <w:kern w:val="2"/>
            <w:sz w:val="24"/>
            <w:szCs w:val="24"/>
            <w:lang w:val="en-US" w:eastAsia="zh-CN" w:bidi="hi-IN"/>
          </w:rPr>
          <w:t>the different</w:t>
        </w:r>
      </w:ins>
      <w:r>
        <w:rPr>
          <w:rFonts w:eastAsia="NSimSun" w:cs="Lucida Sans"/>
          <w:kern w:val="2"/>
          <w:sz w:val="24"/>
          <w:szCs w:val="24"/>
          <w:lang w:val="en-US" w:eastAsia="zh-CN" w:bidi="hi-IN"/>
        </w:rPr>
        <w:t xml:space="preserve"> species </w:t>
      </w:r>
      <w:r>
        <w:rPr>
          <w:rFonts w:eastAsia="NSimSun" w:cs="Lucida Sans"/>
          <w:kern w:val="2"/>
          <w:sz w:val="24"/>
          <w:szCs w:val="24"/>
          <w:lang w:val="en-US" w:eastAsia="zh-CN" w:bidi="hi-IN"/>
        </w:rPr>
        <w:t>(Brown Seed Company, Vancouver, WA)</w:t>
      </w:r>
      <w:r>
        <w:rPr>
          <w:rFonts w:eastAsia="NSimSun" w:cs="Lucida Sans"/>
          <w:kern w:val="2"/>
          <w:sz w:val="24"/>
          <w:szCs w:val="24"/>
          <w:lang w:val="en-US" w:eastAsia="zh-CN" w:bidi="hi-IN"/>
        </w:rPr>
        <w:t xml:space="preserve">. </w:t>
      </w:r>
      <w:del w:id="857" w:author="LeBoldus, Jared" w:date="2022-11-04T10:37:00Z">
        <w:r>
          <w:rPr>
            <w:rFonts w:eastAsia="NSimSun" w:cs="Lucida Sans"/>
            <w:kern w:val="2"/>
            <w:sz w:val="24"/>
            <w:szCs w:val="24"/>
            <w:lang w:val="en-US" w:eastAsia="zh-CN" w:bidi="hi-IN"/>
          </w:rPr>
          <w:delText>Stocking density was chosen to accommodate disease transmission via root proximity while allowing some room for growth over 10 years. Regenerating hardwoods were removed from Douglas-fir plots and vice versa</w:delText>
        </w:r>
      </w:del>
      <w:ins w:id="858" w:author="LeBoldus, Jared" w:date="2022-11-04T10:37:00Z">
        <w:r>
          <w:rPr>
            <w:rFonts w:eastAsia="NSimSun" w:cs="Lucida Sans"/>
            <w:kern w:val="2"/>
            <w:sz w:val="24"/>
            <w:szCs w:val="24"/>
            <w:lang w:val="en-US" w:eastAsia="zh-CN" w:bidi="hi-IN"/>
          </w:rPr>
          <w:t>Competing vegetation</w:t>
        </w:r>
      </w:ins>
      <w:ins w:id="859" w:author="LeBoldus, Jared" w:date="2022-11-04T10:38:00Z">
        <w:r>
          <w:rPr>
            <w:rFonts w:eastAsia="NSimSun" w:cs="Lucida Sans"/>
            <w:kern w:val="2"/>
            <w:sz w:val="24"/>
            <w:szCs w:val="24"/>
            <w:lang w:val="en-US" w:eastAsia="zh-CN" w:bidi="hi-IN"/>
          </w:rPr>
          <w:t>, defined as any plant that was not planted at the time of establishment</w:t>
        </w:r>
      </w:ins>
      <w:ins w:id="860" w:author="LeBoldus, Jared" w:date="2022-11-04T10:37:00Z">
        <w:r>
          <w:rPr>
            <w:rFonts w:eastAsia="NSimSun" w:cs="Lucida Sans"/>
            <w:kern w:val="2"/>
            <w:sz w:val="24"/>
            <w:szCs w:val="24"/>
            <w:lang w:val="en-US" w:eastAsia="zh-CN" w:bidi="hi-IN"/>
          </w:rPr>
          <w:t xml:space="preserve"> was removed </w:t>
        </w:r>
      </w:ins>
      <w:ins w:id="861" w:author="LeBoldus, Jared" w:date="2022-11-04T10:38:00Z">
        <w:r>
          <w:rPr>
            <w:rFonts w:eastAsia="NSimSun" w:cs="Lucida Sans"/>
            <w:kern w:val="2"/>
            <w:sz w:val="24"/>
            <w:szCs w:val="24"/>
            <w:lang w:val="en-US" w:eastAsia="zh-CN" w:bidi="hi-IN"/>
          </w:rPr>
          <w:t>by mechanical thinning</w:t>
        </w:r>
      </w:ins>
      <w:r>
        <w:rPr>
          <w:rFonts w:eastAsia="NSimSun" w:cs="Lucida Sans"/>
          <w:kern w:val="2"/>
          <w:sz w:val="24"/>
          <w:szCs w:val="24"/>
          <w:lang w:val="en-US" w:eastAsia="zh-CN" w:bidi="hi-IN"/>
        </w:rPr>
        <w:t>. For</w:t>
      </w:r>
      <w:ins w:id="862" w:author="LeBoldus, Jared" w:date="2022-11-04T10:39:00Z">
        <w:r>
          <w:rPr>
            <w:rFonts w:eastAsia="NSimSun" w:cs="Lucida Sans"/>
            <w:kern w:val="2"/>
            <w:sz w:val="24"/>
            <w:szCs w:val="24"/>
            <w:lang w:val="en-US" w:eastAsia="zh-CN" w:bidi="hi-IN"/>
          </w:rPr>
          <w:t xml:space="preserve"> the first two years following initial </w:t>
        </w:r>
      </w:ins>
      <w:r>
        <w:rPr>
          <w:rFonts w:eastAsia="NSimSun" w:cs="Lucida Sans"/>
          <w:kern w:val="2"/>
          <w:sz w:val="24"/>
          <w:szCs w:val="24"/>
          <w:lang w:val="en-US" w:eastAsia="zh-CN" w:bidi="hi-IN"/>
        </w:rPr>
        <w:t>e</w:t>
      </w:r>
      <w:ins w:id="863" w:author="Sarah Hoffman" w:date="2022-11-06T12:33:00Z">
        <w:r>
          <w:rPr>
            <w:rFonts w:eastAsia="NSimSun" w:cs="Lucida Sans"/>
            <w:kern w:val="2"/>
            <w:sz w:val="24"/>
            <w:szCs w:val="24"/>
            <w:lang w:val="en-US" w:eastAsia="zh-CN" w:bidi="hi-IN"/>
          </w:rPr>
          <w:t>stablishment</w:t>
        </w:r>
      </w:ins>
      <w:r>
        <w:rPr>
          <w:rFonts w:eastAsia="NSimSun" w:cs="Lucida Sans"/>
          <w:kern w:val="2"/>
          <w:sz w:val="24"/>
          <w:szCs w:val="24"/>
          <w:lang w:val="en-US" w:eastAsia="zh-CN" w:bidi="hi-IN"/>
        </w:rPr>
        <w:t xml:space="preserve"> </w:t>
      </w:r>
      <w:del w:id="864" w:author="LeBoldus, Jared" w:date="2022-11-04T10:39:00Z">
        <w:r>
          <w:rPr>
            <w:rFonts w:eastAsia="NSimSun" w:cs="Lucida Sans"/>
            <w:kern w:val="2"/>
            <w:sz w:val="24"/>
            <w:szCs w:val="24"/>
            <w:lang w:val="en-US" w:eastAsia="zh-CN" w:bidi="hi-IN"/>
          </w:rPr>
          <w:delText xml:space="preserve">a duration of two years </w:delText>
        </w:r>
      </w:del>
      <w:r>
        <w:rPr>
          <w:rFonts w:eastAsia="NSimSun" w:cs="Lucida Sans"/>
          <w:kern w:val="2"/>
          <w:sz w:val="24"/>
          <w:szCs w:val="24"/>
          <w:lang w:val="en-US" w:eastAsia="zh-CN" w:bidi="hi-IN"/>
        </w:rPr>
        <w:t xml:space="preserve">dead seedlings were </w:t>
      </w:r>
      <w:del w:id="865" w:author="LeBoldus, Jared" w:date="2022-11-04T10:39:00Z">
        <w:r>
          <w:rPr>
            <w:rFonts w:eastAsia="NSimSun" w:cs="Lucida Sans"/>
            <w:kern w:val="2"/>
            <w:sz w:val="24"/>
            <w:szCs w:val="24"/>
            <w:lang w:val="en-US" w:eastAsia="zh-CN" w:bidi="hi-IN"/>
          </w:rPr>
          <w:delText xml:space="preserve">replaced </w:delText>
        </w:r>
      </w:del>
      <w:ins w:id="866" w:author="LeBoldus, Jared" w:date="2022-11-04T10:39:00Z">
        <w:r>
          <w:rPr>
            <w:rFonts w:eastAsia="NSimSun" w:cs="Lucida Sans"/>
            <w:kern w:val="2"/>
            <w:sz w:val="24"/>
            <w:szCs w:val="24"/>
            <w:lang w:val="en-US" w:eastAsia="zh-CN" w:bidi="hi-IN"/>
          </w:rPr>
          <w:t xml:space="preserve">replanted </w:t>
        </w:r>
      </w:ins>
      <w:del w:id="867" w:author="LeBoldus, Jared" w:date="2022-11-04T10:39:00Z">
        <w:r>
          <w:rPr>
            <w:rFonts w:eastAsia="NSimSun" w:cs="Lucida Sans"/>
            <w:kern w:val="2"/>
            <w:sz w:val="24"/>
            <w:szCs w:val="24"/>
            <w:lang w:val="en-US" w:eastAsia="zh-CN" w:bidi="hi-IN"/>
          </w:rPr>
          <w:delText xml:space="preserve">within and near subplots </w:delText>
        </w:r>
      </w:del>
      <w:r>
        <w:rPr>
          <w:rFonts w:eastAsia="NSimSun" w:cs="Lucida Sans"/>
          <w:kern w:val="2"/>
          <w:sz w:val="24"/>
          <w:szCs w:val="24"/>
          <w:lang w:val="en-US" w:eastAsia="zh-CN" w:bidi="hi-IN"/>
        </w:rPr>
        <w:t>to maintain stocking levels</w:t>
      </w:r>
      <w:del w:id="868" w:author="LeBoldus, Jared" w:date="2022-11-04T10:39:00Z">
        <w:r>
          <w:rPr>
            <w:rFonts w:eastAsia="NSimSun" w:cs="Lucida Sans"/>
            <w:kern w:val="2"/>
            <w:sz w:val="24"/>
            <w:szCs w:val="24"/>
            <w:lang w:val="en-US" w:eastAsia="zh-CN" w:bidi="hi-IN"/>
          </w:rPr>
          <w:delText xml:space="preserve"> during establishment</w:delText>
        </w:r>
      </w:del>
      <w:r>
        <w:rPr>
          <w:rFonts w:eastAsia="NSimSun" w:cs="Lucida Sans"/>
          <w:kern w:val="2"/>
          <w:sz w:val="24"/>
          <w:szCs w:val="24"/>
          <w:lang w:val="en-US" w:eastAsia="zh-CN" w:bidi="hi-IN"/>
        </w:rPr>
        <w:t>.</w:t>
      </w:r>
      <w:ins w:id="869" w:author="LeBoldus, Jared" w:date="2022-11-04T10:39:00Z">
        <w:r>
          <w:rPr>
            <w:rFonts w:eastAsia="NSimSun" w:cs="Lucida Sans"/>
            <w:kern w:val="2"/>
            <w:sz w:val="24"/>
            <w:szCs w:val="24"/>
            <w:lang w:val="en-US" w:eastAsia="zh-CN" w:bidi="hi-IN"/>
          </w:rPr>
          <w:t xml:space="preserve"> </w:t>
        </w:r>
      </w:ins>
    </w:p>
    <w:p>
      <w:pPr>
        <w:pStyle w:val="Normal"/>
        <w:spacing w:lineRule="auto" w:line="480"/>
        <w:rPr/>
      </w:pPr>
      <w:r>
        <w:rPr>
          <w:rFonts w:eastAsia="NSimSun" w:cs="Lucida Sans"/>
          <w:kern w:val="2"/>
          <w:sz w:val="24"/>
          <w:szCs w:val="24"/>
          <w:lang w:val="en-US" w:eastAsia="zh-CN" w:bidi="hi-IN"/>
        </w:rPr>
        <w:t>In the fall of 1986, the 12-year hardwood rotation plots</w:t>
      </w:r>
      <w:ins w:id="871" w:author="LeBoldus, Jared" w:date="2022-11-04T10:40:00Z">
        <w:r>
          <w:rPr>
            <w:rFonts w:eastAsia="NSimSun" w:cs="Lucida Sans"/>
            <w:kern w:val="2"/>
            <w:sz w:val="24"/>
            <w:szCs w:val="24"/>
            <w:lang w:val="en-US" w:eastAsia="zh-CN" w:bidi="hi-IN"/>
          </w:rPr>
          <w:t xml:space="preserve"> (Treatments A and B)</w:t>
        </w:r>
      </w:ins>
      <w:r>
        <w:rPr>
          <w:rFonts w:eastAsia="NSimSun" w:cs="Lucida Sans"/>
          <w:kern w:val="2"/>
          <w:sz w:val="24"/>
          <w:szCs w:val="24"/>
          <w:lang w:val="en-US" w:eastAsia="zh-CN" w:bidi="hi-IN"/>
        </w:rPr>
        <w:t xml:space="preserve"> </w:t>
      </w:r>
      <w:del w:id="872" w:author="LeBoldus, Jared" w:date="2022-11-04T10:40:00Z">
        <w:r>
          <w:rPr>
            <w:rFonts w:eastAsia="NSimSun" w:cs="Lucida Sans"/>
            <w:kern w:val="2"/>
            <w:sz w:val="24"/>
            <w:szCs w:val="24"/>
            <w:lang w:val="en-US" w:eastAsia="zh-CN" w:bidi="hi-IN"/>
          </w:rPr>
          <w:delText xml:space="preserve">(except red alder plots 1 and 3 which were missed) </w:delText>
        </w:r>
      </w:del>
      <w:r>
        <w:rPr>
          <w:rFonts w:eastAsia="NSimSun" w:cs="Lucida Sans"/>
          <w:kern w:val="2"/>
          <w:sz w:val="24"/>
          <w:szCs w:val="24"/>
          <w:lang w:val="en-US" w:eastAsia="zh-CN" w:bidi="hi-IN"/>
        </w:rPr>
        <w:t>were harvested and in</w:t>
      </w:r>
      <w:ins w:id="873" w:author="LeBoldus, Jared" w:date="2022-11-04T10:40:00Z">
        <w:r>
          <w:rPr>
            <w:rFonts w:eastAsia="NSimSun" w:cs="Lucida Sans"/>
            <w:kern w:val="2"/>
            <w:sz w:val="24"/>
            <w:szCs w:val="24"/>
            <w:lang w:val="en-US" w:eastAsia="zh-CN" w:bidi="hi-IN"/>
          </w:rPr>
          <w:t xml:space="preserve"> the</w:t>
        </w:r>
      </w:ins>
      <w:r>
        <w:rPr>
          <w:rFonts w:eastAsia="NSimSun" w:cs="Lucida Sans"/>
          <w:kern w:val="2"/>
          <w:sz w:val="24"/>
          <w:szCs w:val="24"/>
          <w:lang w:val="en-US" w:eastAsia="zh-CN" w:bidi="hi-IN"/>
        </w:rPr>
        <w:t xml:space="preserve"> spring </w:t>
      </w:r>
      <w:ins w:id="874" w:author="LeBoldus, Jared" w:date="2022-11-04T10:41:00Z">
        <w:r>
          <w:rPr>
            <w:rFonts w:eastAsia="NSimSun" w:cs="Lucida Sans"/>
            <w:kern w:val="2"/>
            <w:sz w:val="24"/>
            <w:szCs w:val="24"/>
            <w:lang w:val="en-US" w:eastAsia="zh-CN" w:bidi="hi-IN"/>
          </w:rPr>
          <w:t xml:space="preserve">of </w:t>
        </w:r>
      </w:ins>
      <w:r>
        <w:rPr>
          <w:rFonts w:eastAsia="NSimSun" w:cs="Lucida Sans"/>
          <w:kern w:val="2"/>
          <w:sz w:val="24"/>
          <w:szCs w:val="24"/>
          <w:lang w:val="en-US" w:eastAsia="zh-CN" w:bidi="hi-IN"/>
        </w:rPr>
        <w:t xml:space="preserve">1987 Douglas-fir was planted in those plots </w:t>
      </w:r>
      <w:del w:id="875" w:author="LeBoldus, Jared" w:date="2022-11-04T10:41:00Z">
        <w:r>
          <w:rPr>
            <w:rFonts w:eastAsia="NSimSun" w:cs="Lucida Sans"/>
            <w:kern w:val="2"/>
            <w:sz w:val="24"/>
            <w:szCs w:val="24"/>
            <w:lang w:val="en-US" w:eastAsia="zh-CN" w:bidi="hi-IN"/>
          </w:rPr>
          <w:delText xml:space="preserve">with the same </w:delText>
        </w:r>
      </w:del>
      <w:ins w:id="876" w:author="LeBoldus, Jared" w:date="2022-11-04T10:41:00Z">
        <w:r>
          <w:rPr>
            <w:rFonts w:eastAsia="NSimSun" w:cs="Lucida Sans"/>
            <w:kern w:val="2"/>
            <w:sz w:val="24"/>
            <w:szCs w:val="24"/>
            <w:lang w:val="en-US" w:eastAsia="zh-CN" w:bidi="hi-IN"/>
          </w:rPr>
          <w:t xml:space="preserve">at </w:t>
        </w:r>
      </w:ins>
      <w:r>
        <w:rPr>
          <w:rFonts w:eastAsia="NSimSun" w:cs="Lucida Sans"/>
          <w:kern w:val="2"/>
          <w:sz w:val="24"/>
          <w:szCs w:val="24"/>
          <w:lang w:val="en-US" w:eastAsia="zh-CN" w:bidi="hi-IN"/>
        </w:rPr>
        <w:t>2.4 m x 2.4 m spacing</w:t>
      </w:r>
      <w:ins w:id="877" w:author="LeBoldus, Jared" w:date="2022-11-04T10:41:00Z">
        <w:r>
          <w:rPr>
            <w:rFonts w:eastAsia="NSimSun" w:cs="Lucida Sans"/>
            <w:kern w:val="2"/>
            <w:sz w:val="24"/>
            <w:szCs w:val="24"/>
            <w:lang w:val="en-US" w:eastAsia="zh-CN" w:bidi="hi-IN"/>
          </w:rPr>
          <w:t>.</w:t>
        </w:r>
      </w:ins>
      <w:r>
        <w:rPr>
          <w:rFonts w:eastAsia="NSimSun" w:cs="Lucida Sans"/>
          <w:kern w:val="2"/>
          <w:sz w:val="24"/>
          <w:szCs w:val="24"/>
          <w:lang w:val="en-US" w:eastAsia="zh-CN" w:bidi="hi-IN"/>
        </w:rPr>
        <w:t xml:space="preserve"> </w:t>
      </w:r>
      <w:del w:id="878" w:author="LeBoldus, Jared" w:date="2022-11-04T10:41:00Z">
        <w:r>
          <w:rPr>
            <w:rFonts w:eastAsia="NSimSun" w:cs="Lucida Sans"/>
            <w:kern w:val="2"/>
            <w:sz w:val="24"/>
            <w:szCs w:val="24"/>
            <w:lang w:val="en-US" w:eastAsia="zh-CN" w:bidi="hi-IN"/>
          </w:rPr>
          <w:delText xml:space="preserve">and replacement of initial mortality.  </w:delText>
        </w:r>
      </w:del>
      <w:del w:id="879" w:author="LeBoldus, Jared" w:date="2022-11-04T10:43:00Z">
        <w:r>
          <w:rPr>
            <w:rFonts w:eastAsia="NSimSun" w:cs="Lucida Sans"/>
            <w:kern w:val="2"/>
            <w:sz w:val="24"/>
            <w:szCs w:val="24"/>
            <w:lang w:val="en-US" w:eastAsia="zh-CN" w:bidi="hi-IN"/>
          </w:rPr>
          <w:delText>Extensive re-sprouting of hardwoods occurred following harvest, and thus suppression of these sprouts using cutting and herbicide was conducted</w:delText>
        </w:r>
      </w:del>
      <w:ins w:id="880" w:author="LeBoldus, Jared" w:date="2022-11-04T10:43:00Z">
        <w:r>
          <w:rPr>
            <w:rFonts w:eastAsia="NSimSun" w:cs="Lucida Sans"/>
            <w:kern w:val="2"/>
            <w:sz w:val="24"/>
            <w:szCs w:val="24"/>
            <w:lang w:val="en-US" w:eastAsia="zh-CN" w:bidi="hi-IN"/>
          </w:rPr>
          <w:t>Hardwood resprouting was managed by mechanical thinning and herbicide treatment</w:t>
        </w:r>
      </w:ins>
      <w:r>
        <w:rPr>
          <w:rFonts w:eastAsia="NSimSun" w:cs="Lucida Sans"/>
          <w:kern w:val="2"/>
          <w:sz w:val="24"/>
          <w:szCs w:val="24"/>
          <w:lang w:val="en-US" w:eastAsia="zh-CN" w:bidi="hi-IN"/>
        </w:rPr>
        <w:t xml:space="preserve"> </w:t>
      </w:r>
      <w:r>
        <w:rPr>
          <w:rFonts w:eastAsia="NSimSun" w:cs="Lucida Sans"/>
          <w:kern w:val="2"/>
          <w:sz w:val="24"/>
          <w:szCs w:val="24"/>
          <w:lang w:val="en-US" w:eastAsia="zh-CN" w:bidi="hi-IN"/>
        </w:rPr>
        <w:t xml:space="preserve">(3% “Crossbow” 2-4-D in diesel oil) </w:t>
      </w:r>
      <w:r>
        <w:rPr>
          <w:rFonts w:eastAsia="NSimSun" w:cs="Lucida Sans"/>
          <w:kern w:val="2"/>
          <w:sz w:val="24"/>
          <w:szCs w:val="24"/>
          <w:lang w:val="en-US" w:eastAsia="zh-CN" w:bidi="hi-IN"/>
        </w:rPr>
        <w:t>in 1990 and</w:t>
      </w:r>
      <w:ins w:id="881" w:author="LeBoldus, Jared" w:date="2022-11-04T10:43:00Z">
        <w:r>
          <w:rPr>
            <w:rFonts w:eastAsia="NSimSun" w:cs="Lucida Sans"/>
            <w:kern w:val="2"/>
            <w:sz w:val="24"/>
            <w:szCs w:val="24"/>
            <w:lang w:val="en-US" w:eastAsia="zh-CN" w:bidi="hi-IN"/>
          </w:rPr>
          <w:t xml:space="preserve"> again in</w:t>
        </w:r>
      </w:ins>
      <w:r>
        <w:rPr>
          <w:rFonts w:eastAsia="NSimSun" w:cs="Lucida Sans"/>
          <w:kern w:val="2"/>
          <w:sz w:val="24"/>
          <w:szCs w:val="24"/>
          <w:lang w:val="en-US" w:eastAsia="zh-CN" w:bidi="hi-IN"/>
        </w:rPr>
        <w:t xml:space="preserve"> 1992. In the fall of 1999 and spring of 2000, the 25-year hardwood plots were harvested, and Douglas-fir was again planted with 2.4 m x 2.4 m x spacing and replacement of initial mortality. The site was clearcut in 2020 when the first Douglas-fir replanted were 45 years old.</w:t>
      </w:r>
    </w:p>
    <w:p>
      <w:pPr>
        <w:pStyle w:val="Normal"/>
        <w:spacing w:lineRule="auto" w:line="480"/>
        <w:ind w:hanging="0"/>
        <w:rPr>
          <w:rFonts w:eastAsia="NSimSun" w:cs="Lucida Sans"/>
          <w:kern w:val="2"/>
          <w:sz w:val="24"/>
          <w:szCs w:val="24"/>
          <w:lang w:val="en-US" w:eastAsia="zh-CN" w:bidi="hi-IN"/>
        </w:rPr>
      </w:pPr>
      <w:r>
        <w:rPr>
          <w:rFonts w:eastAsia="NSimSun" w:cs="Lucida Sans"/>
          <w:b/>
          <w:iCs/>
          <w:kern w:val="2"/>
          <w:sz w:val="24"/>
          <w:szCs w:val="24"/>
          <w:lang w:val="en-US" w:eastAsia="zh-CN" w:bidi="hi-IN"/>
        </w:rPr>
        <w:tab/>
      </w:r>
      <w:r>
        <w:rPr>
          <w:rFonts w:eastAsia="NSimSun" w:cs="Lucida Sans"/>
          <w:kern w:val="2"/>
          <w:sz w:val="24"/>
          <w:szCs w:val="24"/>
          <w:lang w:val="en-US" w:eastAsia="zh-CN" w:bidi="hi-IN"/>
        </w:rPr>
        <w:t xml:space="preserve">Tree positions were mapped, diameters measured, and </w:t>
      </w:r>
      <w:r>
        <w:rPr>
          <w:rFonts w:eastAsia="NSimSun" w:cs="Lucida Sans"/>
          <w:kern w:val="2"/>
          <w:sz w:val="24"/>
          <w:szCs w:val="24"/>
          <w:lang w:val="en-US" w:eastAsia="zh-CN" w:bidi="hi-IN"/>
        </w:rPr>
        <w:t xml:space="preserve">survival status, suppression, and root rot symptoms </w:t>
      </w:r>
      <w:r>
        <w:rPr>
          <w:rFonts w:eastAsia="NSimSun" w:cs="Lucida Sans"/>
          <w:kern w:val="2"/>
          <w:sz w:val="24"/>
          <w:szCs w:val="24"/>
          <w:lang w:val="en-US" w:eastAsia="zh-CN" w:bidi="hi-IN"/>
        </w:rPr>
        <w:t>recorded multiple times: 1986 (</w:t>
      </w:r>
      <w:r>
        <w:rPr>
          <w:rFonts w:eastAsia="NSimSun" w:cs="Lucida Sans"/>
          <w:kern w:val="2"/>
          <w:sz w:val="24"/>
          <w:szCs w:val="24"/>
          <w:lang w:val="en-US" w:eastAsia="zh-CN" w:bidi="hi-IN"/>
        </w:rPr>
        <w:t>DF treatment</w:t>
      </w:r>
      <w:r>
        <w:rPr>
          <w:rFonts w:eastAsia="NSimSun" w:cs="Lucida Sans"/>
          <w:kern w:val="2"/>
          <w:sz w:val="24"/>
          <w:szCs w:val="24"/>
          <w:lang w:val="en-US" w:eastAsia="zh-CN" w:bidi="hi-IN"/>
        </w:rPr>
        <w:t>); 1995 (</w:t>
      </w:r>
      <w:r>
        <w:rPr>
          <w:rFonts w:eastAsia="NSimSun" w:cs="Lucida Sans"/>
          <w:kern w:val="2"/>
          <w:sz w:val="24"/>
          <w:szCs w:val="24"/>
          <w:lang w:val="en-US" w:eastAsia="zh-CN" w:bidi="hi-IN"/>
        </w:rPr>
        <w:t>RA12, CW12 treatments</w:t>
      </w:r>
      <w:r>
        <w:rPr>
          <w:rFonts w:eastAsia="NSimSun" w:cs="Lucida Sans"/>
          <w:kern w:val="2"/>
          <w:sz w:val="24"/>
          <w:szCs w:val="24"/>
          <w:lang w:val="en-US" w:eastAsia="zh-CN" w:bidi="hi-IN"/>
        </w:rPr>
        <w:t xml:space="preserve">); 2011 (all </w:t>
      </w:r>
      <w:r>
        <w:rPr>
          <w:rFonts w:eastAsia="NSimSun" w:cs="Lucida Sans"/>
          <w:kern w:val="2"/>
          <w:sz w:val="24"/>
          <w:szCs w:val="24"/>
          <w:lang w:val="en-US" w:eastAsia="zh-CN" w:bidi="hi-IN"/>
        </w:rPr>
        <w:t>treatments</w:t>
      </w:r>
      <w:r>
        <w:rPr>
          <w:rFonts w:eastAsia="NSimSun" w:cs="Lucida Sans"/>
          <w:kern w:val="2"/>
          <w:sz w:val="24"/>
          <w:szCs w:val="24"/>
          <w:lang w:val="en-US" w:eastAsia="zh-CN" w:bidi="hi-IN"/>
        </w:rPr>
        <w:t xml:space="preserve">); and 2020 (all </w:t>
      </w:r>
      <w:r>
        <w:rPr>
          <w:rFonts w:eastAsia="NSimSun" w:cs="Lucida Sans"/>
          <w:kern w:val="2"/>
          <w:sz w:val="24"/>
          <w:szCs w:val="24"/>
          <w:lang w:val="en-US" w:eastAsia="zh-CN" w:bidi="hi-IN"/>
        </w:rPr>
        <w:t>treatments</w:t>
      </w:r>
      <w:r>
        <w:rPr>
          <w:rFonts w:eastAsia="NSimSun" w:cs="Lucida Sans"/>
          <w:kern w:val="2"/>
          <w:sz w:val="24"/>
          <w:szCs w:val="24"/>
          <w:lang w:val="en-US" w:eastAsia="zh-CN" w:bidi="hi-IN"/>
        </w:rPr>
        <w:t>).</w:t>
      </w:r>
    </w:p>
    <w:p>
      <w:pPr>
        <w:pStyle w:val="Normal"/>
        <w:spacing w:lineRule="auto" w:line="480"/>
        <w:rPr>
          <w:b/>
          <w:b/>
          <w:iCs/>
          <w:sz w:val="24"/>
          <w:szCs w:val="24"/>
        </w:rPr>
      </w:pPr>
      <w:r>
        <w:rPr>
          <w:b/>
          <w:iCs/>
          <w:sz w:val="24"/>
          <w:szCs w:val="24"/>
        </w:rPr>
      </w:r>
    </w:p>
    <w:p>
      <w:pPr>
        <w:pStyle w:val="Normal"/>
        <w:spacing w:lineRule="auto" w:line="480"/>
        <w:rPr>
          <w:iCs/>
          <w:sz w:val="24"/>
          <w:szCs w:val="24"/>
          <w:del w:id="883" w:author="Shawn McMurtrey" w:date="2022-11-10T11:56:00Z"/>
        </w:rPr>
      </w:pPr>
      <w:r>
        <w:rPr>
          <w:rFonts w:eastAsia="NSimSun" w:cs="Lucida Sans"/>
          <w:b/>
          <w:bCs/>
          <w:iCs/>
          <w:kern w:val="2"/>
          <w:sz w:val="24"/>
          <w:szCs w:val="24"/>
          <w:lang w:val="en-US" w:eastAsia="zh-CN" w:bidi="hi-IN"/>
        </w:rPr>
        <w:t xml:space="preserve">2.2.4 </w:t>
      </w:r>
      <w:r>
        <w:rPr>
          <w:rFonts w:eastAsia="NSimSun" w:cs="Lucida Sans"/>
          <w:b/>
          <w:bCs/>
          <w:iCs/>
          <w:kern w:val="2"/>
          <w:sz w:val="24"/>
          <w:szCs w:val="24"/>
          <w:lang w:val="en-US" w:eastAsia="zh-CN" w:bidi="hi-IN"/>
        </w:rPr>
        <w:t>Statistical</w:t>
      </w:r>
      <w:r>
        <w:rPr>
          <w:rFonts w:eastAsia="NSimSun" w:cs="Lucida Sans"/>
          <w:b/>
          <w:bCs/>
          <w:iCs/>
          <w:kern w:val="2"/>
          <w:sz w:val="24"/>
          <w:szCs w:val="24"/>
          <w:lang w:val="en-US" w:eastAsia="zh-CN" w:bidi="hi-IN"/>
        </w:rPr>
        <w:t xml:space="preserve"> </w:t>
      </w:r>
      <w:del w:id="882" w:author="LeBoldus, Jared" w:date="2022-11-04T14:31:00Z">
        <w:r>
          <w:rPr>
            <w:rFonts w:eastAsia="NSimSun" w:cs="Lucida Sans"/>
            <w:b/>
            <w:bCs/>
            <w:iCs/>
            <w:kern w:val="2"/>
            <w:sz w:val="24"/>
            <w:szCs w:val="24"/>
            <w:lang w:val="en-US" w:eastAsia="zh-CN" w:bidi="hi-IN"/>
          </w:rPr>
          <w:delText xml:space="preserve">cleaning and </w:delText>
        </w:r>
      </w:del>
      <w:r>
        <w:rPr>
          <w:rFonts w:eastAsia="NSimSun" w:cs="Lucida Sans"/>
          <w:b/>
          <w:bCs/>
          <w:iCs/>
          <w:kern w:val="2"/>
          <w:sz w:val="24"/>
          <w:szCs w:val="24"/>
          <w:lang w:val="en-US" w:eastAsia="zh-CN" w:bidi="hi-IN"/>
        </w:rPr>
        <w:t>analysis</w:t>
      </w:r>
    </w:p>
    <w:p>
      <w:pPr>
        <w:pStyle w:val="Normal"/>
        <w:spacing w:lineRule="auto" w:line="480"/>
        <w:rPr>
          <w:iCs/>
          <w:sz w:val="24"/>
          <w:szCs w:val="24"/>
        </w:rPr>
      </w:pPr>
      <w:r>
        <w:rPr/>
      </w:r>
    </w:p>
    <w:p>
      <w:pPr>
        <w:pStyle w:val="Normal"/>
        <w:spacing w:lineRule="auto" w:line="480"/>
        <w:rPr>
          <w:b/>
          <w:b/>
          <w:iCs/>
          <w:sz w:val="24"/>
          <w:szCs w:val="24"/>
        </w:rPr>
      </w:pPr>
      <w:ins w:id="884" w:author="Shawn McMurtrey" w:date="2022-11-15T20:26:00Z">
        <w:r>
          <w:rPr>
            <w:iCs/>
            <w:sz w:val="24"/>
            <w:szCs w:val="24"/>
          </w:rPr>
          <w:t>D</w:t>
        </w:r>
      </w:ins>
      <w:del w:id="885" w:author="Shawn McMurtrey" w:date="2022-11-10T11:56:00Z">
        <w:r>
          <w:rPr>
            <w:iCs/>
            <w:sz w:val="24"/>
            <w:szCs w:val="24"/>
          </w:rPr>
          <w:delText>Because D</w:delText>
        </w:r>
      </w:del>
      <w:r>
        <w:rPr>
          <w:iCs/>
          <w:sz w:val="24"/>
          <w:szCs w:val="24"/>
        </w:rPr>
        <w:t xml:space="preserve">ouglas-fir replanting was staggered for the different </w:t>
      </w:r>
      <w:del w:id="886" w:author="LeBoldus, Jared" w:date="2022-11-04T14:32:00Z">
        <w:r>
          <w:rPr>
            <w:iCs/>
            <w:sz w:val="24"/>
            <w:szCs w:val="24"/>
          </w:rPr>
          <w:delText xml:space="preserve">rotation </w:delText>
        </w:r>
      </w:del>
      <w:r>
        <w:rPr>
          <w:iCs/>
          <w:sz w:val="24"/>
          <w:szCs w:val="24"/>
        </w:rPr>
        <w:t xml:space="preserve">treatments </w:t>
      </w:r>
      <w:del w:id="887" w:author="LeBoldus, Jared" w:date="2022-11-04T14:32:00Z">
        <w:r>
          <w:rPr>
            <w:iCs/>
            <w:sz w:val="24"/>
            <w:szCs w:val="24"/>
          </w:rPr>
          <w:delText>and</w:delText>
        </w:r>
      </w:del>
      <w:r>
        <w:rPr>
          <w:iCs/>
          <w:sz w:val="24"/>
          <w:szCs w:val="24"/>
        </w:rPr>
        <w:t xml:space="preserve">and </w:t>
      </w:r>
      <w:r>
        <w:rPr>
          <w:iCs/>
          <w:sz w:val="24"/>
          <w:szCs w:val="24"/>
        </w:rPr>
        <w:t xml:space="preserve">stand measurements </w:t>
      </w:r>
      <w:del w:id="888" w:author="LeBoldus, Jared" w:date="2022-11-04T14:32:00Z">
        <w:r>
          <w:rPr>
            <w:iCs/>
            <w:sz w:val="24"/>
            <w:szCs w:val="24"/>
          </w:rPr>
          <w:delText xml:space="preserve">were </w:delText>
        </w:r>
      </w:del>
      <w:ins w:id="889" w:author="LeBoldus, Jared" w:date="2022-11-04T14:32:00Z">
        <w:r>
          <w:rPr>
            <w:iCs/>
            <w:sz w:val="24"/>
            <w:szCs w:val="24"/>
          </w:rPr>
          <w:t xml:space="preserve">did </w:t>
        </w:r>
      </w:ins>
      <w:r>
        <w:rPr>
          <w:iCs/>
          <w:sz w:val="24"/>
          <w:szCs w:val="24"/>
        </w:rPr>
        <w:t xml:space="preserve">not </w:t>
      </w:r>
      <w:del w:id="890" w:author="LeBoldus, Jared" w:date="2022-11-04T14:32:00Z">
        <w:r>
          <w:rPr>
            <w:iCs/>
            <w:sz w:val="24"/>
            <w:szCs w:val="24"/>
          </w:rPr>
          <w:delText xml:space="preserve">at </w:delText>
        </w:r>
      </w:del>
      <w:del w:id="891" w:author="Shawn McMurtrey" w:date="2022-11-15T20:25:00Z">
        <w:r>
          <w:rPr>
            <w:iCs/>
            <w:sz w:val="24"/>
            <w:szCs w:val="24"/>
          </w:rPr>
          <w:delText>occurr</w:delText>
        </w:r>
      </w:del>
      <w:ins w:id="892" w:author="Shawn McMurtrey" w:date="2022-11-15T20:25:00Z">
        <w:r>
          <w:rPr>
            <w:iCs/>
            <w:sz w:val="24"/>
            <w:szCs w:val="24"/>
          </w:rPr>
          <w:t>occur</w:t>
        </w:r>
      </w:ins>
      <w:ins w:id="893" w:author="LeBoldus, Jared" w:date="2022-11-04T14:32:00Z">
        <w:r>
          <w:rPr>
            <w:iCs/>
            <w:sz w:val="24"/>
            <w:szCs w:val="24"/>
          </w:rPr>
          <w:t xml:space="preserve"> at </w:t>
        </w:r>
      </w:ins>
      <w:r>
        <w:rPr>
          <w:iCs/>
          <w:sz w:val="24"/>
          <w:szCs w:val="24"/>
        </w:rPr>
        <w:t>consistent ages across all treatments</w:t>
      </w:r>
      <w:ins w:id="894" w:author="Shawn McMurtrey" w:date="2022-11-10T11:56:00Z">
        <w:r>
          <w:rPr>
            <w:iCs/>
            <w:sz w:val="24"/>
            <w:szCs w:val="24"/>
          </w:rPr>
          <w:t>.</w:t>
        </w:r>
      </w:ins>
      <w:ins w:id="895" w:author="Shawn McMurtrey" w:date="2022-11-15T20:25:00Z">
        <w:r>
          <w:rPr>
            <w:iCs/>
            <w:sz w:val="24"/>
            <w:szCs w:val="24"/>
          </w:rPr>
          <w:t xml:space="preserve"> </w:t>
        </w:r>
      </w:ins>
      <w:del w:id="896" w:author="Shawn McMurtrey" w:date="2022-11-10T11:56:00Z">
        <w:r>
          <w:rPr>
            <w:iCs/>
            <w:sz w:val="24"/>
            <w:szCs w:val="24"/>
          </w:rPr>
          <w:delText>,</w:delText>
        </w:r>
      </w:del>
      <w:ins w:id="897" w:author="Shawn McMurtrey" w:date="2022-11-10T11:56:00Z">
        <w:r>
          <w:rPr>
            <w:iCs/>
            <w:sz w:val="24"/>
            <w:szCs w:val="24"/>
          </w:rPr>
          <w:t xml:space="preserve">For </w:t>
        </w:r>
      </w:ins>
      <w:r>
        <w:rPr>
          <w:iCs/>
          <w:sz w:val="24"/>
          <w:szCs w:val="24"/>
        </w:rPr>
        <w:t>these</w:t>
      </w:r>
      <w:ins w:id="898" w:author="Shawn McMurtrey" w:date="2022-11-10T11:56:00Z">
        <w:r>
          <w:rPr>
            <w:iCs/>
            <w:sz w:val="24"/>
            <w:szCs w:val="24"/>
          </w:rPr>
          <w:t xml:space="preserve"> reason</w:t>
        </w:r>
      </w:ins>
      <w:r>
        <w:rPr>
          <w:iCs/>
          <w:sz w:val="24"/>
          <w:szCs w:val="24"/>
        </w:rPr>
        <w:t>s</w:t>
      </w:r>
      <w:ins w:id="899" w:author="Shawn McMurtrey" w:date="2022-11-10T11:56:00Z">
        <w:r>
          <w:rPr>
            <w:iCs/>
            <w:sz w:val="24"/>
            <w:szCs w:val="24"/>
          </w:rPr>
          <w:t>,</w:t>
        </w:r>
      </w:ins>
      <w:r>
        <w:rPr>
          <w:iCs/>
          <w:sz w:val="24"/>
          <w:szCs w:val="24"/>
        </w:rPr>
        <w:t xml:space="preserve"> the measurements were </w:t>
      </w:r>
      <w:del w:id="900" w:author="LeBoldus, Jared" w:date="2022-11-04T14:34:00Z">
        <w:r>
          <w:rPr>
            <w:iCs/>
            <w:sz w:val="24"/>
            <w:szCs w:val="24"/>
          </w:rPr>
          <w:delText xml:space="preserve">binned </w:delText>
        </w:r>
      </w:del>
      <w:ins w:id="901" w:author="LeBoldus, Jared" w:date="2022-11-04T14:34:00Z">
        <w:r>
          <w:rPr>
            <w:iCs/>
            <w:sz w:val="24"/>
            <w:szCs w:val="24"/>
          </w:rPr>
          <w:t xml:space="preserve">combined </w:t>
        </w:r>
      </w:ins>
      <w:r>
        <w:rPr>
          <w:iCs/>
          <w:sz w:val="24"/>
          <w:szCs w:val="24"/>
        </w:rPr>
        <w:t xml:space="preserve">into three </w:t>
      </w:r>
      <w:r>
        <w:rPr>
          <w:iCs/>
          <w:sz w:val="24"/>
          <w:szCs w:val="24"/>
        </w:rPr>
        <w:t>stand age</w:t>
      </w:r>
      <w:r>
        <w:rPr>
          <w:iCs/>
          <w:sz w:val="24"/>
          <w:szCs w:val="24"/>
        </w:rPr>
        <w:t xml:space="preserve"> </w:t>
      </w:r>
      <w:del w:id="902" w:author="LeBoldus, Jared" w:date="2022-11-04T14:35:00Z">
        <w:r>
          <w:rPr>
            <w:iCs/>
            <w:sz w:val="24"/>
            <w:szCs w:val="24"/>
          </w:rPr>
          <w:delText>periods</w:delText>
        </w:r>
      </w:del>
      <w:ins w:id="903" w:author="LeBoldus, Jared" w:date="2022-11-04T14:35:00Z">
        <w:r>
          <w:rPr>
            <w:iCs/>
            <w:sz w:val="24"/>
            <w:szCs w:val="24"/>
          </w:rPr>
          <w:t>categories</w:t>
        </w:r>
      </w:ins>
      <w:r>
        <w:rPr>
          <w:iCs/>
          <w:sz w:val="24"/>
          <w:szCs w:val="24"/>
        </w:rPr>
        <w:t xml:space="preserve">: early, middle, and late </w:t>
      </w:r>
      <w:r>
        <w:rPr>
          <w:iCs/>
          <w:sz w:val="24"/>
          <w:szCs w:val="24"/>
        </w:rPr>
        <w:t>(Table 1)</w:t>
      </w:r>
      <w:r>
        <w:rPr>
          <w:iCs/>
          <w:sz w:val="24"/>
          <w:szCs w:val="24"/>
        </w:rPr>
        <w:t xml:space="preserve">.  Slopes (annual increments) across the time periods were used as response variables in the statistical analysis of growth and mortality. </w:t>
      </w:r>
      <w:r>
        <w:rPr>
          <w:iCs/>
          <w:sz w:val="24"/>
          <w:szCs w:val="24"/>
        </w:rPr>
        <w:t>Additionally, mortality was further divided by susptected cause: unknown/other, laminated root rot, and suppression. Annual rates of these cause-specific mortalities were also used as dependent variables in the statistical tests.</w:t>
      </w:r>
    </w:p>
    <w:p>
      <w:pPr>
        <w:pStyle w:val="Normal"/>
        <w:spacing w:lineRule="auto" w:line="480"/>
        <w:rPr>
          <w:b/>
          <w:b/>
          <w:iCs/>
          <w:sz w:val="24"/>
          <w:szCs w:val="24"/>
        </w:rPr>
      </w:pPr>
      <w:r>
        <w:rPr/>
      </w:r>
    </w:p>
    <w:p>
      <w:pPr>
        <w:pStyle w:val="Normal"/>
        <w:tabs>
          <w:tab w:val="clear" w:pos="720"/>
          <w:tab w:val="left" w:pos="6390" w:leader="none"/>
        </w:tabs>
        <w:spacing w:lineRule="auto" w:line="480"/>
        <w:rPr>
          <w:b/>
          <w:b/>
          <w:iCs/>
          <w:sz w:val="24"/>
          <w:szCs w:val="24"/>
        </w:rPr>
      </w:pPr>
      <w:r>
        <w:rPr>
          <w:b/>
          <w:iCs/>
          <w:sz w:val="24"/>
          <w:szCs w:val="24"/>
        </w:rPr>
        <w:t xml:space="preserve">Table 1. </w:t>
      </w:r>
      <w:r>
        <w:rPr>
          <w:b w:val="false"/>
          <w:bCs w:val="false"/>
          <w:iCs/>
          <w:sz w:val="24"/>
          <w:szCs w:val="24"/>
        </w:rPr>
        <w:t>Stand ages (years) defining the beginning and end of early, middle and late measurement periods across rotation treatments.</w:t>
      </w:r>
    </w:p>
    <w:tbl>
      <w:tblPr>
        <w:tblStyle w:val="TableGrid"/>
        <w:tblW w:w="5760"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980"/>
        <w:gridCol w:w="1080"/>
        <w:gridCol w:w="1260"/>
        <w:gridCol w:w="1440"/>
      </w:tblGrid>
      <w:tr>
        <w:trPr/>
        <w:tc>
          <w:tcPr>
            <w:tcW w:w="1980" w:type="dxa"/>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r>
          </w:p>
        </w:tc>
        <w:tc>
          <w:tcPr>
            <w:tcW w:w="3780" w:type="dxa"/>
            <w:gridSpan w:val="3"/>
            <w:tcBorders/>
          </w:tcPr>
          <w:p>
            <w:pPr>
              <w:pStyle w:val="Normal"/>
              <w:widowControl w:val="false"/>
              <w:suppressAutoHyphens w:val="true"/>
              <w:spacing w:lineRule="auto" w:line="240" w:before="0" w:after="0"/>
              <w:jc w:val="center"/>
              <w:rPr>
                <w:rFonts w:ascii="Arial" w:hAnsi="Arial" w:eastAsia="Arial" w:cs="Arial"/>
                <w:b/>
                <w:b/>
                <w:bCs/>
                <w:kern w:val="0"/>
                <w:sz w:val="24"/>
                <w:szCs w:val="24"/>
                <w:lang w:val="en" w:eastAsia="en-US" w:bidi="ar-SA"/>
              </w:rPr>
            </w:pPr>
            <w:r>
              <w:rPr>
                <w:rFonts w:eastAsia="Arial" w:cs="Arial"/>
                <w:b/>
                <w:bCs/>
                <w:kern w:val="0"/>
                <w:sz w:val="24"/>
                <w:szCs w:val="24"/>
                <w:lang w:val="en" w:eastAsia="en-US" w:bidi="ar-SA"/>
              </w:rPr>
              <w:t>Period</w:t>
            </w:r>
          </w:p>
        </w:tc>
      </w:tr>
      <w:tr>
        <w:trPr>
          <w:trHeight w:val="377" w:hRule="atLeast"/>
        </w:trPr>
        <w:tc>
          <w:tcPr>
            <w:tcW w:w="1980" w:type="dxa"/>
            <w:tcBorders/>
          </w:tcPr>
          <w:p>
            <w:pPr>
              <w:pStyle w:val="Normal"/>
              <w:widowControl w:val="false"/>
              <w:suppressAutoHyphens w:val="true"/>
              <w:spacing w:lineRule="auto" w:line="480" w:before="120" w:after="0"/>
              <w:jc w:val="center"/>
              <w:rPr>
                <w:rFonts w:ascii="Arial" w:hAnsi="Arial" w:eastAsia="Arial" w:cs="Arial"/>
                <w:b/>
                <w:b/>
                <w:bCs/>
                <w:kern w:val="0"/>
                <w:sz w:val="24"/>
                <w:szCs w:val="24"/>
                <w:lang w:val="en" w:eastAsia="en-US" w:bidi="ar-SA"/>
              </w:rPr>
            </w:pPr>
            <w:r>
              <w:rPr>
                <w:rFonts w:eastAsia="Arial" w:cs="Arial"/>
                <w:b/>
                <w:bCs/>
                <w:kern w:val="0"/>
                <w:sz w:val="24"/>
                <w:szCs w:val="24"/>
                <w:lang w:val="en" w:eastAsia="en-US" w:bidi="ar-SA"/>
              </w:rPr>
              <w:t>Treatment</w:t>
            </w:r>
          </w:p>
        </w:tc>
        <w:tc>
          <w:tcPr>
            <w:tcW w:w="1080" w:type="dxa"/>
            <w:tcBorders/>
          </w:tcPr>
          <w:p>
            <w:pPr>
              <w:pStyle w:val="Normal"/>
              <w:widowControl w:val="false"/>
              <w:suppressAutoHyphens w:val="true"/>
              <w:spacing w:lineRule="auto" w:line="480" w:before="120" w:after="0"/>
              <w:jc w:val="center"/>
              <w:rPr>
                <w:rFonts w:ascii="Arial" w:hAnsi="Arial" w:eastAsia="Arial" w:cs="Arial"/>
                <w:b/>
                <w:b/>
                <w:bCs/>
                <w:kern w:val="0"/>
                <w:sz w:val="24"/>
                <w:szCs w:val="24"/>
                <w:lang w:val="en" w:eastAsia="en-US" w:bidi="ar-SA"/>
              </w:rPr>
            </w:pPr>
            <w:r>
              <w:rPr>
                <w:rFonts w:eastAsia="Arial" w:cs="Arial"/>
                <w:b/>
                <w:bCs/>
                <w:kern w:val="0"/>
                <w:sz w:val="24"/>
                <w:szCs w:val="24"/>
                <w:lang w:val="en" w:eastAsia="en-US" w:bidi="ar-SA"/>
              </w:rPr>
              <w:t>Early</w:t>
            </w:r>
          </w:p>
        </w:tc>
        <w:tc>
          <w:tcPr>
            <w:tcW w:w="1260" w:type="dxa"/>
            <w:tcBorders/>
          </w:tcPr>
          <w:p>
            <w:pPr>
              <w:pStyle w:val="Normal"/>
              <w:widowControl w:val="false"/>
              <w:suppressAutoHyphens w:val="true"/>
              <w:spacing w:lineRule="auto" w:line="480" w:before="120" w:after="0"/>
              <w:jc w:val="center"/>
              <w:rPr>
                <w:rFonts w:ascii="Arial" w:hAnsi="Arial" w:eastAsia="Arial" w:cs="Arial"/>
                <w:b/>
                <w:b/>
                <w:bCs/>
                <w:kern w:val="0"/>
                <w:sz w:val="24"/>
                <w:szCs w:val="24"/>
                <w:lang w:val="en" w:eastAsia="en-US" w:bidi="ar-SA"/>
              </w:rPr>
            </w:pPr>
            <w:r>
              <w:rPr>
                <w:rFonts w:eastAsia="Arial" w:cs="Arial"/>
                <w:b/>
                <w:bCs/>
                <w:kern w:val="0"/>
                <w:sz w:val="24"/>
                <w:szCs w:val="24"/>
                <w:lang w:val="en" w:eastAsia="en-US" w:bidi="ar-SA"/>
              </w:rPr>
              <w:t>Middle</w:t>
            </w:r>
          </w:p>
        </w:tc>
        <w:tc>
          <w:tcPr>
            <w:tcW w:w="1440" w:type="dxa"/>
            <w:tcBorders/>
          </w:tcPr>
          <w:p>
            <w:pPr>
              <w:pStyle w:val="Normal"/>
              <w:widowControl w:val="false"/>
              <w:suppressAutoHyphens w:val="true"/>
              <w:spacing w:lineRule="auto" w:line="480" w:before="120" w:after="0"/>
              <w:jc w:val="center"/>
              <w:rPr>
                <w:rFonts w:ascii="Arial" w:hAnsi="Arial" w:eastAsia="Arial" w:cs="Arial"/>
                <w:b/>
                <w:b/>
                <w:bCs/>
                <w:kern w:val="0"/>
                <w:sz w:val="24"/>
                <w:szCs w:val="24"/>
                <w:lang w:val="en" w:eastAsia="en-US" w:bidi="ar-SA"/>
              </w:rPr>
            </w:pPr>
            <w:r>
              <w:rPr>
                <w:rFonts w:eastAsia="Arial" w:cs="Arial"/>
                <w:b/>
                <w:bCs/>
                <w:kern w:val="0"/>
                <w:sz w:val="24"/>
                <w:szCs w:val="24"/>
                <w:lang w:val="en" w:eastAsia="en-US" w:bidi="ar-SA"/>
              </w:rPr>
              <w:t>Late</w:t>
            </w:r>
          </w:p>
        </w:tc>
      </w:tr>
      <w:tr>
        <w:trPr/>
        <w:tc>
          <w:tcPr>
            <w:tcW w:w="1980" w:type="dxa"/>
            <w:tcBorders/>
          </w:tcPr>
          <w:p>
            <w:pPr>
              <w:pStyle w:val="Normal"/>
              <w:widowControl w:val="false"/>
              <w:suppressAutoHyphens w:val="true"/>
              <w:spacing w:lineRule="auto" w:line="480" w:before="120" w:after="0"/>
              <w:jc w:val="center"/>
              <w:rPr>
                <w:rFonts w:ascii="Arial" w:hAnsi="Arial" w:eastAsia="Arial" w:cs="Arial"/>
                <w:kern w:val="0"/>
                <w:sz w:val="24"/>
                <w:szCs w:val="24"/>
                <w:lang w:val="en" w:eastAsia="en-US" w:bidi="ar-SA"/>
              </w:rPr>
            </w:pPr>
            <w:r>
              <w:rPr>
                <w:rFonts w:eastAsia="Arial" w:cs="Arial"/>
                <w:kern w:val="0"/>
                <w:sz w:val="24"/>
                <w:szCs w:val="24"/>
                <w:lang w:val="en" w:eastAsia="en-US" w:bidi="ar-SA"/>
              </w:rPr>
              <w:t>RA12, CW12</w:t>
            </w:r>
          </w:p>
        </w:tc>
        <w:tc>
          <w:tcPr>
            <w:tcW w:w="1080" w:type="dxa"/>
            <w:tcBorders/>
          </w:tcPr>
          <w:p>
            <w:pPr>
              <w:pStyle w:val="Normal"/>
              <w:widowControl w:val="false"/>
              <w:suppressAutoHyphens w:val="true"/>
              <w:spacing w:lineRule="auto" w:line="480" w:before="120" w:after="0"/>
              <w:jc w:val="center"/>
              <w:rPr>
                <w:rFonts w:ascii="Arial" w:hAnsi="Arial" w:eastAsia="Arial" w:cs="Arial"/>
                <w:kern w:val="0"/>
                <w:sz w:val="24"/>
                <w:szCs w:val="24"/>
                <w:lang w:val="en" w:eastAsia="en-US" w:bidi="ar-SA"/>
              </w:rPr>
            </w:pPr>
            <w:r>
              <w:rPr>
                <w:rFonts w:eastAsia="Arial" w:cs="Arial"/>
                <w:kern w:val="0"/>
                <w:sz w:val="24"/>
                <w:szCs w:val="24"/>
                <w:lang w:val="en" w:eastAsia="en-US" w:bidi="ar-SA"/>
              </w:rPr>
              <w:t>8-24</w:t>
            </w:r>
          </w:p>
        </w:tc>
        <w:tc>
          <w:tcPr>
            <w:tcW w:w="1260"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8-33</w:t>
            </w:r>
          </w:p>
        </w:tc>
        <w:tc>
          <w:tcPr>
            <w:tcW w:w="1440"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NA</w:t>
            </w:r>
          </w:p>
        </w:tc>
      </w:tr>
      <w:tr>
        <w:trPr/>
        <w:tc>
          <w:tcPr>
            <w:tcW w:w="198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DF</w:t>
            </w:r>
          </w:p>
        </w:tc>
        <w:tc>
          <w:tcPr>
            <w:tcW w:w="108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NA</w:t>
            </w:r>
          </w:p>
        </w:tc>
        <w:tc>
          <w:tcPr>
            <w:tcW w:w="126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12-36</w:t>
            </w:r>
          </w:p>
        </w:tc>
        <w:tc>
          <w:tcPr>
            <w:tcW w:w="144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36-45</w:t>
            </w:r>
          </w:p>
        </w:tc>
      </w:tr>
      <w:tr>
        <w:trPr/>
        <w:tc>
          <w:tcPr>
            <w:tcW w:w="198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RA25, CW25</w:t>
            </w:r>
          </w:p>
        </w:tc>
        <w:tc>
          <w:tcPr>
            <w:tcW w:w="108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11-20</w:t>
            </w:r>
          </w:p>
        </w:tc>
        <w:tc>
          <w:tcPr>
            <w:tcW w:w="126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NA</w:t>
            </w:r>
          </w:p>
        </w:tc>
        <w:tc>
          <w:tcPr>
            <w:tcW w:w="144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NA</w:t>
            </w:r>
          </w:p>
        </w:tc>
      </w:tr>
    </w:tbl>
    <w:p>
      <w:pPr>
        <w:pStyle w:val="Normal"/>
        <w:tabs>
          <w:tab w:val="clear" w:pos="720"/>
          <w:tab w:val="left" w:pos="6390" w:leader="none"/>
        </w:tabs>
        <w:spacing w:lineRule="auto" w:line="480"/>
        <w:rPr>
          <w:b/>
          <w:b/>
          <w:iCs/>
          <w:sz w:val="24"/>
          <w:szCs w:val="24"/>
        </w:rPr>
      </w:pPr>
      <w:r>
        <w:rPr/>
      </w:r>
    </w:p>
    <w:p>
      <w:pPr>
        <w:pStyle w:val="Normal"/>
        <w:tabs>
          <w:tab w:val="clear" w:pos="720"/>
          <w:tab w:val="left" w:pos="6390" w:leader="none"/>
        </w:tabs>
        <w:spacing w:lineRule="auto" w:line="480"/>
        <w:ind w:firstLine="720"/>
        <w:rPr>
          <w:iCs/>
          <w:ins w:id="906" w:author="Shawn McMurtrey" w:date="2022-11-15T22:07:00Z"/>
          <w:sz w:val="24"/>
          <w:szCs w:val="24"/>
        </w:rPr>
      </w:pPr>
      <w:r>
        <w:rPr>
          <w:iCs/>
          <w:sz w:val="24"/>
          <w:szCs w:val="24"/>
        </w:rPr>
        <w:t xml:space="preserve">Analyses of variance (ANOVAs) </w:t>
      </w:r>
      <w:r>
        <w:rPr>
          <w:iCs/>
          <w:sz w:val="24"/>
          <w:szCs w:val="24"/>
        </w:rPr>
        <w:t xml:space="preserve">and liklihood ratio effects </w:t>
      </w:r>
      <w:r>
        <w:rPr>
          <w:iCs/>
          <w:sz w:val="24"/>
          <w:szCs w:val="24"/>
        </w:rPr>
        <w:t xml:space="preserve">based on generalized linear mixed models were used to test the fixed effect of treatment </w:t>
      </w:r>
      <w:r>
        <w:rPr>
          <w:iCs/>
          <w:sz w:val="24"/>
          <w:szCs w:val="24"/>
        </w:rPr>
        <w:t>and t</w:t>
      </w:r>
      <w:r>
        <w:rPr>
          <w:iCs/>
          <w:sz w:val="24"/>
          <w:szCs w:val="24"/>
        </w:rPr>
        <w:t xml:space="preserve">he random effect of block and on annual </w:t>
      </w:r>
      <w:del w:id="904" w:author="LeBoldus, Jared" w:date="2022-11-04T14:38:00Z">
        <w:r>
          <w:rPr>
            <w:iCs/>
            <w:sz w:val="24"/>
            <w:szCs w:val="24"/>
          </w:rPr>
          <w:delText>basal area</w:delText>
        </w:r>
      </w:del>
      <w:ins w:id="905" w:author="LeBoldus, Jared" w:date="2022-11-04T14:38:00Z">
        <w:r>
          <w:rPr>
            <w:iCs/>
            <w:sz w:val="24"/>
            <w:szCs w:val="24"/>
          </w:rPr>
          <w:t>BA</w:t>
        </w:r>
      </w:ins>
      <w:r>
        <w:rPr>
          <w:iCs/>
          <w:sz w:val="24"/>
          <w:szCs w:val="24"/>
        </w:rPr>
        <w:t xml:space="preserve"> increment and annual arcsine square root transformed proportion of mortality across the tree time periods of the study (early, middle, late). Tukey’s HSD tests were used to determine significant differences between treatment levels. </w:t>
      </w:r>
      <w:r>
        <w:rPr>
          <w:iCs/>
          <w:sz w:val="24"/>
          <w:szCs w:val="24"/>
        </w:rPr>
        <w:t xml:space="preserve">When models incorporating the random effect of block failed to converge,  single factor </w:t>
      </w:r>
      <w:r>
        <w:rPr>
          <w:iCs/>
          <w:sz w:val="24"/>
          <w:szCs w:val="24"/>
        </w:rPr>
        <w:t xml:space="preserve">linear models for the fixed effect of treatment </w:t>
      </w:r>
      <w:r>
        <w:rPr>
          <w:iCs/>
          <w:sz w:val="24"/>
          <w:szCs w:val="24"/>
        </w:rPr>
        <w:t>were used</w:t>
      </w:r>
      <w:r>
        <w:rPr>
          <w:iCs/>
          <w:sz w:val="24"/>
          <w:szCs w:val="24"/>
        </w:rPr>
        <w:t xml:space="preserve">. Analyses were performed using the lme4 (Bates et al. 2015) and emmeans (Lenth 2022) packages in R. Back-transformed (estimated marginal) means and 95% confidence intervals were reported and used for graphing. </w:t>
      </w:r>
      <w:r>
        <w:rPr>
          <w:bCs/>
          <w:iCs/>
          <w:color w:val="000000"/>
          <w:sz w:val="24"/>
          <w:szCs w:val="24"/>
          <w:shd w:fill="FFFFFF" w:val="clear"/>
        </w:rPr>
        <w:t xml:space="preserve">Assumptions of normality and homoscedasticity were assessed using diagnostic plots of residuals and fitted values </w:t>
      </w:r>
      <w:r>
        <w:rPr>
          <w:bCs/>
          <w:iCs/>
          <w:color w:val="000000"/>
          <w:sz w:val="24"/>
          <w:szCs w:val="24"/>
          <w:shd w:fill="FFFFFF" w:val="clear"/>
        </w:rPr>
        <w:t xml:space="preserve">and using Q-Q normality plots </w:t>
      </w:r>
      <w:r>
        <w:rPr>
          <w:bCs/>
          <w:iCs/>
          <w:color w:val="000000"/>
          <w:sz w:val="24"/>
          <w:szCs w:val="24"/>
          <w:shd w:fill="FFFFFF" w:val="clear"/>
        </w:rPr>
        <w:t xml:space="preserve">(Schützenmeister et al. 2012, Atkinson 1981, Atkinson 1985) </w:t>
      </w:r>
      <w:r>
        <w:rPr>
          <w:bCs/>
          <w:iCs/>
          <w:color w:val="000000"/>
          <w:sz w:val="24"/>
          <w:szCs w:val="24"/>
          <w:shd w:fill="FFFFFF" w:val="clear"/>
        </w:rPr>
        <w:t>as sample sizes were too small for formal tests of these assumptions</w:t>
      </w:r>
      <w:r>
        <w:rPr>
          <w:bCs/>
          <w:iCs/>
          <w:color w:val="000000"/>
          <w:sz w:val="24"/>
          <w:szCs w:val="24"/>
          <w:shd w:fill="FFFFFF" w:val="clear"/>
        </w:rPr>
        <w:t>.</w:t>
      </w:r>
    </w:p>
    <w:p>
      <w:pPr>
        <w:pStyle w:val="Normal"/>
        <w:tabs>
          <w:tab w:val="clear" w:pos="720"/>
          <w:tab w:val="left" w:pos="6390" w:leader="none"/>
        </w:tabs>
        <w:spacing w:lineRule="auto" w:line="480"/>
        <w:ind w:firstLine="720"/>
        <w:rPr>
          <w:iCs/>
          <w:sz w:val="24"/>
          <w:szCs w:val="24"/>
        </w:rPr>
      </w:pPr>
      <w:r>
        <w:rPr>
          <w:iCs/>
          <w:sz w:val="24"/>
          <w:szCs w:val="24"/>
        </w:rPr>
      </w:r>
    </w:p>
    <w:p>
      <w:pPr>
        <w:pStyle w:val="Normal"/>
        <w:tabs>
          <w:tab w:val="clear" w:pos="720"/>
          <w:tab w:val="left" w:pos="6390" w:leader="none"/>
        </w:tabs>
        <w:spacing w:lineRule="auto" w:line="480"/>
        <w:rPr>
          <w:b/>
          <w:b/>
          <w:iCs/>
          <w:sz w:val="24"/>
          <w:szCs w:val="24"/>
        </w:rPr>
      </w:pPr>
      <w:r>
        <w:rPr>
          <w:b/>
          <w:bCs/>
          <w:iCs/>
          <w:sz w:val="24"/>
          <w:szCs w:val="24"/>
        </w:rPr>
        <w:t>2.1.6 Forest Vegetation Simulator</w:t>
      </w:r>
    </w:p>
    <w:p>
      <w:pPr>
        <w:pStyle w:val="Normal"/>
        <w:tabs>
          <w:tab w:val="clear" w:pos="720"/>
          <w:tab w:val="left" w:pos="6390" w:leader="none"/>
        </w:tabs>
        <w:spacing w:lineRule="auto" w:line="480"/>
        <w:ind w:firstLine="720"/>
        <w:rPr>
          <w:sz w:val="24"/>
          <w:szCs w:val="24"/>
        </w:rPr>
      </w:pPr>
      <w:r>
        <w:rPr>
          <w:sz w:val="24"/>
          <w:szCs w:val="24"/>
        </w:rPr>
        <w:t xml:space="preserve">FVS analysis was conducted using the same methods as the Woods Creek </w:t>
      </w:r>
      <w:r>
        <w:rPr>
          <w:sz w:val="24"/>
          <w:szCs w:val="24"/>
        </w:rPr>
        <w:t xml:space="preserve">thinning </w:t>
      </w:r>
      <w:r>
        <w:rPr>
          <w:sz w:val="24"/>
          <w:szCs w:val="24"/>
        </w:rPr>
        <w:t xml:space="preserve">study. </w:t>
      </w:r>
      <w:r>
        <w:rPr>
          <w:sz w:val="24"/>
          <w:szCs w:val="24"/>
        </w:rPr>
        <w:t xml:space="preserve">Tree </w:t>
      </w:r>
      <w:r>
        <w:rPr>
          <w:sz w:val="24"/>
          <w:szCs w:val="24"/>
        </w:rPr>
        <w:t xml:space="preserve">diameters </w:t>
      </w:r>
      <w:r>
        <w:rPr>
          <w:sz w:val="24"/>
          <w:szCs w:val="24"/>
        </w:rPr>
        <w:t xml:space="preserve">measured in 1987 </w:t>
      </w:r>
      <w:r>
        <w:rPr>
          <w:sz w:val="24"/>
          <w:szCs w:val="24"/>
        </w:rPr>
        <w:t>for the immediate Douglas</w:t>
      </w:r>
      <w:ins w:id="907" w:author="LeBoldus, Jared" w:date="2022-11-04T14:39:00Z">
        <w:r>
          <w:rPr>
            <w:sz w:val="24"/>
            <w:szCs w:val="24"/>
          </w:rPr>
          <w:t>-</w:t>
        </w:r>
      </w:ins>
      <w:r>
        <w:rPr>
          <w:sz w:val="24"/>
          <w:szCs w:val="24"/>
        </w:rPr>
        <w:t xml:space="preserve">fir treatment as well as the diameters of dead trees and cut stumps from 1973-4 survey were entered into the models. Input, output, and log files for each FVS and WRDM run can be found at the same Github repository as the Woods Creek data. </w:t>
      </w:r>
    </w:p>
    <w:p>
      <w:pPr>
        <w:pStyle w:val="Normal"/>
        <w:tabs>
          <w:tab w:val="clear" w:pos="720"/>
          <w:tab w:val="left" w:pos="6390" w:leader="none"/>
        </w:tabs>
        <w:spacing w:lineRule="auto" w:line="480"/>
        <w:rPr>
          <w:sz w:val="24"/>
          <w:szCs w:val="24"/>
        </w:rPr>
      </w:pPr>
      <w:r>
        <w:rPr>
          <w:sz w:val="24"/>
          <w:szCs w:val="24"/>
        </w:rPr>
      </w:r>
    </w:p>
    <w:p>
      <w:pPr>
        <w:pStyle w:val="Normal"/>
        <w:spacing w:lineRule="auto" w:line="480"/>
        <w:rPr>
          <w:b/>
          <w:b/>
          <w:iCs/>
          <w:sz w:val="24"/>
          <w:szCs w:val="24"/>
        </w:rPr>
      </w:pPr>
      <w:r>
        <w:rPr>
          <w:b/>
          <w:sz w:val="28"/>
          <w:szCs w:val="28"/>
        </w:rPr>
        <w:t>3. Results</w:t>
      </w:r>
    </w:p>
    <w:p>
      <w:pPr>
        <w:pStyle w:val="Normal"/>
        <w:spacing w:lineRule="auto" w:line="480"/>
        <w:rPr>
          <w:b/>
          <w:b/>
          <w:iCs/>
          <w:sz w:val="24"/>
          <w:szCs w:val="24"/>
        </w:rPr>
      </w:pPr>
      <w:r>
        <w:rPr>
          <w:b/>
          <w:sz w:val="24"/>
          <w:szCs w:val="24"/>
        </w:rPr>
        <w:t xml:space="preserve">3.1 Thinning study, species composition and basal area </w:t>
      </w:r>
    </w:p>
    <w:p>
      <w:pPr>
        <w:pStyle w:val="Normal"/>
        <w:spacing w:lineRule="auto" w:line="480"/>
        <w:ind w:firstLine="720"/>
        <w:rPr>
          <w:sz w:val="24"/>
          <w:szCs w:val="24"/>
        </w:rPr>
      </w:pPr>
      <w:r>
        <w:rPr>
          <w:sz w:val="24"/>
          <w:szCs w:val="24"/>
        </w:rPr>
        <w:t>By the conclusion of this study, the total species composition for all treatments was 77% Douglas-fir, 17% western hemlock, and 6% other species. Differences between total Douglas-fir basal area from initial to final surveys was a 21% increase (16.79 m</w:t>
      </w:r>
      <w:r>
        <w:rPr>
          <w:b/>
          <w:bCs/>
          <w:sz w:val="24"/>
          <w:szCs w:val="24"/>
          <w:vertAlign w:val="superscript"/>
        </w:rPr>
        <w:t>2</w:t>
      </w:r>
      <w:r>
        <w:rPr>
          <w:sz w:val="24"/>
          <w:szCs w:val="24"/>
        </w:rPr>
        <w:t>ha</w:t>
      </w:r>
      <w:r>
        <w:rPr>
          <w:sz w:val="24"/>
          <w:szCs w:val="24"/>
          <w:vertAlign w:val="superscript"/>
        </w:rPr>
        <w:t>-1</w:t>
      </w:r>
      <w:r>
        <w:rPr>
          <w:sz w:val="24"/>
          <w:szCs w:val="24"/>
        </w:rPr>
        <w:t>) for the unthinned treatment, a 32% increase (17.01 m</w:t>
      </w:r>
      <w:r>
        <w:rPr>
          <w:b/>
          <w:bCs/>
          <w:sz w:val="24"/>
          <w:szCs w:val="24"/>
          <w:vertAlign w:val="superscript"/>
        </w:rPr>
        <w:t>2</w:t>
      </w:r>
      <w:r>
        <w:rPr>
          <w:sz w:val="24"/>
          <w:szCs w:val="24"/>
        </w:rPr>
        <w:t>ha</w:t>
      </w:r>
      <w:r>
        <w:rPr>
          <w:sz w:val="24"/>
          <w:szCs w:val="24"/>
          <w:vertAlign w:val="superscript"/>
        </w:rPr>
        <w:t>-1</w:t>
      </w:r>
      <w:r>
        <w:rPr>
          <w:sz w:val="24"/>
          <w:szCs w:val="24"/>
        </w:rPr>
        <w:t>) for the lightly thinned, and a 29% increase (18.14 m</w:t>
      </w:r>
      <w:r>
        <w:rPr>
          <w:b/>
          <w:bCs/>
          <w:sz w:val="24"/>
          <w:szCs w:val="24"/>
          <w:vertAlign w:val="superscript"/>
        </w:rPr>
        <w:t>2</w:t>
      </w:r>
      <w:r>
        <w:rPr>
          <w:sz w:val="24"/>
          <w:szCs w:val="24"/>
        </w:rPr>
        <w:t>ha</w:t>
      </w:r>
      <w:r>
        <w:rPr>
          <w:sz w:val="24"/>
          <w:szCs w:val="24"/>
          <w:vertAlign w:val="superscript"/>
        </w:rPr>
        <w:t>-1</w:t>
      </w:r>
      <w:r>
        <w:rPr>
          <w:sz w:val="24"/>
          <w:szCs w:val="24"/>
        </w:rPr>
        <w:t>) for the thinned treatment (</w:t>
      </w:r>
      <w:r>
        <w:rPr>
          <w:b/>
          <w:bCs/>
          <w:sz w:val="24"/>
          <w:szCs w:val="24"/>
        </w:rPr>
        <w:t>Fig. x Table y</w:t>
      </w:r>
      <w:r>
        <w:rPr>
          <w:sz w:val="24"/>
          <w:szCs w:val="24"/>
        </w:rPr>
        <w:t xml:space="preserve">). Mean DBH of all trees was 46.5 cm with a maximum DBH of 165.8 cm belonging to a </w:t>
      </w:r>
      <w:r>
        <w:rPr>
          <w:iCs/>
          <w:sz w:val="24"/>
          <w:szCs w:val="24"/>
        </w:rPr>
        <w:t>Douglas-fir</w:t>
      </w:r>
      <w:r>
        <w:rPr>
          <w:i/>
          <w:sz w:val="24"/>
          <w:szCs w:val="24"/>
        </w:rPr>
        <w:t xml:space="preserve"> </w:t>
      </w:r>
      <w:r>
        <w:rPr>
          <w:sz w:val="24"/>
          <w:szCs w:val="24"/>
        </w:rPr>
        <w:t>tree. The largest western hemlock measured had a DBH of 135 cm. The mean mortality DBH for all trees was 29.7 cm.</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Table 1</w:t>
      </w:r>
      <w:r>
        <w:rPr>
          <w:sz w:val="24"/>
          <w:szCs w:val="24"/>
        </w:rPr>
        <w:t xml:space="preserve">: Initial and final stand summary statistics for the Woods Creek study. BA = basal area, CI = 95% confidence interval.  </w:t>
      </w:r>
    </w:p>
    <w:p>
      <w:pPr>
        <w:pStyle w:val="Normal"/>
        <w:spacing w:lineRule="auto" w:line="480"/>
        <w:rPr>
          <w:sz w:val="24"/>
          <w:szCs w:val="24"/>
        </w:rPr>
      </w:pPr>
      <w:r>
        <w:rPr/>
      </w:r>
    </w:p>
    <w:tbl>
      <w:tblPr>
        <w:tblW w:w="10713" w:type="dxa"/>
        <w:jc w:val="left"/>
        <w:tblInd w:w="-360" w:type="dxa"/>
        <w:tblLayout w:type="fixed"/>
        <w:tblCellMar>
          <w:top w:w="0" w:type="dxa"/>
          <w:left w:w="108" w:type="dxa"/>
          <w:bottom w:w="0" w:type="dxa"/>
          <w:right w:w="108" w:type="dxa"/>
        </w:tblCellMar>
        <w:tblLook w:firstRow="1" w:noVBand="1" w:lastRow="0" w:firstColumn="1" w:lastColumn="0" w:noHBand="0" w:val="04a0"/>
      </w:tblPr>
      <w:tblGrid>
        <w:gridCol w:w="1899"/>
        <w:gridCol w:w="781"/>
        <w:gridCol w:w="1006"/>
        <w:gridCol w:w="271"/>
        <w:gridCol w:w="676"/>
        <w:gridCol w:w="405"/>
        <w:gridCol w:w="677"/>
        <w:gridCol w:w="268"/>
        <w:gridCol w:w="678"/>
        <w:gridCol w:w="403"/>
        <w:gridCol w:w="678"/>
        <w:gridCol w:w="265"/>
        <w:gridCol w:w="679"/>
        <w:gridCol w:w="402"/>
        <w:gridCol w:w="679"/>
        <w:gridCol w:w="235"/>
        <w:gridCol w:w="711"/>
      </w:tblGrid>
      <w:tr>
        <w:trPr>
          <w:trHeight w:val="300" w:hRule="atLeast"/>
        </w:trPr>
        <w:tc>
          <w:tcPr>
            <w:tcW w:w="1899" w:type="dxa"/>
            <w:tcBorders/>
            <w:shd w:color="auto" w:fill="auto" w:val="clear"/>
            <w:vAlign w:val="bottom"/>
          </w:tcPr>
          <w:p>
            <w:pPr>
              <w:pStyle w:val="Normal"/>
              <w:widowControl w:val="false"/>
              <w:spacing w:lineRule="auto" w:line="480"/>
              <w:rPr>
                <w:rFonts w:eastAsia="Times New Roman"/>
                <w:sz w:val="20"/>
                <w:szCs w:val="20"/>
                <w:lang w:val="en-US"/>
              </w:rPr>
            </w:pPr>
            <w:r>
              <w:rPr>
                <w:rFonts w:eastAsia="Times New Roman"/>
                <w:sz w:val="20"/>
                <w:szCs w:val="20"/>
                <w:lang w:val="en-US"/>
              </w:rPr>
            </w:r>
          </w:p>
        </w:tc>
        <w:tc>
          <w:tcPr>
            <w:tcW w:w="781" w:type="dxa"/>
            <w:tcBorders/>
            <w:shd w:color="auto" w:fill="auto" w:val="clear"/>
            <w:vAlign w:val="bottom"/>
          </w:tcPr>
          <w:p>
            <w:pPr>
              <w:pStyle w:val="Normal"/>
              <w:widowControl w:val="false"/>
              <w:spacing w:lineRule="auto" w:line="480"/>
              <w:rPr>
                <w:rFonts w:eastAsia="Times New Roman"/>
                <w:sz w:val="20"/>
                <w:szCs w:val="20"/>
                <w:lang w:val="en-US"/>
              </w:rPr>
            </w:pPr>
            <w:r>
              <w:rPr>
                <w:rFonts w:eastAsia="Times New Roman"/>
                <w:sz w:val="20"/>
                <w:szCs w:val="20"/>
                <w:lang w:val="en-US"/>
              </w:rPr>
            </w:r>
          </w:p>
        </w:tc>
        <w:tc>
          <w:tcPr>
            <w:tcW w:w="1953" w:type="dxa"/>
            <w:gridSpan w:val="3"/>
            <w:tcBorders>
              <w:bottom w:val="single" w:sz="8" w:space="0" w:color="000000"/>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t>Unthinned</w:t>
            </w:r>
          </w:p>
        </w:tc>
        <w:tc>
          <w:tcPr>
            <w:tcW w:w="405" w:type="dxa"/>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r>
          </w:p>
        </w:tc>
        <w:tc>
          <w:tcPr>
            <w:tcW w:w="1623" w:type="dxa"/>
            <w:gridSpan w:val="3"/>
            <w:tcBorders>
              <w:bottom w:val="single" w:sz="8" w:space="0" w:color="000000"/>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t>Light thin</w:t>
            </w:r>
          </w:p>
        </w:tc>
        <w:tc>
          <w:tcPr>
            <w:tcW w:w="403" w:type="dxa"/>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r>
          </w:p>
        </w:tc>
        <w:tc>
          <w:tcPr>
            <w:tcW w:w="1622" w:type="dxa"/>
            <w:gridSpan w:val="3"/>
            <w:tcBorders>
              <w:bottom w:val="single" w:sz="8" w:space="0" w:color="000000"/>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t>Thin</w:t>
            </w:r>
          </w:p>
        </w:tc>
        <w:tc>
          <w:tcPr>
            <w:tcW w:w="402" w:type="dxa"/>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r>
          </w:p>
        </w:tc>
        <w:tc>
          <w:tcPr>
            <w:tcW w:w="1625" w:type="dxa"/>
            <w:gridSpan w:val="3"/>
            <w:tcBorders>
              <w:bottom w:val="single" w:sz="8" w:space="0" w:color="000000"/>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t>TOTAL</w:t>
            </w:r>
          </w:p>
        </w:tc>
      </w:tr>
      <w:tr>
        <w:trPr>
          <w:trHeight w:val="20" w:hRule="atLeast"/>
        </w:trPr>
        <w:tc>
          <w:tcPr>
            <w:tcW w:w="1899" w:type="dxa"/>
            <w:tcBorders/>
            <w:shd w:color="auto" w:fill="auto" w:val="clear"/>
            <w:vAlign w:val="bottom"/>
          </w:tcPr>
          <w:p>
            <w:pPr>
              <w:pStyle w:val="Normal"/>
              <w:widowControl w:val="false"/>
              <w:spacing w:lineRule="auto" w:line="480"/>
              <w:jc w:val="center"/>
              <w:rPr>
                <w:rFonts w:eastAsia="Times New Roman"/>
                <w:sz w:val="20"/>
                <w:szCs w:val="20"/>
                <w:lang w:val="en-US"/>
              </w:rPr>
            </w:pPr>
            <w:r>
              <w:rPr>
                <w:rFonts w:eastAsia="Times New Roman"/>
                <w:sz w:val="20"/>
                <w:szCs w:val="20"/>
                <w:lang w:val="en-US"/>
              </w:rPr>
            </w:r>
          </w:p>
        </w:tc>
        <w:tc>
          <w:tcPr>
            <w:tcW w:w="781" w:type="dxa"/>
            <w:tcBorders/>
            <w:shd w:color="auto" w:fill="auto" w:val="clear"/>
            <w:vAlign w:val="bottom"/>
          </w:tcPr>
          <w:p>
            <w:pPr>
              <w:pStyle w:val="Normal"/>
              <w:widowControl w:val="false"/>
              <w:spacing w:lineRule="auto" w:line="480"/>
              <w:jc w:val="center"/>
              <w:rPr>
                <w:rFonts w:eastAsia="Times New Roman"/>
                <w:sz w:val="20"/>
                <w:szCs w:val="20"/>
                <w:lang w:val="en-US"/>
              </w:rPr>
            </w:pPr>
            <w:r>
              <w:rPr>
                <w:rFonts w:eastAsia="Times New Roman"/>
                <w:sz w:val="20"/>
                <w:szCs w:val="20"/>
                <w:lang w:val="en-US"/>
              </w:rPr>
            </w:r>
          </w:p>
        </w:tc>
        <w:tc>
          <w:tcPr>
            <w:tcW w:w="1006" w:type="dxa"/>
            <w:tcBorders>
              <w:top w:val="single" w:sz="4" w:space="0" w:color="000000"/>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1990</w:t>
            </w:r>
          </w:p>
        </w:tc>
        <w:tc>
          <w:tcPr>
            <w:tcW w:w="27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6" w:type="dxa"/>
            <w:tcBorders>
              <w:top w:val="single" w:sz="4" w:space="0" w:color="000000"/>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2020</w:t>
            </w:r>
          </w:p>
        </w:tc>
        <w:tc>
          <w:tcPr>
            <w:tcW w:w="405"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7" w:type="dxa"/>
            <w:tcBorders>
              <w:top w:val="single" w:sz="4" w:space="0" w:color="000000"/>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1990</w:t>
            </w:r>
          </w:p>
        </w:tc>
        <w:tc>
          <w:tcPr>
            <w:tcW w:w="268"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8" w:type="dxa"/>
            <w:tcBorders>
              <w:top w:val="single" w:sz="4" w:space="0" w:color="000000"/>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2020</w:t>
            </w:r>
          </w:p>
        </w:tc>
        <w:tc>
          <w:tcPr>
            <w:tcW w:w="403"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8" w:type="dxa"/>
            <w:tcBorders>
              <w:top w:val="single" w:sz="4" w:space="0" w:color="000000"/>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1990</w:t>
            </w:r>
          </w:p>
        </w:tc>
        <w:tc>
          <w:tcPr>
            <w:tcW w:w="265"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9" w:type="dxa"/>
            <w:tcBorders>
              <w:top w:val="single" w:sz="4" w:space="0" w:color="000000"/>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2020</w:t>
            </w:r>
          </w:p>
        </w:tc>
        <w:tc>
          <w:tcPr>
            <w:tcW w:w="402"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9" w:type="dxa"/>
            <w:tcBorders>
              <w:top w:val="single" w:sz="4" w:space="0" w:color="000000"/>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1990</w:t>
            </w:r>
          </w:p>
        </w:tc>
        <w:tc>
          <w:tcPr>
            <w:tcW w:w="235"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11" w:type="dxa"/>
            <w:tcBorders>
              <w:top w:val="single" w:sz="4" w:space="0" w:color="000000"/>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2020</w:t>
            </w:r>
          </w:p>
        </w:tc>
      </w:tr>
      <w:tr>
        <w:trPr>
          <w:trHeight w:val="88" w:hRule="atLeast"/>
        </w:trPr>
        <w:tc>
          <w:tcPr>
            <w:tcW w:w="1899"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81"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1006"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271"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6"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405"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7"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268"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8"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403"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8"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265"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9"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402"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9"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235"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11" w:type="dxa"/>
            <w:tcBorders>
              <w:bottom w:val="single" w:sz="4"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r>
      <w:tr>
        <w:trPr>
          <w:trHeight w:val="280" w:hRule="atLeast"/>
        </w:trPr>
        <w:tc>
          <w:tcPr>
            <w:tcW w:w="1899" w:type="dxa"/>
            <w:tcBorders/>
            <w:shd w:color="auto" w:fill="auto" w:val="clear"/>
            <w:vAlign w:val="bottom"/>
          </w:tcPr>
          <w:p>
            <w:pPr>
              <w:pStyle w:val="Normal"/>
              <w:widowControl w:val="false"/>
              <w:spacing w:lineRule="auto" w:line="240" w:beforeAutospacing="1" w:after="0"/>
              <w:jc w:val="center"/>
              <w:rPr>
                <w:rFonts w:eastAsia="Times New Roman"/>
                <w:sz w:val="20"/>
                <w:szCs w:val="20"/>
                <w:lang w:val="en-US"/>
              </w:rPr>
            </w:pPr>
            <w:r>
              <w:rPr>
                <w:rFonts w:eastAsia="Times New Roman"/>
                <w:sz w:val="20"/>
                <w:szCs w:val="20"/>
                <w:lang w:val="en-US"/>
              </w:rPr>
            </w:r>
          </w:p>
        </w:tc>
        <w:tc>
          <w:tcPr>
            <w:tcW w:w="78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Mean</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77</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53.4</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28.2</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23.6</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46.9</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71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35</w:t>
            </w:r>
          </w:p>
        </w:tc>
      </w:tr>
      <w:tr>
        <w:trPr>
          <w:trHeight w:val="126" w:hRule="atLeast"/>
        </w:trPr>
        <w:tc>
          <w:tcPr>
            <w:tcW w:w="1899" w:type="dxa"/>
            <w:tcBorders/>
            <w:shd w:color="auto" w:fill="auto" w:val="clear"/>
            <w:vAlign w:val="center"/>
          </w:tcPr>
          <w:p>
            <w:pPr>
              <w:pStyle w:val="Normal"/>
              <w:widowControl w:val="false"/>
              <w:spacing w:lineRule="auto" w:line="240" w:beforeAutospacing="1" w:after="0"/>
              <w:jc w:val="center"/>
              <w:rPr>
                <w:rFonts w:eastAsia="Times New Roman"/>
                <w:b/>
                <w:b/>
                <w:bCs/>
                <w:sz w:val="20"/>
                <w:szCs w:val="20"/>
                <w:lang w:val="en-US"/>
              </w:rPr>
            </w:pPr>
            <w:r>
              <w:rPr>
                <w:rFonts w:eastAsia="Times New Roman"/>
                <w:b/>
                <w:bCs/>
                <w:sz w:val="20"/>
                <w:szCs w:val="20"/>
                <w:lang w:val="en-US"/>
              </w:rPr>
              <w:t>Live Douglas-fir</w:t>
            </w:r>
          </w:p>
        </w:tc>
        <w:tc>
          <w:tcPr>
            <w:tcW w:w="78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CI</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31.3</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23.2</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6.9</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rPr>
                <w:rFonts w:eastAsia="Times New Roman"/>
                <w:color w:val="000000" w:themeColor="text1"/>
                <w:sz w:val="20"/>
                <w:szCs w:val="20"/>
                <w:lang w:val="en-US"/>
              </w:rPr>
            </w:pPr>
            <w:r>
              <w:rPr>
                <w:rFonts w:eastAsia="Times New Roman"/>
                <w:color w:val="000000" w:themeColor="text1"/>
                <w:sz w:val="20"/>
                <w:szCs w:val="20"/>
                <w:lang w:val="en-US"/>
              </w:rPr>
              <w:t xml:space="preserve">  </w:t>
            </w:r>
            <w:r>
              <w:rPr>
                <w:rFonts w:eastAsia="Times New Roman"/>
                <w:color w:val="000000" w:themeColor="text1"/>
                <w:sz w:val="20"/>
                <w:szCs w:val="20"/>
                <w:lang w:val="en-US"/>
              </w:rPr>
              <w:t>8.2</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9.9</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8.4</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15.2</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r>
          </w:p>
        </w:tc>
        <w:tc>
          <w:tcPr>
            <w:tcW w:w="711"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10.5</w:t>
            </w:r>
          </w:p>
        </w:tc>
      </w:tr>
      <w:tr>
        <w:trPr>
          <w:trHeight w:val="280" w:hRule="atLeast"/>
        </w:trPr>
        <w:tc>
          <w:tcPr>
            <w:tcW w:w="1899" w:type="dxa"/>
            <w:tcBorders>
              <w:bottom w:val="single" w:sz="8" w:space="0" w:color="000000"/>
            </w:tcBorders>
            <w:shd w:color="auto" w:fill="auto" w:val="clear"/>
            <w:vAlign w:val="center"/>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81" w:type="dxa"/>
            <w:tcBorders>
              <w:bottom w:val="single" w:sz="8" w:space="0" w:color="000000"/>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t>Total</w:t>
            </w:r>
          </w:p>
        </w:tc>
        <w:tc>
          <w:tcPr>
            <w:tcW w:w="100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385</w:t>
            </w:r>
          </w:p>
        </w:tc>
        <w:tc>
          <w:tcPr>
            <w:tcW w:w="27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267</w:t>
            </w:r>
          </w:p>
        </w:tc>
        <w:tc>
          <w:tcPr>
            <w:tcW w:w="40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140</w:t>
            </w:r>
          </w:p>
        </w:tc>
        <w:tc>
          <w:tcPr>
            <w:tcW w:w="403"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141</w:t>
            </w:r>
          </w:p>
        </w:tc>
        <w:tc>
          <w:tcPr>
            <w:tcW w:w="26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118</w:t>
            </w:r>
          </w:p>
        </w:tc>
        <w:tc>
          <w:tcPr>
            <w:tcW w:w="402"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704</w:t>
            </w:r>
          </w:p>
        </w:tc>
        <w:tc>
          <w:tcPr>
            <w:tcW w:w="23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71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525</w:t>
            </w:r>
          </w:p>
        </w:tc>
      </w:tr>
      <w:tr>
        <w:trPr>
          <w:trHeight w:val="280" w:hRule="atLeast"/>
        </w:trPr>
        <w:tc>
          <w:tcPr>
            <w:tcW w:w="1899" w:type="dxa"/>
            <w:vMerge w:val="restart"/>
            <w:tcBorders>
              <w:bottom w:val="single" w:sz="8" w:space="0" w:color="000000"/>
            </w:tcBorders>
            <w:shd w:color="auto" w:fill="auto" w:val="clear"/>
            <w:vAlign w:val="center"/>
          </w:tcPr>
          <w:p>
            <w:pPr>
              <w:pStyle w:val="Normal"/>
              <w:widowControl w:val="false"/>
              <w:spacing w:lineRule="auto" w:line="240" w:beforeAutospacing="1" w:after="0"/>
              <w:jc w:val="center"/>
              <w:rPr>
                <w:rFonts w:eastAsia="Times New Roman"/>
                <w:sz w:val="20"/>
                <w:szCs w:val="20"/>
                <w:lang w:val="en-US"/>
              </w:rPr>
            </w:pPr>
            <w:r>
              <w:rPr>
                <w:rFonts w:eastAsia="Times New Roman"/>
                <w:b/>
                <w:bCs/>
                <w:sz w:val="20"/>
                <w:szCs w:val="20"/>
                <w:lang w:val="en-US"/>
              </w:rPr>
              <w:t>Live Western hemlock</w:t>
            </w:r>
          </w:p>
        </w:tc>
        <w:tc>
          <w:tcPr>
            <w:tcW w:w="781" w:type="dxa"/>
            <w:tcBorders/>
            <w:shd w:color="auto" w:fill="auto" w:val="clear"/>
            <w:vAlign w:val="center"/>
          </w:tcPr>
          <w:p>
            <w:pPr>
              <w:pStyle w:val="Normal"/>
              <w:widowControl w:val="false"/>
              <w:spacing w:lineRule="auto" w:line="240"/>
              <w:jc w:val="center"/>
              <w:rPr>
                <w:rFonts w:eastAsia="Times New Roman"/>
                <w:sz w:val="20"/>
                <w:szCs w:val="20"/>
                <w:lang w:val="en-US"/>
              </w:rPr>
            </w:pPr>
            <w:r>
              <w:rPr>
                <w:rFonts w:eastAsia="Times New Roman"/>
                <w:sz w:val="20"/>
                <w:szCs w:val="20"/>
                <w:lang w:val="en-US"/>
              </w:rPr>
              <w:t>Mean</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10.6</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10.2</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5.8</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5.4</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8.4</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5.87</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r>
          </w:p>
        </w:tc>
        <w:tc>
          <w:tcPr>
            <w:tcW w:w="711"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7.62</w:t>
            </w:r>
          </w:p>
        </w:tc>
      </w:tr>
      <w:tr>
        <w:trPr>
          <w:trHeight w:val="280" w:hRule="atLeast"/>
        </w:trPr>
        <w:tc>
          <w:tcPr>
            <w:tcW w:w="1899" w:type="dxa"/>
            <w:vMerge w:val="continue"/>
            <w:tcBorders/>
            <w:shd w:color="auto" w:fill="auto" w:val="clear"/>
            <w:vAlign w:val="center"/>
          </w:tcPr>
          <w:p>
            <w:pPr>
              <w:pStyle w:val="Normal"/>
              <w:widowControl w:val="false"/>
              <w:spacing w:lineRule="auto" w:line="240" w:beforeAutospacing="1" w:after="0"/>
              <w:jc w:val="center"/>
              <w:rPr>
                <w:rFonts w:eastAsia="Times New Roman"/>
                <w:b/>
                <w:b/>
                <w:bCs/>
                <w:sz w:val="20"/>
                <w:szCs w:val="20"/>
                <w:lang w:val="en-US"/>
              </w:rPr>
            </w:pPr>
            <w:r>
              <w:rPr>
                <w:rFonts w:eastAsia="Times New Roman"/>
                <w:b/>
                <w:bCs/>
                <w:sz w:val="20"/>
                <w:szCs w:val="20"/>
                <w:lang w:val="en-US"/>
              </w:rPr>
            </w:r>
          </w:p>
        </w:tc>
        <w:tc>
          <w:tcPr>
            <w:tcW w:w="78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CI</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11.8</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rPr>
                <w:rFonts w:eastAsia="Times New Roman"/>
                <w:color w:val="000000" w:themeColor="text1"/>
                <w:sz w:val="20"/>
                <w:szCs w:val="20"/>
                <w:lang w:val="en-US"/>
              </w:rPr>
            </w:pPr>
            <w:r>
              <w:rPr>
                <w:rFonts w:eastAsia="Times New Roman"/>
                <w:color w:val="000000" w:themeColor="text1"/>
                <w:sz w:val="20"/>
                <w:szCs w:val="20"/>
                <w:lang w:val="en-US"/>
              </w:rPr>
              <w:t>8.1</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shd w:color="auto" w:fill="auto" w:val="clear"/>
            <w:vAlign w:val="bottom"/>
          </w:tcPr>
          <w:p>
            <w:pPr>
              <w:pStyle w:val="Normal"/>
              <w:widowControl w:val="false"/>
              <w:spacing w:lineRule="auto" w:line="240"/>
              <w:rPr>
                <w:rFonts w:eastAsia="Times New Roman"/>
                <w:color w:val="000000" w:themeColor="text1"/>
                <w:sz w:val="20"/>
                <w:szCs w:val="20"/>
                <w:lang w:val="en-US"/>
              </w:rPr>
            </w:pPr>
            <w:r>
              <w:rPr>
                <w:rFonts w:eastAsia="Times New Roman"/>
                <w:color w:val="000000" w:themeColor="text1"/>
                <w:sz w:val="20"/>
                <w:szCs w:val="20"/>
                <w:lang w:val="en-US"/>
              </w:rPr>
              <w:t>4.0</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6.2</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rPr>
                <w:rFonts w:eastAsia="Times New Roman"/>
                <w:color w:val="000000" w:themeColor="text1"/>
                <w:sz w:val="20"/>
                <w:szCs w:val="20"/>
                <w:lang w:val="en-US"/>
              </w:rPr>
            </w:pPr>
            <w:r>
              <w:rPr>
                <w:rFonts w:eastAsia="Times New Roman"/>
                <w:color w:val="000000" w:themeColor="text1"/>
                <w:sz w:val="20"/>
                <w:szCs w:val="20"/>
                <w:lang w:val="en-US"/>
              </w:rPr>
              <w:t xml:space="preserve"> </w:t>
            </w:r>
            <w:r>
              <w:rPr>
                <w:rFonts w:eastAsia="Times New Roman"/>
                <w:color w:val="000000" w:themeColor="text1"/>
                <w:sz w:val="20"/>
                <w:szCs w:val="20"/>
                <w:lang w:val="en-US"/>
              </w:rPr>
              <w:t>6.6</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7.7</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4.4</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r>
          </w:p>
        </w:tc>
        <w:tc>
          <w:tcPr>
            <w:tcW w:w="711"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3.9</w:t>
            </w:r>
          </w:p>
        </w:tc>
      </w:tr>
      <w:tr>
        <w:trPr>
          <w:trHeight w:val="280" w:hRule="atLeast"/>
        </w:trPr>
        <w:tc>
          <w:tcPr>
            <w:tcW w:w="1899" w:type="dxa"/>
            <w:vMerge w:val="continue"/>
            <w:tcBorders>
              <w:bottom w:val="single" w:sz="8" w:space="0" w:color="000000"/>
            </w:tcBorders>
            <w:shd w:color="auto" w:fill="auto" w:val="clear"/>
            <w:vAlign w:val="center"/>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81" w:type="dxa"/>
            <w:tcBorders>
              <w:bottom w:val="single" w:sz="8" w:space="0" w:color="000000"/>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t>Total</w:t>
            </w:r>
          </w:p>
        </w:tc>
        <w:tc>
          <w:tcPr>
            <w:tcW w:w="100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53</w:t>
            </w:r>
          </w:p>
        </w:tc>
        <w:tc>
          <w:tcPr>
            <w:tcW w:w="27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51</w:t>
            </w:r>
          </w:p>
        </w:tc>
        <w:tc>
          <w:tcPr>
            <w:tcW w:w="40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14</w:t>
            </w:r>
          </w:p>
        </w:tc>
        <w:tc>
          <w:tcPr>
            <w:tcW w:w="26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29</w:t>
            </w:r>
          </w:p>
        </w:tc>
        <w:tc>
          <w:tcPr>
            <w:tcW w:w="403"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27</w:t>
            </w:r>
          </w:p>
        </w:tc>
        <w:tc>
          <w:tcPr>
            <w:tcW w:w="26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42</w:t>
            </w:r>
          </w:p>
        </w:tc>
        <w:tc>
          <w:tcPr>
            <w:tcW w:w="402"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94</w:t>
            </w:r>
          </w:p>
        </w:tc>
        <w:tc>
          <w:tcPr>
            <w:tcW w:w="23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71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122</w:t>
            </w:r>
          </w:p>
        </w:tc>
      </w:tr>
      <w:tr>
        <w:trPr>
          <w:trHeight w:val="280" w:hRule="atLeast"/>
        </w:trPr>
        <w:tc>
          <w:tcPr>
            <w:tcW w:w="1899" w:type="dxa"/>
            <w:vMerge w:val="restart"/>
            <w:tcBorders>
              <w:bottom w:val="single" w:sz="8" w:space="0" w:color="000000"/>
            </w:tcBorders>
            <w:shd w:color="auto" w:fill="auto" w:val="clear"/>
            <w:vAlign w:val="center"/>
          </w:tcPr>
          <w:p>
            <w:pPr>
              <w:pStyle w:val="Normal"/>
              <w:widowControl w:val="false"/>
              <w:spacing w:lineRule="auto" w:line="240" w:beforeAutospacing="1" w:after="0"/>
              <w:jc w:val="center"/>
              <w:rPr>
                <w:rFonts w:eastAsia="Times New Roman"/>
                <w:sz w:val="20"/>
                <w:szCs w:val="20"/>
                <w:lang w:val="en-US"/>
              </w:rPr>
            </w:pPr>
            <w:r>
              <w:rPr>
                <w:rFonts w:eastAsia="Times New Roman"/>
                <w:b/>
                <w:bCs/>
                <w:sz w:val="20"/>
                <w:szCs w:val="20"/>
                <w:lang w:val="en-US"/>
              </w:rPr>
              <w:t>Live other species</w:t>
            </w:r>
          </w:p>
        </w:tc>
        <w:tc>
          <w:tcPr>
            <w:tcW w:w="78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Mean</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7.6</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3.6</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2.4</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4.13</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r>
          </w:p>
        </w:tc>
        <w:tc>
          <w:tcPr>
            <w:tcW w:w="71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2.4</w:t>
            </w:r>
          </w:p>
        </w:tc>
      </w:tr>
      <w:tr>
        <w:trPr>
          <w:trHeight w:val="280" w:hRule="atLeast"/>
        </w:trPr>
        <w:tc>
          <w:tcPr>
            <w:tcW w:w="1899" w:type="dxa"/>
            <w:vMerge w:val="continue"/>
            <w:tcBorders/>
            <w:shd w:color="auto" w:fill="auto" w:val="clear"/>
            <w:vAlign w:val="center"/>
          </w:tcPr>
          <w:p>
            <w:pPr>
              <w:pStyle w:val="Normal"/>
              <w:widowControl w:val="false"/>
              <w:spacing w:lineRule="auto" w:line="240" w:beforeAutospacing="1" w:after="0"/>
              <w:jc w:val="center"/>
              <w:rPr>
                <w:rFonts w:eastAsia="Times New Roman"/>
                <w:b/>
                <w:b/>
                <w:bCs/>
                <w:sz w:val="20"/>
                <w:szCs w:val="20"/>
                <w:lang w:val="en-US"/>
              </w:rPr>
            </w:pPr>
            <w:r>
              <w:rPr>
                <w:rFonts w:eastAsia="Times New Roman"/>
                <w:b/>
                <w:bCs/>
                <w:sz w:val="20"/>
                <w:szCs w:val="20"/>
                <w:lang w:val="en-US"/>
              </w:rPr>
            </w:r>
          </w:p>
        </w:tc>
        <w:tc>
          <w:tcPr>
            <w:tcW w:w="781" w:type="dxa"/>
            <w:tcBorders/>
            <w:shd w:color="auto" w:fill="auto" w:val="clear"/>
            <w:vAlign w:val="bottom"/>
          </w:tcPr>
          <w:p>
            <w:pPr>
              <w:pStyle w:val="Normal"/>
              <w:widowControl w:val="false"/>
              <w:spacing w:lineRule="auto" w:line="240"/>
              <w:rPr>
                <w:rFonts w:eastAsia="Times New Roman"/>
                <w:sz w:val="20"/>
                <w:szCs w:val="20"/>
                <w:lang w:val="en-US"/>
              </w:rPr>
            </w:pPr>
            <w:r>
              <w:rPr>
                <w:rFonts w:eastAsia="Times New Roman"/>
                <w:sz w:val="20"/>
                <w:szCs w:val="20"/>
                <w:lang w:val="en-US"/>
              </w:rPr>
              <w:t xml:space="preserve">   </w:t>
            </w:r>
            <w:r>
              <w:rPr>
                <w:rFonts w:eastAsia="Times New Roman"/>
                <w:sz w:val="20"/>
                <w:szCs w:val="20"/>
                <w:lang w:val="en-US"/>
              </w:rPr>
              <w:t>CI</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7.3</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rPr>
                <w:rFonts w:eastAsia="Times New Roman"/>
                <w:color w:val="000000" w:themeColor="text1"/>
                <w:sz w:val="20"/>
                <w:szCs w:val="20"/>
                <w:lang w:val="en-US"/>
              </w:rPr>
            </w:pPr>
            <w:r>
              <w:rPr>
                <w:rFonts w:eastAsia="Times New Roman"/>
                <w:color w:val="000000" w:themeColor="text1"/>
                <w:sz w:val="20"/>
                <w:szCs w:val="20"/>
                <w:lang w:val="en-US"/>
              </w:rPr>
              <w:t xml:space="preserve"> </w:t>
            </w:r>
            <w:r>
              <w:rPr>
                <w:rFonts w:eastAsia="Times New Roman"/>
                <w:color w:val="000000" w:themeColor="text1"/>
                <w:sz w:val="20"/>
                <w:szCs w:val="20"/>
                <w:lang w:val="en-US"/>
              </w:rPr>
              <w:t>5.0</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4.4</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0.9</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2.2</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1.1</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3.2</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r>
          </w:p>
        </w:tc>
        <w:tc>
          <w:tcPr>
            <w:tcW w:w="71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1.2</w:t>
            </w:r>
          </w:p>
        </w:tc>
      </w:tr>
      <w:tr>
        <w:trPr>
          <w:trHeight w:val="280" w:hRule="atLeast"/>
        </w:trPr>
        <w:tc>
          <w:tcPr>
            <w:tcW w:w="1899" w:type="dxa"/>
            <w:vMerge w:val="continue"/>
            <w:tcBorders>
              <w:bottom w:val="single" w:sz="8" w:space="0" w:color="000000"/>
            </w:tcBorders>
            <w:shd w:color="auto" w:fill="auto" w:val="clear"/>
            <w:vAlign w:val="center"/>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81" w:type="dxa"/>
            <w:tcBorders>
              <w:bottom w:val="single" w:sz="8" w:space="0" w:color="000000"/>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t>Total</w:t>
            </w:r>
          </w:p>
        </w:tc>
        <w:tc>
          <w:tcPr>
            <w:tcW w:w="100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38</w:t>
            </w:r>
          </w:p>
        </w:tc>
        <w:tc>
          <w:tcPr>
            <w:tcW w:w="27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15</w:t>
            </w:r>
          </w:p>
        </w:tc>
        <w:tc>
          <w:tcPr>
            <w:tcW w:w="26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3"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6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w:t>
            </w:r>
          </w:p>
        </w:tc>
        <w:tc>
          <w:tcPr>
            <w:tcW w:w="402"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63</w:t>
            </w:r>
          </w:p>
        </w:tc>
        <w:tc>
          <w:tcPr>
            <w:tcW w:w="23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71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36</w:t>
            </w:r>
          </w:p>
        </w:tc>
      </w:tr>
      <w:tr>
        <w:trPr>
          <w:trHeight w:val="290" w:hRule="atLeast"/>
        </w:trPr>
        <w:tc>
          <w:tcPr>
            <w:tcW w:w="1899" w:type="dxa"/>
            <w:vMerge w:val="restart"/>
            <w:tcBorders>
              <w:bottom w:val="single" w:sz="8" w:space="0" w:color="000000"/>
            </w:tcBorders>
            <w:shd w:color="auto" w:fill="auto" w:val="clear"/>
            <w:vAlign w:val="center"/>
          </w:tcPr>
          <w:p>
            <w:pPr>
              <w:pStyle w:val="Normal"/>
              <w:widowControl w:val="false"/>
              <w:spacing w:lineRule="auto" w:line="240" w:beforeAutospacing="1" w:after="0"/>
              <w:jc w:val="center"/>
              <w:rPr>
                <w:rFonts w:eastAsia="Times New Roman"/>
                <w:sz w:val="20"/>
                <w:szCs w:val="20"/>
                <w:lang w:val="en-US"/>
              </w:rPr>
            </w:pPr>
            <w:r>
              <w:rPr>
                <w:rFonts w:eastAsia="Times New Roman"/>
                <w:b/>
                <w:bCs/>
                <w:sz w:val="20"/>
                <w:szCs w:val="20"/>
                <w:lang w:val="en-US"/>
              </w:rPr>
              <w:t>Total</w:t>
              <w:br/>
              <w:t>live trees</w:t>
            </w:r>
          </w:p>
        </w:tc>
        <w:tc>
          <w:tcPr>
            <w:tcW w:w="78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Mean</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95.2</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69.4</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43</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36.2</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32.8</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18.7</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r>
          </w:p>
        </w:tc>
        <w:tc>
          <w:tcPr>
            <w:tcW w:w="711"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14.8</w:t>
            </w:r>
          </w:p>
        </w:tc>
      </w:tr>
      <w:tr>
        <w:trPr>
          <w:trHeight w:val="290" w:hRule="atLeast"/>
        </w:trPr>
        <w:tc>
          <w:tcPr>
            <w:tcW w:w="1899" w:type="dxa"/>
            <w:vMerge w:val="continue"/>
            <w:tcBorders/>
            <w:shd w:color="auto" w:fill="auto" w:val="clear"/>
            <w:vAlign w:val="center"/>
          </w:tcPr>
          <w:p>
            <w:pPr>
              <w:pStyle w:val="Normal"/>
              <w:widowControl w:val="false"/>
              <w:spacing w:lineRule="auto" w:line="240" w:beforeAutospacing="1" w:after="0"/>
              <w:jc w:val="center"/>
              <w:rPr>
                <w:rFonts w:eastAsia="Times New Roman"/>
                <w:b/>
                <w:b/>
                <w:bCs/>
                <w:sz w:val="20"/>
                <w:szCs w:val="20"/>
                <w:lang w:val="en-US"/>
              </w:rPr>
            </w:pPr>
            <w:r>
              <w:rPr>
                <w:rFonts w:eastAsia="Times New Roman"/>
                <w:b/>
                <w:bCs/>
                <w:sz w:val="20"/>
                <w:szCs w:val="20"/>
                <w:lang w:val="en-US"/>
              </w:rPr>
            </w:r>
          </w:p>
        </w:tc>
        <w:tc>
          <w:tcPr>
            <w:tcW w:w="78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CI</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19.8</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13.8</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8.5</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6.6</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7.1</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6.0</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7.7</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r>
          </w:p>
        </w:tc>
        <w:tc>
          <w:tcPr>
            <w:tcW w:w="711"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5.5</w:t>
            </w:r>
          </w:p>
        </w:tc>
      </w:tr>
      <w:tr>
        <w:trPr>
          <w:trHeight w:val="300" w:hRule="atLeast"/>
        </w:trPr>
        <w:tc>
          <w:tcPr>
            <w:tcW w:w="1899" w:type="dxa"/>
            <w:vMerge w:val="continue"/>
            <w:tcBorders>
              <w:bottom w:val="single" w:sz="8" w:space="0" w:color="000000"/>
            </w:tcBorders>
            <w:shd w:color="auto" w:fill="auto" w:val="clear"/>
            <w:vAlign w:val="center"/>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81" w:type="dxa"/>
            <w:tcBorders>
              <w:bottom w:val="single" w:sz="8" w:space="0" w:color="000000"/>
            </w:tcBorders>
            <w:shd w:color="auto" w:fill="auto" w:val="clear"/>
            <w:vAlign w:val="bottom"/>
          </w:tcPr>
          <w:p>
            <w:pPr>
              <w:pStyle w:val="Normal"/>
              <w:widowControl w:val="false"/>
              <w:spacing w:lineRule="auto" w:line="240"/>
              <w:jc w:val="center"/>
              <w:rPr>
                <w:rFonts w:eastAsia="Times New Roman"/>
                <w:b/>
                <w:b/>
                <w:bCs/>
                <w:sz w:val="20"/>
                <w:szCs w:val="20"/>
                <w:lang w:val="en-US"/>
              </w:rPr>
            </w:pPr>
            <w:r>
              <w:rPr>
                <w:rFonts w:eastAsia="Times New Roman"/>
                <w:b/>
                <w:bCs/>
                <w:sz w:val="20"/>
                <w:szCs w:val="20"/>
                <w:lang w:val="en-US"/>
              </w:rPr>
              <w:t>Total</w:t>
            </w:r>
          </w:p>
        </w:tc>
        <w:tc>
          <w:tcPr>
            <w:tcW w:w="100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476</w:t>
            </w:r>
          </w:p>
        </w:tc>
        <w:tc>
          <w:tcPr>
            <w:tcW w:w="27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336</w:t>
            </w:r>
          </w:p>
        </w:tc>
        <w:tc>
          <w:tcPr>
            <w:tcW w:w="40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207</w:t>
            </w:r>
          </w:p>
        </w:tc>
        <w:tc>
          <w:tcPr>
            <w:tcW w:w="26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182</w:t>
            </w:r>
          </w:p>
        </w:tc>
        <w:tc>
          <w:tcPr>
            <w:tcW w:w="403"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166</w:t>
            </w:r>
          </w:p>
        </w:tc>
        <w:tc>
          <w:tcPr>
            <w:tcW w:w="402"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860</w:t>
            </w:r>
          </w:p>
        </w:tc>
        <w:tc>
          <w:tcPr>
            <w:tcW w:w="23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71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683</w:t>
            </w:r>
          </w:p>
        </w:tc>
      </w:tr>
      <w:tr>
        <w:trPr>
          <w:trHeight w:val="290" w:hRule="atLeast"/>
        </w:trPr>
        <w:tc>
          <w:tcPr>
            <w:tcW w:w="1899" w:type="dxa"/>
            <w:tcBorders/>
            <w:shd w:color="auto" w:fill="auto" w:val="clear"/>
            <w:vAlign w:val="center"/>
          </w:tcPr>
          <w:p>
            <w:pPr>
              <w:pStyle w:val="Normal"/>
              <w:widowControl w:val="false"/>
              <w:spacing w:lineRule="auto" w:line="240" w:beforeAutospacing="1" w:after="0"/>
              <w:jc w:val="center"/>
              <w:rPr>
                <w:rFonts w:eastAsia="Times New Roman"/>
                <w:b/>
                <w:b/>
                <w:bCs/>
                <w:sz w:val="20"/>
                <w:szCs w:val="20"/>
                <w:lang w:val="en-US"/>
              </w:rPr>
            </w:pPr>
            <w:r>
              <w:rPr>
                <w:rFonts w:eastAsia="Times New Roman"/>
                <w:b/>
                <w:bCs/>
                <w:sz w:val="20"/>
                <w:szCs w:val="20"/>
                <w:lang w:val="en-US"/>
              </w:rPr>
              <w:t>Total BA of</w:t>
            </w:r>
          </w:p>
        </w:tc>
        <w:tc>
          <w:tcPr>
            <w:tcW w:w="781" w:type="dxa"/>
            <w:tcBorders/>
            <w:shd w:color="auto" w:fill="auto" w:val="clear"/>
            <w:vAlign w:val="bottom"/>
          </w:tcPr>
          <w:p>
            <w:pPr>
              <w:pStyle w:val="Normal"/>
              <w:widowControl w:val="false"/>
              <w:spacing w:lineRule="auto" w:line="240"/>
              <w:jc w:val="center"/>
              <w:rPr>
                <w:rFonts w:eastAsia="Times New Roman"/>
                <w:sz w:val="20"/>
                <w:szCs w:val="20"/>
                <w:lang w:val="en-US"/>
              </w:rPr>
            </w:pPr>
            <w:commentRangeStart w:id="1"/>
            <w:r>
              <w:rPr>
                <w:rFonts w:eastAsia="Times New Roman"/>
                <w:sz w:val="20"/>
                <w:szCs w:val="20"/>
                <w:lang w:val="en-US"/>
              </w:rPr>
              <w:t>Mean</w:t>
            </w:r>
          </w:p>
        </w:tc>
        <w:tc>
          <w:tcPr>
            <w:tcW w:w="100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9.3</w:t>
            </w:r>
          </w:p>
        </w:tc>
        <w:tc>
          <w:tcPr>
            <w:tcW w:w="271"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12.6</w:t>
            </w:r>
          </w:p>
        </w:tc>
        <w:tc>
          <w:tcPr>
            <w:tcW w:w="405" w:type="dxa"/>
            <w:tcBorders/>
            <w:shd w:color="auto" w:fill="auto" w:val="clear"/>
            <w:vAlign w:val="bottom"/>
          </w:tcPr>
          <w:p>
            <w:pPr>
              <w:pStyle w:val="Normal"/>
              <w:widowControl w:val="false"/>
              <w:spacing w:lineRule="auto" w:line="240"/>
              <w:jc w:val="center"/>
              <w:rPr>
                <w:rFonts w:eastAsia="Times New Roman"/>
                <w:color w:val="000000" w:themeColor="text1"/>
                <w:sz w:val="20"/>
                <w:szCs w:val="20"/>
                <w:highlight w:val="yellow"/>
                <w:lang w:val="en-US"/>
              </w:rPr>
            </w:pPr>
            <w:r>
              <w:rPr>
                <w:rFonts w:eastAsia="Times New Roman"/>
                <w:color w:val="000000" w:themeColor="text1"/>
                <w:sz w:val="20"/>
                <w:szCs w:val="20"/>
                <w:highlight w:val="yellow"/>
                <w:lang w:val="en-US"/>
              </w:rPr>
            </w:r>
          </w:p>
        </w:tc>
        <w:tc>
          <w:tcPr>
            <w:tcW w:w="677"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5.43</w:t>
            </w:r>
          </w:p>
        </w:tc>
        <w:tc>
          <w:tcPr>
            <w:tcW w:w="26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9.72</w:t>
            </w:r>
          </w:p>
        </w:tc>
        <w:tc>
          <w:tcPr>
            <w:tcW w:w="403"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5.9</w:t>
            </w:r>
          </w:p>
        </w:tc>
        <w:tc>
          <w:tcPr>
            <w:tcW w:w="26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9.5</w:t>
            </w:r>
          </w:p>
        </w:tc>
        <w:tc>
          <w:tcPr>
            <w:tcW w:w="402"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6.9</w:t>
            </w:r>
          </w:p>
        </w:tc>
        <w:tc>
          <w:tcPr>
            <w:tcW w:w="235" w:type="dxa"/>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711" w:type="dxa"/>
            <w:tcBorders/>
            <w:shd w:color="auto" w:fill="auto" w:val="clear"/>
            <w:vAlign w:val="bottom"/>
          </w:tcPr>
          <w:p>
            <w:pPr>
              <w:pStyle w:val="Normal"/>
              <w:widowControl w:val="false"/>
              <w:spacing w:lineRule="auto" w:line="240"/>
              <w:rPr>
                <w:rFonts w:eastAsia="Times New Roman"/>
                <w:color w:val="000000" w:themeColor="text1"/>
                <w:sz w:val="20"/>
                <w:szCs w:val="20"/>
                <w:lang w:val="en-US"/>
              </w:rPr>
            </w:pPr>
            <w:r>
              <w:rPr>
                <w:rFonts w:eastAsia="Times New Roman"/>
                <w:color w:val="000000" w:themeColor="text1"/>
                <w:sz w:val="20"/>
                <w:szCs w:val="20"/>
                <w:lang w:val="en-US"/>
              </w:rPr>
              <w:t>10.6</w:t>
            </w:r>
          </w:p>
        </w:tc>
      </w:tr>
      <w:tr>
        <w:trPr>
          <w:trHeight w:val="290" w:hRule="atLeast"/>
        </w:trPr>
        <w:tc>
          <w:tcPr>
            <w:tcW w:w="1899" w:type="dxa"/>
            <w:tcBorders>
              <w:bottom w:val="single" w:sz="8" w:space="0" w:color="000000"/>
            </w:tcBorders>
            <w:shd w:color="auto" w:fill="auto" w:val="clear"/>
            <w:vAlign w:val="center"/>
          </w:tcPr>
          <w:p>
            <w:pPr>
              <w:pStyle w:val="Normal"/>
              <w:widowControl w:val="false"/>
              <w:spacing w:lineRule="auto" w:line="240" w:beforeAutospacing="1" w:after="0"/>
              <w:jc w:val="center"/>
              <w:rPr>
                <w:b/>
                <w:b/>
                <w:bCs/>
                <w:sz w:val="20"/>
                <w:szCs w:val="20"/>
              </w:rPr>
            </w:pPr>
            <w:r>
              <w:rPr>
                <w:rFonts w:eastAsia="Times New Roman"/>
                <w:b/>
                <w:bCs/>
                <w:sz w:val="20"/>
                <w:szCs w:val="20"/>
                <w:lang w:val="en-US"/>
              </w:rPr>
              <w:t>Douglas-fir</w:t>
              <w:br/>
              <w:t>(m</w:t>
            </w:r>
            <w:r>
              <w:rPr>
                <w:b/>
                <w:bCs/>
                <w:sz w:val="20"/>
                <w:szCs w:val="20"/>
                <w:vertAlign w:val="superscript"/>
              </w:rPr>
              <w:t>2</w:t>
            </w:r>
            <w:r>
              <w:rPr>
                <w:rFonts w:eastAsia="Times New Roman"/>
                <w:b/>
                <w:bCs/>
                <w:sz w:val="20"/>
                <w:szCs w:val="20"/>
                <w:lang w:val="en-US"/>
              </w:rPr>
              <w:t>ha</w:t>
            </w:r>
            <w:r>
              <w:rPr>
                <w:rFonts w:eastAsia="Times New Roman"/>
                <w:b/>
                <w:bCs/>
                <w:sz w:val="20"/>
                <w:szCs w:val="20"/>
                <w:vertAlign w:val="superscript"/>
                <w:lang w:val="en-US"/>
              </w:rPr>
              <w:t>-1</w:t>
            </w:r>
            <w:r>
              <w:rPr>
                <w:rFonts w:eastAsia="Times New Roman"/>
                <w:b/>
                <w:bCs/>
                <w:sz w:val="20"/>
                <w:szCs w:val="20"/>
                <w:lang w:val="en-US"/>
              </w:rPr>
              <w:t>)</w:t>
            </w:r>
          </w:p>
        </w:tc>
        <w:tc>
          <w:tcPr>
            <w:tcW w:w="781" w:type="dxa"/>
            <w:tcBorders>
              <w:bottom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CI</w:t>
            </w:r>
          </w:p>
        </w:tc>
        <w:tc>
          <w:tcPr>
            <w:tcW w:w="100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1.08</w:t>
            </w:r>
          </w:p>
        </w:tc>
        <w:tc>
          <w:tcPr>
            <w:tcW w:w="27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6"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3.52</w:t>
            </w:r>
          </w:p>
        </w:tc>
        <w:tc>
          <w:tcPr>
            <w:tcW w:w="40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7"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0.71</w:t>
            </w:r>
          </w:p>
        </w:tc>
        <w:tc>
          <w:tcPr>
            <w:tcW w:w="26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1.33</w:t>
            </w:r>
          </w:p>
        </w:tc>
        <w:tc>
          <w:tcPr>
            <w:tcW w:w="403"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8"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26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2"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679"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35"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r>
          </w:p>
        </w:tc>
        <w:tc>
          <w:tcPr>
            <w:tcW w:w="711" w:type="dxa"/>
            <w:tcBorders>
              <w:bottom w:val="single" w:sz="8" w:space="0" w:color="000000"/>
            </w:tcBorders>
            <w:shd w:color="auto" w:fill="auto" w:val="clear"/>
            <w:vAlign w:val="bottom"/>
          </w:tcPr>
          <w:p>
            <w:pPr>
              <w:pStyle w:val="Normal"/>
              <w:widowControl w:val="false"/>
              <w:spacing w:lineRule="auto" w:line="240"/>
              <w:jc w:val="center"/>
              <w:rPr>
                <w:rFonts w:eastAsia="Times New Roman"/>
                <w:color w:val="000000" w:themeColor="text1"/>
                <w:sz w:val="20"/>
                <w:szCs w:val="20"/>
                <w:lang w:val="en-US"/>
              </w:rPr>
            </w:pPr>
            <w:r>
              <w:rPr>
                <w:rFonts w:eastAsia="Times New Roman"/>
                <w:color w:val="000000" w:themeColor="text1"/>
                <w:sz w:val="20"/>
                <w:szCs w:val="20"/>
                <w:lang w:val="en-US"/>
              </w:rPr>
              <w:t>1.4</w:t>
            </w:r>
            <w:commentRangeEnd w:id="1"/>
            <w:r>
              <w:commentReference w:id="1"/>
            </w:r>
            <w:r>
              <w:rPr>
                <w:rFonts w:eastAsia="Times New Roman"/>
                <w:color w:val="000000" w:themeColor="text1"/>
                <w:sz w:val="20"/>
                <w:szCs w:val="20"/>
                <w:lang w:val="en-US"/>
              </w:rPr>
            </w:r>
          </w:p>
        </w:tc>
      </w:tr>
      <w:tr>
        <w:trPr>
          <w:trHeight w:val="300" w:hRule="atLeast"/>
        </w:trPr>
        <w:tc>
          <w:tcPr>
            <w:tcW w:w="1899" w:type="dxa"/>
            <w:tcBorders>
              <w:top w:val="single" w:sz="8" w:space="0" w:color="000000"/>
            </w:tcBorders>
            <w:shd w:color="auto" w:fill="auto" w:val="clear"/>
            <w:vAlign w:val="center"/>
          </w:tcPr>
          <w:p>
            <w:pPr>
              <w:pStyle w:val="Normal"/>
              <w:widowControl w:val="false"/>
              <w:spacing w:lineRule="auto" w:line="240" w:beforeAutospacing="1" w:after="0"/>
              <w:jc w:val="center"/>
              <w:rPr>
                <w:rFonts w:eastAsia="Times New Roman"/>
                <w:sz w:val="20"/>
                <w:szCs w:val="20"/>
                <w:lang w:val="en-US"/>
              </w:rPr>
            </w:pPr>
            <w:r>
              <w:rPr>
                <w:rFonts w:eastAsia="Times New Roman"/>
                <w:b/>
                <w:bCs/>
                <w:sz w:val="20"/>
                <w:szCs w:val="20"/>
                <w:lang w:val="en-US"/>
              </w:rPr>
              <w:t>Douglas-fir as</w:t>
            </w:r>
            <w:r>
              <w:rPr>
                <w:rFonts w:eastAsia="Times New Roman"/>
                <w:sz w:val="20"/>
                <w:szCs w:val="20"/>
                <w:lang w:val="en-US"/>
              </w:rPr>
              <w:t xml:space="preserve"> </w:t>
            </w:r>
            <w:r>
              <w:rPr>
                <w:rFonts w:eastAsia="Times New Roman"/>
                <w:b/>
                <w:bCs/>
                <w:sz w:val="20"/>
                <w:szCs w:val="20"/>
                <w:lang w:val="en-US"/>
              </w:rPr>
              <w:t>percentage</w:t>
            </w:r>
          </w:p>
        </w:tc>
        <w:tc>
          <w:tcPr>
            <w:tcW w:w="781" w:type="dxa"/>
            <w:tcBorders>
              <w:top w:val="single" w:sz="8" w:space="0" w:color="000000"/>
            </w:tcBorders>
            <w:shd w:color="auto" w:fill="auto" w:val="clear"/>
            <w:vAlign w:val="bottom"/>
          </w:tcPr>
          <w:p>
            <w:pPr>
              <w:pStyle w:val="Normal"/>
              <w:widowControl w:val="false"/>
              <w:spacing w:lineRule="auto" w:line="240"/>
              <w:rPr>
                <w:rFonts w:eastAsia="Times New Roman"/>
                <w:b/>
                <w:b/>
                <w:bCs/>
                <w:sz w:val="20"/>
                <w:szCs w:val="20"/>
                <w:lang w:val="en-US"/>
              </w:rPr>
            </w:pPr>
            <w:r>
              <w:rPr>
                <w:rFonts w:eastAsia="Times New Roman"/>
                <w:b/>
                <w:bCs/>
                <w:sz w:val="20"/>
                <w:szCs w:val="20"/>
                <w:lang w:val="en-US"/>
              </w:rPr>
              <w:t>Total</w:t>
            </w:r>
          </w:p>
        </w:tc>
        <w:tc>
          <w:tcPr>
            <w:tcW w:w="1006"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81%</w:t>
            </w:r>
          </w:p>
        </w:tc>
        <w:tc>
          <w:tcPr>
            <w:tcW w:w="271"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6"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79%</w:t>
            </w:r>
          </w:p>
        </w:tc>
        <w:tc>
          <w:tcPr>
            <w:tcW w:w="405"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7"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86%</w:t>
            </w:r>
          </w:p>
        </w:tc>
        <w:tc>
          <w:tcPr>
            <w:tcW w:w="268"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8"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77%</w:t>
            </w:r>
          </w:p>
        </w:tc>
        <w:tc>
          <w:tcPr>
            <w:tcW w:w="403"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8"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79%</w:t>
            </w:r>
          </w:p>
        </w:tc>
        <w:tc>
          <w:tcPr>
            <w:tcW w:w="265"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9"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71%</w:t>
            </w:r>
          </w:p>
        </w:tc>
        <w:tc>
          <w:tcPr>
            <w:tcW w:w="402"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9"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82%</w:t>
            </w:r>
          </w:p>
        </w:tc>
        <w:tc>
          <w:tcPr>
            <w:tcW w:w="235"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11" w:type="dxa"/>
            <w:tcBorders>
              <w:top w:val="single" w:sz="8" w:space="0" w:color="000000"/>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t>77%</w:t>
            </w:r>
          </w:p>
        </w:tc>
      </w:tr>
      <w:tr>
        <w:trPr>
          <w:trHeight w:val="290" w:hRule="exact"/>
        </w:trPr>
        <w:tc>
          <w:tcPr>
            <w:tcW w:w="1899" w:type="dxa"/>
            <w:tcBorders/>
            <w:shd w:color="auto" w:fill="auto" w:val="clear"/>
            <w:vAlign w:val="center"/>
          </w:tcPr>
          <w:p>
            <w:pPr>
              <w:pStyle w:val="Normal"/>
              <w:widowControl w:val="false"/>
              <w:spacing w:lineRule="auto" w:line="240" w:beforeAutospacing="1" w:after="0"/>
              <w:jc w:val="center"/>
              <w:rPr>
                <w:rFonts w:eastAsia="Times New Roman"/>
                <w:sz w:val="20"/>
                <w:szCs w:val="20"/>
                <w:lang w:val="en-US"/>
              </w:rPr>
            </w:pPr>
            <w:r>
              <w:rPr>
                <w:rFonts w:eastAsia="Times New Roman"/>
                <w:b/>
                <w:bCs/>
                <w:sz w:val="20"/>
                <w:szCs w:val="20"/>
                <w:lang w:val="en-US"/>
              </w:rPr>
              <w:t>of total trees</w:t>
              <w:br/>
            </w:r>
          </w:p>
        </w:tc>
        <w:tc>
          <w:tcPr>
            <w:tcW w:w="78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1006"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27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6"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405"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7"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268"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403"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8"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265"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402"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679"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235"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c>
          <w:tcPr>
            <w:tcW w:w="711" w:type="dxa"/>
            <w:tcBorders/>
            <w:shd w:color="auto" w:fill="auto" w:val="clear"/>
            <w:vAlign w:val="bottom"/>
          </w:tcPr>
          <w:p>
            <w:pPr>
              <w:pStyle w:val="Normal"/>
              <w:widowControl w:val="false"/>
              <w:spacing w:lineRule="auto" w:line="240"/>
              <w:jc w:val="center"/>
              <w:rPr>
                <w:rFonts w:eastAsia="Times New Roman"/>
                <w:sz w:val="20"/>
                <w:szCs w:val="20"/>
                <w:lang w:val="en-US"/>
              </w:rPr>
            </w:pPr>
            <w:r>
              <w:rPr>
                <w:rFonts w:eastAsia="Times New Roman"/>
                <w:sz w:val="20"/>
                <w:szCs w:val="20"/>
                <w:lang w:val="en-US"/>
              </w:rPr>
            </w:r>
          </w:p>
        </w:tc>
      </w:tr>
    </w:tbl>
    <w:p>
      <w:pPr>
        <w:sectPr>
          <w:footerReference w:type="default" r:id="rId13"/>
          <w:type w:val="nextPage"/>
          <w:pgSz w:w="12240" w:h="15840"/>
          <w:pgMar w:left="1440" w:right="1440" w:header="0" w:top="2013" w:footer="0" w:bottom="1440" w:gutter="0"/>
          <w:lnNumType w:countBy="1" w:restart="continuous" w:distance="283"/>
          <w:pgNumType w:start="1" w:fmt="decimal"/>
          <w:formProt w:val="false"/>
          <w:textDirection w:val="lrTb"/>
          <w:docGrid w:type="default" w:linePitch="299" w:charSpace="45056"/>
        </w:sectPr>
      </w:pPr>
    </w:p>
    <w:p>
      <w:pPr>
        <w:pStyle w:val="Normal"/>
        <w:spacing w:lineRule="auto" w:line="480"/>
        <w:rPr>
          <w:b/>
          <w:b/>
          <w:sz w:val="24"/>
          <w:szCs w:val="24"/>
        </w:rPr>
      </w:pPr>
      <w:r>
        <w:rPr>
          <w:b/>
          <w:sz w:val="24"/>
          <w:szCs w:val="24"/>
        </w:rPr>
        <w:t xml:space="preserve">3.2 Thinning study, cumulative proportion mortality of LRR </w:t>
      </w:r>
    </w:p>
    <w:p>
      <w:pPr>
        <w:pStyle w:val="Normal"/>
        <w:spacing w:lineRule="auto" w:line="480"/>
        <w:rPr>
          <w:bCs/>
          <w:sz w:val="24"/>
          <w:szCs w:val="24"/>
        </w:rPr>
      </w:pPr>
      <w:r>
        <w:rPr>
          <w:bCs/>
          <w:sz w:val="24"/>
          <w:szCs w:val="24"/>
        </w:rPr>
        <w:t xml:space="preserve">At the beginning of the study, LRR accounted for 10% of the mortality in unthinned stands (n = 65/592), 19% in lightly thinned stands (n = 63/321), and 19% in thinned stands (n = 51/265). By the conclusion of the study, LRR had accounted for 25% mortality in unthinned (n = 92/361), 36% in lightly thinned stands (n = 72/195), and 34% in thinned stands (n = 60/172).   </w:t>
      </w:r>
    </w:p>
    <w:p>
      <w:pPr>
        <w:pStyle w:val="Normal"/>
        <w:spacing w:lineRule="auto" w:line="480"/>
        <w:ind w:firstLine="720"/>
        <w:rPr>
          <w:sz w:val="24"/>
          <w:szCs w:val="24"/>
          <w:highlight w:val="white"/>
        </w:rPr>
      </w:pPr>
      <w:r>
        <w:rPr>
          <w:sz w:val="24"/>
          <w:szCs w:val="24"/>
          <w:highlight w:val="white"/>
        </w:rPr>
        <w:t xml:space="preserve">The multi-level ANOVA showed </w:t>
      </w:r>
      <w:del w:id="909" w:author="LeBoldus, Jared" w:date="2022-11-04T14:58:00Z">
        <w:r>
          <w:rPr>
            <w:sz w:val="24"/>
            <w:szCs w:val="24"/>
            <w:highlight w:val="white"/>
          </w:rPr>
          <w:delText xml:space="preserve">The one-way analysis of variance showed no significant </w:delText>
        </w:r>
      </w:del>
      <w:r>
        <w:rPr>
          <w:sz w:val="24"/>
          <w:szCs w:val="24"/>
        </w:rPr>
        <w:t>that there</w:t>
      </w:r>
      <w:ins w:id="910" w:author="LeBoldus, Jared" w:date="2022-11-04T14:58:00Z">
        <w:r>
          <w:rPr>
            <w:sz w:val="24"/>
            <w:szCs w:val="24"/>
          </w:rPr>
          <w:t xml:space="preserve"> was no </w:t>
        </w:r>
      </w:ins>
      <w:del w:id="911" w:author="LeBoldus, Jared" w:date="2022-11-04T14:58:00Z">
        <w:r>
          <w:rPr>
            <w:sz w:val="24"/>
            <w:szCs w:val="24"/>
          </w:rPr>
          <w:delText xml:space="preserve">of </w:delText>
        </w:r>
      </w:del>
      <w:r>
        <w:rPr>
          <w:sz w:val="24"/>
          <w:szCs w:val="24"/>
        </w:rPr>
        <w:t>effect of blocking or treatment on proportion of mortality</w:t>
      </w:r>
      <w:r>
        <w:rPr>
          <w:sz w:val="24"/>
          <w:szCs w:val="24"/>
          <w:highlight w:val="white"/>
        </w:rPr>
        <w:t xml:space="preserve"> </w:t>
      </w:r>
      <w:ins w:id="912" w:author="LeBoldus, Jared" w:date="2022-11-04T15:00:00Z">
        <w:r>
          <w:rPr>
            <w:sz w:val="24"/>
            <w:szCs w:val="24"/>
            <w:highlight w:val="white"/>
          </w:rPr>
          <w:t>(Table 2)</w:t>
        </w:r>
      </w:ins>
      <w:ins w:id="913" w:author="LeBoldus, Jared" w:date="2022-11-04T15:01:00Z">
        <w:r>
          <w:rPr>
            <w:sz w:val="24"/>
            <w:szCs w:val="24"/>
            <w:highlight w:val="white"/>
          </w:rPr>
          <w:t xml:space="preserve"> </w:t>
        </w:r>
      </w:ins>
      <w:ins w:id="914" w:author="LeBoldus, Jared" w:date="2022-11-04T14:59:00Z">
        <w:r>
          <w:rPr>
            <w:sz w:val="24"/>
            <w:szCs w:val="24"/>
            <w:highlight w:val="white"/>
          </w:rPr>
          <w:t>nor was there an effect when the two thinning treatments were combined</w:t>
        </w:r>
      </w:ins>
      <w:ins w:id="915" w:author="LeBoldus, Jared" w:date="2022-11-04T15:00:00Z">
        <w:r>
          <w:rPr>
            <w:sz w:val="24"/>
            <w:szCs w:val="24"/>
            <w:highlight w:val="white"/>
          </w:rPr>
          <w:t xml:space="preserve"> and compared to the control </w:t>
        </w:r>
      </w:ins>
      <w:del w:id="916" w:author="LeBoldus, Jared" w:date="2022-11-04T15:00:00Z">
        <w:r>
          <w:rPr>
            <w:sz w:val="24"/>
            <w:szCs w:val="24"/>
            <w:highlight w:val="white"/>
          </w:rPr>
          <w:delText>(Table 2). There was also no significance found when the two thinned treatment areas were combined and compared against the control stands</w:delText>
        </w:r>
      </w:del>
      <w:del w:id="917" w:author="LeBoldus, Jared" w:date="2022-11-04T15:02:00Z">
        <w:r>
          <w:rPr>
            <w:sz w:val="24"/>
            <w:szCs w:val="24"/>
            <w:highlight w:val="white"/>
          </w:rPr>
          <w:delText xml:space="preserve"> </w:delText>
        </w:r>
      </w:del>
      <w:r>
        <w:rPr>
          <w:sz w:val="24"/>
          <w:szCs w:val="24"/>
          <w:highlight w:val="white"/>
        </w:rPr>
        <w:t>(Treatment F</w:t>
      </w:r>
      <w:r>
        <w:rPr>
          <w:sz w:val="24"/>
          <w:szCs w:val="24"/>
          <w:highlight w:val="white"/>
          <w:vertAlign w:val="subscript"/>
        </w:rPr>
        <w:t>1,9</w:t>
      </w:r>
      <w:r>
        <w:rPr>
          <w:sz w:val="24"/>
          <w:szCs w:val="24"/>
          <w:highlight w:val="white"/>
        </w:rPr>
        <w:t xml:space="preserve"> = 0.0016, p = 0.9693). There was no significant difference in model fit between models with or without initial LRR incidence, so we favored the more parsimonious models without.</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Table 2</w:t>
      </w:r>
      <w:r>
        <w:rPr>
          <w:b/>
          <w:sz w:val="20"/>
          <w:szCs w:val="20"/>
        </w:rPr>
        <w:t xml:space="preserve">: </w:t>
      </w:r>
      <w:r>
        <w:rPr>
          <w:sz w:val="24"/>
          <w:szCs w:val="24"/>
        </w:rPr>
        <w:t>A two</w:t>
      </w:r>
      <w:ins w:id="918" w:author="LeBoldus, Jared" w:date="2022-11-04T14:58:00Z">
        <w:r>
          <w:rPr>
            <w:sz w:val="24"/>
            <w:szCs w:val="24"/>
          </w:rPr>
          <w:t>-</w:t>
        </w:r>
      </w:ins>
      <w:del w:id="919" w:author="LeBoldus, Jared" w:date="2022-11-04T14:58:00Z">
        <w:r>
          <w:rPr>
            <w:sz w:val="24"/>
            <w:szCs w:val="24"/>
          </w:rPr>
          <w:delText xml:space="preserve"> </w:delText>
        </w:r>
      </w:del>
      <w:r>
        <w:rPr>
          <w:sz w:val="24"/>
          <w:szCs w:val="24"/>
        </w:rPr>
        <w:t xml:space="preserve">way ANOVA testing effects of block and thinning treatment on </w:t>
      </w:r>
      <w:r>
        <w:rPr>
          <w:sz w:val="24"/>
          <w:szCs w:val="24"/>
        </w:rPr>
        <w:t xml:space="preserve">total </w:t>
      </w:r>
      <w:r>
        <w:rPr>
          <w:sz w:val="24"/>
          <w:szCs w:val="24"/>
        </w:rPr>
        <w:t xml:space="preserve">tree mortality from LRR. </w:t>
      </w:r>
    </w:p>
    <w:tbl>
      <w:tblPr>
        <w:tblStyle w:val="TableGrid"/>
        <w:tblW w:w="9345"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889"/>
        <w:gridCol w:w="1321"/>
        <w:gridCol w:w="1555"/>
        <w:gridCol w:w="1583"/>
        <w:gridCol w:w="1576"/>
        <w:gridCol w:w="1420"/>
      </w:tblGrid>
      <w:tr>
        <w:trPr/>
        <w:tc>
          <w:tcPr>
            <w:tcW w:w="1889" w:type="dxa"/>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Source of Variation</w:t>
            </w:r>
          </w:p>
        </w:tc>
        <w:tc>
          <w:tcPr>
            <w:tcW w:w="1321" w:type="dxa"/>
            <w:tcBorders/>
          </w:tcPr>
          <w:p>
            <w:pPr>
              <w:pStyle w:val="Normal"/>
              <w:widowControl w:val="false"/>
              <w:suppressAutoHyphens w:val="true"/>
              <w:spacing w:lineRule="auto" w:line="240" w:before="0" w:after="0"/>
              <w:jc w:val="center"/>
              <w:rPr>
                <w:rFonts w:ascii="Arial" w:hAnsi="Arial" w:eastAsia="Arial" w:cs="Arial"/>
                <w:b/>
                <w:b/>
                <w:bCs/>
                <w:kern w:val="0"/>
                <w:sz w:val="24"/>
                <w:szCs w:val="24"/>
                <w:lang w:val="en" w:eastAsia="en-US" w:bidi="ar-SA"/>
              </w:rPr>
            </w:pPr>
            <w:r>
              <w:rPr>
                <w:rFonts w:eastAsia="Arial" w:cs="Arial"/>
                <w:b/>
                <w:bCs/>
                <w:kern w:val="0"/>
                <w:sz w:val="24"/>
                <w:szCs w:val="24"/>
                <w:lang w:val="en" w:eastAsia="en-US" w:bidi="ar-SA"/>
              </w:rPr>
              <w:t>df</w:t>
            </w:r>
          </w:p>
        </w:tc>
        <w:tc>
          <w:tcPr>
            <w:tcW w:w="1555" w:type="dxa"/>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Sum of Squares</w:t>
            </w:r>
          </w:p>
        </w:tc>
        <w:tc>
          <w:tcPr>
            <w:tcW w:w="1583" w:type="dxa"/>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Mean Square</w:t>
            </w:r>
          </w:p>
        </w:tc>
        <w:tc>
          <w:tcPr>
            <w:tcW w:w="1576" w:type="dxa"/>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F</w:t>
            </w:r>
          </w:p>
        </w:tc>
        <w:tc>
          <w:tcPr>
            <w:tcW w:w="1420" w:type="dxa"/>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p-Value</w:t>
            </w:r>
          </w:p>
        </w:tc>
      </w:tr>
      <w:tr>
        <w:trPr>
          <w:trHeight w:val="377" w:hRule="atLeast"/>
        </w:trPr>
        <w:tc>
          <w:tcPr>
            <w:tcW w:w="1889"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Block</w:t>
            </w:r>
          </w:p>
        </w:tc>
        <w:tc>
          <w:tcPr>
            <w:tcW w:w="1321" w:type="dxa"/>
            <w:tcBorders/>
          </w:tcPr>
          <w:p>
            <w:pPr>
              <w:pStyle w:val="Normal"/>
              <w:widowControl w:val="false"/>
              <w:suppressAutoHyphens w:val="true"/>
              <w:spacing w:lineRule="auto" w:line="480" w:before="120" w:after="0"/>
              <w:jc w:val="center"/>
              <w:rPr>
                <w:rFonts w:ascii="Arial" w:hAnsi="Arial" w:eastAsia="Arial" w:cs="Arial"/>
                <w:kern w:val="0"/>
                <w:sz w:val="24"/>
                <w:szCs w:val="24"/>
                <w:lang w:val="en" w:eastAsia="en-US" w:bidi="ar-SA"/>
              </w:rPr>
            </w:pPr>
            <w:r>
              <w:rPr>
                <w:rFonts w:eastAsia="Arial" w:cs="Arial"/>
                <w:kern w:val="0"/>
                <w:sz w:val="24"/>
                <w:szCs w:val="24"/>
                <w:lang w:val="en" w:eastAsia="en-US" w:bidi="ar-SA"/>
              </w:rPr>
              <w:t>4</w:t>
            </w:r>
          </w:p>
        </w:tc>
        <w:tc>
          <w:tcPr>
            <w:tcW w:w="1555"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0.063847</w:t>
            </w:r>
          </w:p>
        </w:tc>
        <w:tc>
          <w:tcPr>
            <w:tcW w:w="1583"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0.0159617</w:t>
            </w:r>
          </w:p>
        </w:tc>
        <w:tc>
          <w:tcPr>
            <w:tcW w:w="1576"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1.07</w:t>
            </w:r>
            <w:r>
              <w:rPr>
                <w:rFonts w:eastAsia="Arial" w:cs="Arial"/>
                <w:kern w:val="0"/>
                <w:sz w:val="24"/>
                <w:szCs w:val="24"/>
                <w:lang w:val="en" w:eastAsia="en-US" w:bidi="ar-SA"/>
              </w:rPr>
              <w:t>9</w:t>
            </w:r>
            <w:r>
              <w:rPr>
                <w:rFonts w:eastAsia="Arial" w:cs="Arial"/>
                <w:kern w:val="0"/>
                <w:sz w:val="24"/>
                <w:szCs w:val="24"/>
                <w:lang w:val="en" w:eastAsia="en-US" w:bidi="ar-SA"/>
              </w:rPr>
              <w:t>5</w:t>
            </w:r>
          </w:p>
        </w:tc>
        <w:tc>
          <w:tcPr>
            <w:tcW w:w="1420"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0.4274</w:t>
            </w:r>
          </w:p>
        </w:tc>
      </w:tr>
      <w:tr>
        <w:trPr/>
        <w:tc>
          <w:tcPr>
            <w:tcW w:w="1889"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Treatment</w:t>
            </w:r>
          </w:p>
        </w:tc>
        <w:tc>
          <w:tcPr>
            <w:tcW w:w="1321" w:type="dxa"/>
            <w:tcBorders/>
          </w:tcPr>
          <w:p>
            <w:pPr>
              <w:pStyle w:val="Normal"/>
              <w:widowControl w:val="false"/>
              <w:suppressAutoHyphens w:val="true"/>
              <w:spacing w:lineRule="auto" w:line="480" w:before="120" w:after="0"/>
              <w:jc w:val="center"/>
              <w:rPr>
                <w:rFonts w:ascii="Arial" w:hAnsi="Arial" w:eastAsia="Arial" w:cs="Arial"/>
                <w:kern w:val="0"/>
                <w:sz w:val="24"/>
                <w:szCs w:val="24"/>
                <w:lang w:val="en" w:eastAsia="en-US" w:bidi="ar-SA"/>
              </w:rPr>
            </w:pPr>
            <w:r>
              <w:rPr>
                <w:rFonts w:eastAsia="Arial" w:cs="Arial"/>
                <w:kern w:val="0"/>
                <w:sz w:val="24"/>
                <w:szCs w:val="24"/>
                <w:lang w:val="en" w:eastAsia="en-US" w:bidi="ar-SA"/>
              </w:rPr>
              <w:t>2</w:t>
            </w:r>
          </w:p>
        </w:tc>
        <w:tc>
          <w:tcPr>
            <w:tcW w:w="1555"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0.000550</w:t>
            </w:r>
          </w:p>
        </w:tc>
        <w:tc>
          <w:tcPr>
            <w:tcW w:w="1583"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0.0002751</w:t>
            </w:r>
          </w:p>
        </w:tc>
        <w:tc>
          <w:tcPr>
            <w:tcW w:w="1576"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0.0186</w:t>
            </w:r>
          </w:p>
        </w:tc>
        <w:tc>
          <w:tcPr>
            <w:tcW w:w="1420"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0.9816</w:t>
            </w:r>
          </w:p>
        </w:tc>
      </w:tr>
      <w:tr>
        <w:trPr/>
        <w:tc>
          <w:tcPr>
            <w:tcW w:w="1889"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Residuals</w:t>
            </w:r>
          </w:p>
        </w:tc>
        <w:tc>
          <w:tcPr>
            <w:tcW w:w="1321"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8</w:t>
            </w:r>
          </w:p>
        </w:tc>
        <w:tc>
          <w:tcPr>
            <w:tcW w:w="1555"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0.118286</w:t>
            </w:r>
          </w:p>
        </w:tc>
        <w:tc>
          <w:tcPr>
            <w:tcW w:w="1583"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0.0147858</w:t>
            </w:r>
          </w:p>
        </w:tc>
        <w:tc>
          <w:tcPr>
            <w:tcW w:w="1576"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2"/>
                <w:szCs w:val="22"/>
                <w:lang w:val="en" w:eastAsia="en-US" w:bidi="ar-SA"/>
              </w:rPr>
            </w:r>
          </w:p>
        </w:tc>
        <w:tc>
          <w:tcPr>
            <w:tcW w:w="1420"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2"/>
                <w:szCs w:val="22"/>
                <w:lang w:val="en" w:eastAsia="en-US" w:bidi="ar-SA"/>
              </w:rPr>
            </w:r>
          </w:p>
        </w:tc>
      </w:tr>
    </w:tbl>
    <w:p>
      <w:pPr>
        <w:pStyle w:val="Normal"/>
        <w:spacing w:lineRule="auto" w:line="480"/>
        <w:rPr>
          <w:sz w:val="24"/>
          <w:szCs w:val="24"/>
        </w:rPr>
      </w:pPr>
      <w:r>
        <w:rPr>
          <w:sz w:val="24"/>
          <w:szCs w:val="24"/>
        </w:rPr>
      </w:r>
    </w:p>
    <w:p>
      <w:pPr>
        <w:pStyle w:val="Normal"/>
        <w:spacing w:lineRule="auto" w:line="480"/>
        <w:rPr>
          <w:sz w:val="24"/>
          <w:szCs w:val="24"/>
        </w:rPr>
      </w:pPr>
      <w:r>
        <w:rPr/>
      </w:r>
    </w:p>
    <w:p>
      <w:pPr>
        <w:pStyle w:val="Normal"/>
        <w:spacing w:lineRule="auto" w:line="480"/>
        <w:rPr>
          <w:sz w:val="24"/>
          <w:szCs w:val="24"/>
        </w:rPr>
      </w:pPr>
      <w:r>
        <w:rPr>
          <w:b/>
          <w:sz w:val="24"/>
          <w:szCs w:val="24"/>
        </w:rPr>
        <w:t xml:space="preserve">Table </w:t>
      </w:r>
      <w:r>
        <w:rPr>
          <w:b/>
          <w:sz w:val="24"/>
          <w:szCs w:val="24"/>
        </w:rPr>
        <w:t>3</w:t>
      </w:r>
      <w:r>
        <w:rPr>
          <w:b/>
          <w:sz w:val="20"/>
          <w:szCs w:val="20"/>
        </w:rPr>
        <w:t xml:space="preserve">: </w:t>
      </w:r>
      <w:r>
        <w:rPr>
          <w:b w:val="false"/>
          <w:bCs w:val="false"/>
          <w:sz w:val="24"/>
          <w:szCs w:val="24"/>
        </w:rPr>
        <w:t>Results of t</w:t>
      </w:r>
      <w:r>
        <w:rPr>
          <w:sz w:val="24"/>
          <w:szCs w:val="24"/>
        </w:rPr>
        <w:t>wo-way ANOVA</w:t>
      </w:r>
      <w:r>
        <w:rPr>
          <w:sz w:val="24"/>
          <w:szCs w:val="24"/>
        </w:rPr>
        <w:t>s</w:t>
      </w:r>
      <w:r>
        <w:rPr>
          <w:sz w:val="24"/>
          <w:szCs w:val="24"/>
        </w:rPr>
        <w:t xml:space="preserve"> testing effects of block and thinning treatment on </w:t>
      </w:r>
      <w:r>
        <w:rPr>
          <w:sz w:val="24"/>
          <w:szCs w:val="24"/>
        </w:rPr>
        <w:t>inital and final stand basal area and annuals basal area increment</w:t>
      </w:r>
      <w:r>
        <w:rPr>
          <w:sz w:val="24"/>
          <w:szCs w:val="24"/>
        </w:rPr>
        <w:t xml:space="preserve">. </w:t>
      </w:r>
    </w:p>
    <w:tbl>
      <w:tblPr>
        <w:tblStyle w:val="TableGrid"/>
        <w:tblW w:w="9720" w:type="dxa"/>
        <w:jc w:val="left"/>
        <w:tblInd w:w="226" w:type="dxa"/>
        <w:tblLayout w:type="fixed"/>
        <w:tblCellMar>
          <w:top w:w="0" w:type="dxa"/>
          <w:left w:w="108" w:type="dxa"/>
          <w:bottom w:w="0" w:type="dxa"/>
          <w:right w:w="108" w:type="dxa"/>
        </w:tblCellMar>
        <w:tblLook w:firstRow="1" w:noVBand="1" w:lastRow="0" w:firstColumn="1" w:lastColumn="0" w:noHBand="0" w:val="04a0"/>
      </w:tblPr>
      <w:tblGrid>
        <w:gridCol w:w="1447"/>
        <w:gridCol w:w="1014"/>
        <w:gridCol w:w="1192"/>
        <w:gridCol w:w="1215"/>
        <w:gridCol w:w="1072"/>
        <w:gridCol w:w="1226"/>
        <w:gridCol w:w="1089"/>
        <w:gridCol w:w="1465"/>
      </w:tblGrid>
      <w:tr>
        <w:trPr/>
        <w:tc>
          <w:tcPr>
            <w:tcW w:w="1447" w:type="dxa"/>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r>
          </w:p>
        </w:tc>
        <w:tc>
          <w:tcPr>
            <w:tcW w:w="1014" w:type="dxa"/>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r>
          </w:p>
        </w:tc>
        <w:tc>
          <w:tcPr>
            <w:tcW w:w="2407" w:type="dxa"/>
            <w:gridSpan w:val="2"/>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1990 BA</w:t>
            </w:r>
          </w:p>
        </w:tc>
        <w:tc>
          <w:tcPr>
            <w:tcW w:w="2298" w:type="dxa"/>
            <w:gridSpan w:val="2"/>
            <w:tcBorders>
              <w:right w:val="nil"/>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2020 BA</w:t>
            </w:r>
          </w:p>
        </w:tc>
        <w:tc>
          <w:tcPr>
            <w:tcW w:w="2554" w:type="dxa"/>
            <w:gridSpan w:val="2"/>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BA increment</w:t>
            </w:r>
          </w:p>
        </w:tc>
      </w:tr>
      <w:tr>
        <w:trPr/>
        <w:tc>
          <w:tcPr>
            <w:tcW w:w="1447" w:type="dxa"/>
            <w:tcBorders>
              <w:top w:val="nil"/>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Source of Variation</w:t>
            </w:r>
          </w:p>
        </w:tc>
        <w:tc>
          <w:tcPr>
            <w:tcW w:w="1014" w:type="dxa"/>
            <w:tcBorders>
              <w:top w:val="nil"/>
            </w:tcBorders>
          </w:tcPr>
          <w:p>
            <w:pPr>
              <w:pStyle w:val="Normal"/>
              <w:widowControl w:val="false"/>
              <w:suppressAutoHyphens w:val="true"/>
              <w:spacing w:lineRule="auto" w:line="240" w:before="0" w:after="0"/>
              <w:jc w:val="center"/>
              <w:rPr>
                <w:rFonts w:ascii="Arial" w:hAnsi="Arial" w:eastAsia="Arial" w:cs="Arial"/>
                <w:b/>
                <w:b/>
                <w:bCs/>
                <w:kern w:val="0"/>
                <w:sz w:val="24"/>
                <w:szCs w:val="24"/>
                <w:lang w:val="en" w:eastAsia="en-US" w:bidi="ar-SA"/>
              </w:rPr>
            </w:pPr>
            <w:r>
              <w:rPr>
                <w:rFonts w:eastAsia="Arial" w:cs="Arial"/>
                <w:b/>
                <w:bCs/>
                <w:kern w:val="0"/>
                <w:sz w:val="24"/>
                <w:szCs w:val="24"/>
                <w:lang w:val="en" w:eastAsia="en-US" w:bidi="ar-SA"/>
              </w:rPr>
              <w:t>df</w:t>
            </w:r>
          </w:p>
        </w:tc>
        <w:tc>
          <w:tcPr>
            <w:tcW w:w="1192" w:type="dxa"/>
            <w:tcBorders>
              <w:top w:val="nil"/>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F</w:t>
            </w:r>
          </w:p>
        </w:tc>
        <w:tc>
          <w:tcPr>
            <w:tcW w:w="1215" w:type="dxa"/>
            <w:tcBorders>
              <w:top w:val="nil"/>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p-Value</w:t>
            </w:r>
          </w:p>
        </w:tc>
        <w:tc>
          <w:tcPr>
            <w:tcW w:w="1072" w:type="dxa"/>
            <w:tcBorders>
              <w:top w:val="nil"/>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F</w:t>
            </w:r>
          </w:p>
        </w:tc>
        <w:tc>
          <w:tcPr>
            <w:tcW w:w="1226" w:type="dxa"/>
            <w:tcBorders>
              <w:top w:val="nil"/>
              <w:right w:val="nil"/>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p-Value</w:t>
            </w:r>
          </w:p>
        </w:tc>
        <w:tc>
          <w:tcPr>
            <w:tcW w:w="1089" w:type="dxa"/>
            <w:tcBorders>
              <w:top w:val="nil"/>
              <w:right w:val="nil"/>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F</w:t>
            </w:r>
          </w:p>
        </w:tc>
        <w:tc>
          <w:tcPr>
            <w:tcW w:w="1465" w:type="dxa"/>
            <w:tcBorders>
              <w:top w:val="nil"/>
            </w:tcBorders>
          </w:tcPr>
          <w:p>
            <w:pPr>
              <w:pStyle w:val="Normal"/>
              <w:widowControl w:val="false"/>
              <w:suppressAutoHyphens w:val="true"/>
              <w:spacing w:lineRule="auto" w:line="240" w:before="0" w:after="0"/>
              <w:jc w:val="center"/>
              <w:rPr>
                <w:b/>
                <w:b/>
                <w:bCs/>
                <w:sz w:val="24"/>
                <w:szCs w:val="24"/>
              </w:rPr>
            </w:pPr>
            <w:r>
              <w:rPr>
                <w:rFonts w:eastAsia="Arial" w:cs="Arial"/>
                <w:b/>
                <w:bCs/>
                <w:kern w:val="0"/>
                <w:sz w:val="24"/>
                <w:szCs w:val="24"/>
                <w:lang w:val="en" w:eastAsia="en-US" w:bidi="ar-SA"/>
              </w:rPr>
              <w:t>p-Value</w:t>
            </w:r>
          </w:p>
        </w:tc>
      </w:tr>
      <w:tr>
        <w:trPr>
          <w:trHeight w:val="377" w:hRule="atLeast"/>
        </w:trPr>
        <w:tc>
          <w:tcPr>
            <w:tcW w:w="1447"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Block</w:t>
            </w:r>
          </w:p>
        </w:tc>
        <w:tc>
          <w:tcPr>
            <w:tcW w:w="1014" w:type="dxa"/>
            <w:tcBorders/>
          </w:tcPr>
          <w:p>
            <w:pPr>
              <w:pStyle w:val="Normal"/>
              <w:widowControl w:val="false"/>
              <w:suppressAutoHyphens w:val="true"/>
              <w:spacing w:lineRule="auto" w:line="480" w:before="120" w:after="0"/>
              <w:jc w:val="center"/>
              <w:rPr>
                <w:rFonts w:ascii="Arial" w:hAnsi="Arial" w:eastAsia="Arial" w:cs="Arial"/>
                <w:kern w:val="0"/>
                <w:sz w:val="24"/>
                <w:szCs w:val="24"/>
                <w:lang w:val="en" w:eastAsia="en-US" w:bidi="ar-SA"/>
              </w:rPr>
            </w:pPr>
            <w:r>
              <w:rPr>
                <w:rFonts w:eastAsia="Arial" w:cs="Arial"/>
                <w:kern w:val="0"/>
                <w:sz w:val="24"/>
                <w:szCs w:val="24"/>
                <w:lang w:val="en" w:eastAsia="en-US" w:bidi="ar-SA"/>
              </w:rPr>
              <w:t>4</w:t>
            </w:r>
          </w:p>
        </w:tc>
        <w:tc>
          <w:tcPr>
            <w:tcW w:w="1192"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0.8130</w:t>
            </w:r>
          </w:p>
        </w:tc>
        <w:tc>
          <w:tcPr>
            <w:tcW w:w="1215"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0.5509</w:t>
            </w:r>
          </w:p>
        </w:tc>
        <w:tc>
          <w:tcPr>
            <w:tcW w:w="1072"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1.6000</w:t>
            </w:r>
          </w:p>
        </w:tc>
        <w:tc>
          <w:tcPr>
            <w:tcW w:w="1226" w:type="dxa"/>
            <w:tcBorders>
              <w:right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0.26460</w:t>
            </w:r>
          </w:p>
        </w:tc>
        <w:tc>
          <w:tcPr>
            <w:tcW w:w="1089" w:type="dxa"/>
            <w:tcBorders>
              <w:right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11.2602</w:t>
            </w:r>
          </w:p>
        </w:tc>
        <w:tc>
          <w:tcPr>
            <w:tcW w:w="1465"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0.002275*</w:t>
            </w:r>
          </w:p>
        </w:tc>
      </w:tr>
      <w:tr>
        <w:trPr/>
        <w:tc>
          <w:tcPr>
            <w:tcW w:w="1447"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Treatment</w:t>
            </w:r>
          </w:p>
        </w:tc>
        <w:tc>
          <w:tcPr>
            <w:tcW w:w="1014" w:type="dxa"/>
            <w:tcBorders/>
          </w:tcPr>
          <w:p>
            <w:pPr>
              <w:pStyle w:val="Normal"/>
              <w:widowControl w:val="false"/>
              <w:suppressAutoHyphens w:val="true"/>
              <w:spacing w:lineRule="auto" w:line="480" w:before="120" w:after="0"/>
              <w:jc w:val="center"/>
              <w:rPr>
                <w:rFonts w:ascii="Arial" w:hAnsi="Arial" w:eastAsia="Arial" w:cs="Arial"/>
                <w:kern w:val="0"/>
                <w:sz w:val="24"/>
                <w:szCs w:val="24"/>
                <w:lang w:val="en" w:eastAsia="en-US" w:bidi="ar-SA"/>
              </w:rPr>
            </w:pPr>
            <w:r>
              <w:rPr>
                <w:rFonts w:eastAsia="Arial" w:cs="Arial"/>
                <w:kern w:val="0"/>
                <w:sz w:val="24"/>
                <w:szCs w:val="24"/>
                <w:lang w:val="en" w:eastAsia="en-US" w:bidi="ar-SA"/>
              </w:rPr>
              <w:t>2</w:t>
            </w:r>
          </w:p>
        </w:tc>
        <w:tc>
          <w:tcPr>
            <w:tcW w:w="1192"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6.8606</w:t>
            </w:r>
          </w:p>
        </w:tc>
        <w:tc>
          <w:tcPr>
            <w:tcW w:w="1215"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0.0184*</w:t>
            </w:r>
          </w:p>
        </w:tc>
        <w:tc>
          <w:tcPr>
            <w:tcW w:w="1072"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4.6041</w:t>
            </w:r>
          </w:p>
        </w:tc>
        <w:tc>
          <w:tcPr>
            <w:tcW w:w="1226" w:type="dxa"/>
            <w:tcBorders>
              <w:right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0.04671*</w:t>
            </w:r>
          </w:p>
        </w:tc>
        <w:tc>
          <w:tcPr>
            <w:tcW w:w="1089" w:type="dxa"/>
            <w:tcBorders>
              <w:right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1.1213</w:t>
            </w:r>
          </w:p>
        </w:tc>
        <w:tc>
          <w:tcPr>
            <w:tcW w:w="1465" w:type="dxa"/>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0.372141</w:t>
            </w:r>
          </w:p>
        </w:tc>
      </w:tr>
      <w:tr>
        <w:trPr/>
        <w:tc>
          <w:tcPr>
            <w:tcW w:w="1447"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Residuals</w:t>
            </w:r>
          </w:p>
        </w:tc>
        <w:tc>
          <w:tcPr>
            <w:tcW w:w="1014"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t>8</w:t>
            </w:r>
          </w:p>
        </w:tc>
        <w:tc>
          <w:tcPr>
            <w:tcW w:w="1192"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r>
          </w:p>
        </w:tc>
        <w:tc>
          <w:tcPr>
            <w:tcW w:w="1215"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4"/>
                <w:szCs w:val="24"/>
                <w:lang w:val="en" w:eastAsia="en-US" w:bidi="ar-SA"/>
              </w:rPr>
            </w:r>
          </w:p>
        </w:tc>
        <w:tc>
          <w:tcPr>
            <w:tcW w:w="1072"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2"/>
                <w:szCs w:val="22"/>
                <w:lang w:val="en" w:eastAsia="en-US" w:bidi="ar-SA"/>
              </w:rPr>
            </w:r>
          </w:p>
        </w:tc>
        <w:tc>
          <w:tcPr>
            <w:tcW w:w="1226" w:type="dxa"/>
            <w:tcBorders>
              <w:top w:val="nil"/>
              <w:right w:val="nil"/>
            </w:tcBorders>
          </w:tcPr>
          <w:p>
            <w:pPr>
              <w:pStyle w:val="Normal"/>
              <w:widowControl w:val="false"/>
              <w:suppressAutoHyphens w:val="true"/>
              <w:spacing w:lineRule="auto" w:line="480" w:before="120" w:after="0"/>
              <w:jc w:val="center"/>
              <w:rPr>
                <w:sz w:val="24"/>
                <w:szCs w:val="24"/>
              </w:rPr>
            </w:pPr>
            <w:r>
              <w:rPr>
                <w:rFonts w:eastAsia="Arial" w:cs="Arial"/>
                <w:kern w:val="0"/>
                <w:sz w:val="22"/>
                <w:szCs w:val="22"/>
                <w:lang w:val="en" w:eastAsia="en-US" w:bidi="ar-SA"/>
              </w:rPr>
            </w:r>
          </w:p>
        </w:tc>
        <w:tc>
          <w:tcPr>
            <w:tcW w:w="1089" w:type="dxa"/>
            <w:tcBorders>
              <w:top w:val="nil"/>
              <w:right w:val="nil"/>
            </w:tcBorders>
          </w:tcPr>
          <w:p>
            <w:pPr>
              <w:pStyle w:val="Normal"/>
              <w:widowControl w:val="false"/>
              <w:suppressAutoHyphens w:val="true"/>
              <w:spacing w:lineRule="auto" w:line="480" w:before="120" w:after="0"/>
              <w:jc w:val="center"/>
              <w:rPr>
                <w:sz w:val="24"/>
                <w:szCs w:val="24"/>
              </w:rPr>
            </w:pPr>
            <w:r>
              <w:rPr>
                <w:rFonts w:eastAsia="Arial" w:cs="Arial"/>
                <w:kern w:val="0"/>
                <w:sz w:val="22"/>
                <w:szCs w:val="22"/>
                <w:lang w:val="en" w:eastAsia="en-US" w:bidi="ar-SA"/>
              </w:rPr>
            </w:r>
          </w:p>
        </w:tc>
        <w:tc>
          <w:tcPr>
            <w:tcW w:w="1465" w:type="dxa"/>
            <w:tcBorders>
              <w:top w:val="nil"/>
            </w:tcBorders>
          </w:tcPr>
          <w:p>
            <w:pPr>
              <w:pStyle w:val="Normal"/>
              <w:widowControl w:val="false"/>
              <w:suppressAutoHyphens w:val="true"/>
              <w:spacing w:lineRule="auto" w:line="480" w:before="120" w:after="0"/>
              <w:jc w:val="center"/>
              <w:rPr>
                <w:sz w:val="24"/>
                <w:szCs w:val="24"/>
              </w:rPr>
            </w:pPr>
            <w:r>
              <w:rPr>
                <w:rFonts w:eastAsia="Arial" w:cs="Arial"/>
                <w:kern w:val="0"/>
                <w:sz w:val="22"/>
                <w:szCs w:val="22"/>
                <w:lang w:val="en" w:eastAsia="en-US" w:bidi="ar-SA"/>
              </w:rPr>
            </w:r>
          </w:p>
        </w:tc>
      </w:tr>
    </w:tbl>
    <w:p>
      <w:pPr>
        <w:pStyle w:val="Normal"/>
        <w:spacing w:lineRule="auto" w:line="480"/>
        <w:rPr>
          <w:sz w:val="24"/>
          <w:szCs w:val="24"/>
        </w:rPr>
      </w:pPr>
      <w:r>
        <w:rPr>
          <w:sz w:val="24"/>
          <w:szCs w:val="24"/>
        </w:rPr>
      </w:r>
    </w:p>
    <w:p>
      <w:pPr>
        <w:pStyle w:val="Normal"/>
        <w:spacing w:lineRule="auto" w:line="480"/>
        <w:rPr>
          <w:sz w:val="24"/>
          <w:szCs w:val="24"/>
        </w:rPr>
      </w:pPr>
      <w:r>
        <w:rPr/>
      </w:r>
    </w:p>
    <w:p>
      <w:pPr>
        <w:pStyle w:val="Normal"/>
        <w:spacing w:lineRule="auto" w:line="480"/>
        <w:rPr>
          <w:sz w:val="24"/>
          <w:szCs w:val="24"/>
        </w:rPr>
      </w:pPr>
      <w:r>
        <w:rPr>
          <w:b/>
          <w:sz w:val="24"/>
          <w:szCs w:val="24"/>
        </w:rPr>
        <w:t xml:space="preserve">3.3 Thinning study, prevalence of root disease </w:t>
      </w:r>
    </w:p>
    <w:p>
      <w:pPr>
        <w:pStyle w:val="Normal"/>
        <w:spacing w:lineRule="auto" w:line="480"/>
        <w:ind w:firstLine="720"/>
        <w:rPr>
          <w:sz w:val="24"/>
          <w:szCs w:val="24"/>
        </w:rPr>
      </w:pPr>
      <w:ins w:id="920" w:author="Sarah Hoffman" w:date="2022-11-07T21:10:00Z">
        <w:r>
          <w:rPr>
            <w:sz w:val="24"/>
            <w:szCs w:val="24"/>
            <w:highlight w:val="white"/>
          </w:rPr>
          <w:t xml:space="preserve">The </w:t>
        </w:r>
      </w:ins>
      <w:r>
        <w:rPr>
          <w:sz w:val="24"/>
          <w:szCs w:val="24"/>
          <w:highlight w:val="white"/>
        </w:rPr>
        <w:t>occurrence</w:t>
      </w:r>
      <w:ins w:id="921" w:author="Sarah Hoffman" w:date="2022-11-07T21:10:00Z">
        <w:r>
          <w:rPr>
            <w:sz w:val="24"/>
            <w:szCs w:val="24"/>
            <w:highlight w:val="white"/>
          </w:rPr>
          <w:t xml:space="preserve"> of root disease was quantified </w:t>
        </w:r>
      </w:ins>
      <w:ins w:id="922" w:author="Sarah Hoffman" w:date="2022-11-07T21:11:00Z">
        <w:r>
          <w:rPr>
            <w:sz w:val="24"/>
            <w:szCs w:val="24"/>
            <w:highlight w:val="white"/>
          </w:rPr>
          <w:t>at the plot</w:t>
        </w:r>
      </w:ins>
      <w:r>
        <w:rPr>
          <w:sz w:val="24"/>
          <w:szCs w:val="24"/>
          <w:highlight w:val="white"/>
        </w:rPr>
        <w:t xml:space="preserve"> and stand</w:t>
      </w:r>
      <w:ins w:id="923" w:author="Sarah Hoffman" w:date="2022-11-07T21:11:00Z">
        <w:r>
          <w:rPr>
            <w:sz w:val="24"/>
            <w:szCs w:val="24"/>
            <w:highlight w:val="white"/>
          </w:rPr>
          <w:t xml:space="preserve"> levels</w:t>
        </w:r>
      </w:ins>
      <w:ins w:id="924" w:author="Sarah Hoffman" w:date="2022-11-07T21:10:00Z">
        <w:r>
          <w:rPr>
            <w:sz w:val="24"/>
            <w:szCs w:val="24"/>
            <w:highlight w:val="white"/>
          </w:rPr>
          <w:t>.</w:t>
        </w:r>
      </w:ins>
      <w:r>
        <w:rPr>
          <w:sz w:val="24"/>
          <w:szCs w:val="24"/>
          <w:highlight w:val="white"/>
        </w:rPr>
        <w:t xml:space="preserve"> </w:t>
      </w:r>
      <w:r>
        <w:rPr>
          <w:sz w:val="24"/>
          <w:szCs w:val="24"/>
        </w:rPr>
        <w:t xml:space="preserve">When the plots were established, LRR was present within 59% (n = 44/75) of the plots, and in </w:t>
      </w:r>
      <w:r>
        <w:rPr>
          <w:color w:val="000000"/>
          <w:sz w:val="24"/>
          <w:szCs w:val="24"/>
        </w:rPr>
        <w:t>87</w:t>
      </w:r>
      <w:r>
        <w:rPr>
          <w:sz w:val="24"/>
          <w:szCs w:val="24"/>
        </w:rPr>
        <w:t xml:space="preserve">% (n = </w:t>
      </w:r>
      <w:r>
        <w:rPr>
          <w:color w:val="000000"/>
          <w:sz w:val="24"/>
          <w:szCs w:val="24"/>
        </w:rPr>
        <w:t>13</w:t>
      </w:r>
      <w:r>
        <w:rPr>
          <w:sz w:val="24"/>
          <w:szCs w:val="24"/>
        </w:rPr>
        <w:t>/</w:t>
      </w:r>
      <w:r>
        <w:rPr>
          <w:color w:val="000000"/>
          <w:sz w:val="24"/>
          <w:szCs w:val="24"/>
        </w:rPr>
        <w:t>15</w:t>
      </w:r>
      <w:r>
        <w:rPr>
          <w:sz w:val="24"/>
          <w:szCs w:val="24"/>
        </w:rPr>
        <w:t>) of the stands. By the end of the study, the presence of LRR was found within 82% (n = 62/75</w:t>
      </w:r>
      <w:ins w:id="925" w:author="Shawn McMurtrey" w:date="2022-11-15T21:13:00Z">
        <w:r>
          <w:rPr>
            <w:sz w:val="24"/>
            <w:szCs w:val="24"/>
          </w:rPr>
          <w:t xml:space="preserve">, </w:t>
        </w:r>
      </w:ins>
      <w:ins w:id="926" w:author="Shawn McMurtrey" w:date="2022-11-15T21:14:00Z">
        <w:r>
          <w:rPr>
            <w:sz w:val="24"/>
            <w:szCs w:val="24"/>
          </w:rPr>
          <w:t>p</w:t>
        </w:r>
      </w:ins>
      <w:ins w:id="927" w:author="Shawn McMurtrey" w:date="2022-11-15T21:13:00Z">
        <w:r>
          <w:rPr>
            <w:sz w:val="24"/>
            <w:szCs w:val="24"/>
          </w:rPr>
          <w:t xml:space="preserve">lot n = 23/25 for unthinned </w:t>
        </w:r>
      </w:ins>
      <w:ins w:id="928" w:author="Shawn McMurtrey" w:date="2022-11-15T21:14:00Z">
        <w:r>
          <w:rPr>
            <w:sz w:val="24"/>
            <w:szCs w:val="24"/>
          </w:rPr>
          <w:t>treatment</w:t>
        </w:r>
      </w:ins>
      <w:ins w:id="929" w:author="Shawn McMurtrey" w:date="2022-11-15T21:13:00Z">
        <w:r>
          <w:rPr>
            <w:sz w:val="24"/>
            <w:szCs w:val="24"/>
          </w:rPr>
          <w:t xml:space="preserve">; </w:t>
        </w:r>
      </w:ins>
      <w:ins w:id="930" w:author="Shawn McMurtrey" w:date="2022-11-15T21:14:00Z">
        <w:r>
          <w:rPr>
            <w:sz w:val="24"/>
            <w:szCs w:val="24"/>
          </w:rPr>
          <w:t>p</w:t>
        </w:r>
      </w:ins>
      <w:ins w:id="931" w:author="Shawn McMurtrey" w:date="2022-11-15T21:13:00Z">
        <w:r>
          <w:rPr>
            <w:sz w:val="24"/>
            <w:szCs w:val="24"/>
          </w:rPr>
          <w:t xml:space="preserve">lot n = 20/25 for lightly thinned </w:t>
        </w:r>
      </w:ins>
      <w:ins w:id="932" w:author="Shawn McMurtrey" w:date="2022-11-15T21:14:00Z">
        <w:r>
          <w:rPr>
            <w:sz w:val="24"/>
            <w:szCs w:val="24"/>
          </w:rPr>
          <w:t>treatments</w:t>
        </w:r>
      </w:ins>
      <w:ins w:id="933" w:author="Shawn McMurtrey" w:date="2022-11-15T21:13:00Z">
        <w:r>
          <w:rPr>
            <w:sz w:val="24"/>
            <w:szCs w:val="24"/>
          </w:rPr>
          <w:t xml:space="preserve">; and </w:t>
        </w:r>
      </w:ins>
      <w:ins w:id="934" w:author="Shawn McMurtrey" w:date="2022-11-15T21:14:00Z">
        <w:r>
          <w:rPr>
            <w:sz w:val="24"/>
            <w:szCs w:val="24"/>
          </w:rPr>
          <w:t>pl</w:t>
        </w:r>
      </w:ins>
      <w:ins w:id="935" w:author="Shawn McMurtrey" w:date="2022-11-15T21:13:00Z">
        <w:r>
          <w:rPr>
            <w:sz w:val="24"/>
            <w:szCs w:val="24"/>
          </w:rPr>
          <w:t xml:space="preserve">ot n = 19/25 for thinned </w:t>
        </w:r>
      </w:ins>
      <w:ins w:id="936" w:author="Shawn McMurtrey" w:date="2022-11-15T21:14:00Z">
        <w:r>
          <w:rPr>
            <w:sz w:val="24"/>
            <w:szCs w:val="24"/>
          </w:rPr>
          <w:t>treatments</w:t>
        </w:r>
      </w:ins>
      <w:r>
        <w:rPr>
          <w:sz w:val="24"/>
          <w:szCs w:val="24"/>
        </w:rPr>
        <w:t xml:space="preserve">) of the plots, and in 100% (n = 15/15) of the stands. </w:t>
      </w:r>
      <w:del w:id="937" w:author="Shawn McMurtrey" w:date="2022-11-15T21:15:00Z">
        <w:r>
          <w:rPr>
            <w:sz w:val="24"/>
            <w:szCs w:val="24"/>
          </w:rPr>
          <w:delText>(Plot n = 23/25 for unthinned stands; Plot n = 20/25 for lightly thinned stands; and Plot n = 19/25 for thinned stands).</w:delText>
        </w:r>
      </w:del>
      <w:del w:id="938" w:author="Shawn McMurtrey" w:date="2022-11-15T21:15:00Z">
        <w:r>
          <w:rPr>
            <w:sz w:val="24"/>
            <w:szCs w:val="24"/>
            <w:highlight w:val="white"/>
          </w:rPr>
          <w:delText xml:space="preserve"> </w:delText>
        </w:r>
      </w:del>
      <w:r>
        <w:rPr>
          <w:sz w:val="24"/>
          <w:szCs w:val="24"/>
          <w:highlight w:val="white"/>
        </w:rPr>
        <w:t xml:space="preserve">Within every stand, the prevalence of root disease increased over time. </w:t>
      </w:r>
      <w:r>
        <w:rPr>
          <w:sz w:val="24"/>
          <w:szCs w:val="24"/>
        </w:rPr>
        <w:t>Laminated root rot was found within at least 40% of the plots in all 15 of the total stands (</w:t>
      </w:r>
      <w:r>
        <w:rPr>
          <w:sz w:val="24"/>
          <w:szCs w:val="24"/>
          <w:shd w:fill="FFFF00" w:val="clear"/>
        </w:rPr>
        <w:t>Figure x)</w:t>
      </w:r>
      <w:r>
        <w:rPr>
          <w:sz w:val="24"/>
          <w:szCs w:val="24"/>
        </w:rPr>
        <w:t>. By the time the study concluded, LRR had been found in 100%</w:t>
      </w:r>
      <w:ins w:id="939" w:author="Shawn McMurtrey" w:date="2022-11-10T18:39:00Z">
        <w:r>
          <w:rPr>
            <w:sz w:val="24"/>
            <w:szCs w:val="24"/>
          </w:rPr>
          <w:t xml:space="preserve"> (n = 5)</w:t>
        </w:r>
      </w:ins>
      <w:r>
        <w:rPr>
          <w:sz w:val="24"/>
          <w:szCs w:val="24"/>
        </w:rPr>
        <w:t xml:space="preserve"> of the plots within two of the unthinned stands, two of the stands with light thinning, and one of the thinned stands. </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 xml:space="preserve">3.3 </w:t>
      </w:r>
      <w:ins w:id="940" w:author="Shawn McMurtrey" w:date="2022-11-15T19:59:00Z">
        <w:r>
          <w:rPr>
            <w:b/>
            <w:sz w:val="24"/>
            <w:szCs w:val="24"/>
          </w:rPr>
          <w:t xml:space="preserve">Thinning study, </w:t>
        </w:r>
      </w:ins>
      <w:r>
        <w:rPr>
          <w:b/>
          <w:sz w:val="24"/>
          <w:szCs w:val="24"/>
        </w:rPr>
        <w:t xml:space="preserve">Forest Vegetation </w:t>
      </w:r>
      <w:del w:id="941" w:author="Shawn McMurtrey" w:date="2022-11-15T20:29:00Z">
        <w:r>
          <w:rPr>
            <w:b/>
            <w:sz w:val="24"/>
            <w:szCs w:val="24"/>
          </w:rPr>
          <w:delText>Simulator</w:delText>
        </w:r>
      </w:del>
      <w:ins w:id="942" w:author="Shawn McMurtrey" w:date="2022-11-15T20:29:00Z">
        <w:r>
          <w:rPr>
            <w:b/>
            <w:sz w:val="24"/>
            <w:szCs w:val="24"/>
          </w:rPr>
          <w:t>Simulator,</w:t>
        </w:r>
      </w:ins>
      <w:r>
        <w:rPr>
          <w:b/>
          <w:sz w:val="24"/>
          <w:szCs w:val="24"/>
        </w:rPr>
        <w:t xml:space="preserve"> and Western Root Disease Models</w:t>
      </w:r>
    </w:p>
    <w:p>
      <w:pPr>
        <w:pStyle w:val="Normal"/>
        <w:spacing w:lineRule="auto" w:line="480"/>
        <w:ind w:hanging="0"/>
        <w:rPr>
          <w:sz w:val="24"/>
          <w:szCs w:val="24"/>
        </w:rPr>
      </w:pPr>
      <w:r>
        <w:rPr>
          <w:sz w:val="24"/>
          <w:szCs w:val="24"/>
          <w:highlight w:val="white"/>
        </w:rPr>
        <w:t>Measured stand mean basal area over time was more similar to the values predicted by the WRDM run using default parameters than to the base FVS model using default parameters (</w:t>
      </w:r>
      <w:r>
        <w:rPr>
          <w:sz w:val="24"/>
          <w:szCs w:val="24"/>
          <w:shd w:fill="FFFF00" w:val="clear"/>
        </w:rPr>
        <w:t>Figure x</w:t>
      </w:r>
      <w:r>
        <w:rPr>
          <w:sz w:val="24"/>
          <w:szCs w:val="24"/>
          <w:highlight w:val="white"/>
        </w:rPr>
        <w:t>)</w:t>
      </w:r>
      <w:ins w:id="943" w:author="Shawn McMurtrey" w:date="2022-11-15T18:56:00Z">
        <w:r>
          <w:rPr>
            <w:sz w:val="24"/>
            <w:szCs w:val="24"/>
            <w:highlight w:val="white"/>
          </w:rPr>
          <w:t xml:space="preserve"> The 95% confidence interval</w:t>
        </w:r>
      </w:ins>
      <w:ins w:id="944" w:author="Shawn McMurtrey" w:date="2022-11-15T18:57:00Z">
        <w:r>
          <w:rPr>
            <w:sz w:val="24"/>
            <w:szCs w:val="24"/>
            <w:highlight w:val="white"/>
          </w:rPr>
          <w:t>s</w:t>
        </w:r>
      </w:ins>
      <w:ins w:id="945" w:author="Shawn McMurtrey" w:date="2022-11-15T18:59:00Z">
        <w:r>
          <w:rPr>
            <w:sz w:val="24"/>
            <w:szCs w:val="24"/>
            <w:highlight w:val="white"/>
          </w:rPr>
          <w:t xml:space="preserve"> overlapped for nearly all</w:t>
        </w:r>
      </w:ins>
      <w:ins w:id="946" w:author="Shawn McMurtrey" w:date="2022-11-15T18:56:00Z">
        <w:r>
          <w:rPr>
            <w:sz w:val="24"/>
            <w:szCs w:val="24"/>
            <w:highlight w:val="white"/>
          </w:rPr>
          <w:t xml:space="preserve"> of the FVS</w:t>
        </w:r>
      </w:ins>
      <w:ins w:id="947" w:author="Shawn McMurtrey" w:date="2022-11-15T19:01:00Z">
        <w:r>
          <w:rPr>
            <w:sz w:val="24"/>
            <w:szCs w:val="24"/>
            <w:highlight w:val="white"/>
          </w:rPr>
          <w:t xml:space="preserve">, </w:t>
        </w:r>
      </w:ins>
      <w:ins w:id="948" w:author="Shawn McMurtrey" w:date="2022-11-15T18:56:00Z">
        <w:r>
          <w:rPr>
            <w:sz w:val="24"/>
            <w:szCs w:val="24"/>
            <w:highlight w:val="white"/>
          </w:rPr>
          <w:t>WRD</w:t>
        </w:r>
      </w:ins>
      <w:ins w:id="949" w:author="Shawn McMurtrey" w:date="2022-11-15T18:59:00Z">
        <w:r>
          <w:rPr>
            <w:sz w:val="24"/>
            <w:szCs w:val="24"/>
            <w:highlight w:val="white"/>
          </w:rPr>
          <w:t>M</w:t>
        </w:r>
      </w:ins>
      <w:ins w:id="950" w:author="Shawn McMurtrey" w:date="2022-11-15T19:01:00Z">
        <w:r>
          <w:rPr>
            <w:sz w:val="24"/>
            <w:szCs w:val="24"/>
            <w:highlight w:val="white"/>
          </w:rPr>
          <w:t xml:space="preserve">, and collected data </w:t>
        </w:r>
      </w:ins>
      <w:ins w:id="951" w:author="Shawn McMurtrey" w:date="2022-11-15T19:00:00Z">
        <w:r>
          <w:rPr>
            <w:sz w:val="24"/>
            <w:szCs w:val="24"/>
            <w:highlight w:val="white"/>
          </w:rPr>
          <w:t>comparisons that were produced.</w:t>
        </w:r>
      </w:ins>
      <w:ins w:id="952" w:author="Shawn McMurtrey" w:date="2022-11-15T19:02:00Z">
        <w:r>
          <w:rPr>
            <w:sz w:val="24"/>
            <w:szCs w:val="24"/>
            <w:highlight w:val="white"/>
          </w:rPr>
          <w:t xml:space="preserve"> The</w:t>
        </w:r>
      </w:ins>
      <w:ins w:id="953" w:author="Shawn McMurtrey" w:date="2022-11-15T19:03:00Z">
        <w:r>
          <w:rPr>
            <w:sz w:val="24"/>
            <w:szCs w:val="24"/>
            <w:highlight w:val="white"/>
          </w:rPr>
          <w:t xml:space="preserve"> FVS and WRDM</w:t>
        </w:r>
      </w:ins>
      <w:ins w:id="954" w:author="Shawn McMurtrey" w:date="2022-11-15T19:02:00Z">
        <w:r>
          <w:rPr>
            <w:sz w:val="24"/>
            <w:szCs w:val="24"/>
            <w:highlight w:val="white"/>
          </w:rPr>
          <w:t xml:space="preserve"> </w:t>
        </w:r>
      </w:ins>
      <w:ins w:id="955" w:author="Shawn McMurtrey" w:date="2022-11-15T19:03:00Z">
        <w:r>
          <w:rPr>
            <w:sz w:val="24"/>
            <w:szCs w:val="24"/>
            <w:highlight w:val="white"/>
          </w:rPr>
          <w:t>results</w:t>
        </w:r>
      </w:ins>
      <w:ins w:id="956" w:author="Shawn McMurtrey" w:date="2022-11-15T19:04:00Z">
        <w:r>
          <w:rPr>
            <w:sz w:val="24"/>
            <w:szCs w:val="24"/>
            <w:highlight w:val="white"/>
          </w:rPr>
          <w:t xml:space="preserve"> from 2020</w:t>
        </w:r>
      </w:ins>
      <w:ins w:id="957" w:author="Shawn McMurtrey" w:date="2022-11-15T19:03:00Z">
        <w:r>
          <w:rPr>
            <w:sz w:val="24"/>
            <w:szCs w:val="24"/>
            <w:highlight w:val="white"/>
          </w:rPr>
          <w:t xml:space="preserve"> for the</w:t>
        </w:r>
      </w:ins>
      <w:ins w:id="958" w:author="Shawn McMurtrey" w:date="2022-11-15T20:13:00Z">
        <w:r>
          <w:rPr>
            <w:sz w:val="24"/>
            <w:szCs w:val="24"/>
            <w:highlight w:val="white"/>
          </w:rPr>
          <w:t xml:space="preserve"> graph depicting all species from the</w:t>
        </w:r>
      </w:ins>
      <w:ins w:id="959" w:author="Shawn McMurtrey" w:date="2022-11-15T19:03:00Z">
        <w:r>
          <w:rPr>
            <w:sz w:val="24"/>
            <w:szCs w:val="24"/>
            <w:highlight w:val="white"/>
          </w:rPr>
          <w:t xml:space="preserve"> unthinned </w:t>
        </w:r>
      </w:ins>
      <w:ins w:id="960" w:author="Shawn McMurtrey" w:date="2022-11-15T20:13:00Z">
        <w:r>
          <w:rPr>
            <w:sz w:val="24"/>
            <w:szCs w:val="24"/>
            <w:highlight w:val="white"/>
          </w:rPr>
          <w:t xml:space="preserve">treatments </w:t>
        </w:r>
      </w:ins>
      <w:ins w:id="961" w:author="Shawn McMurtrey" w:date="2022-11-15T19:03:00Z">
        <w:r>
          <w:rPr>
            <w:sz w:val="24"/>
            <w:szCs w:val="24"/>
            <w:highlight w:val="white"/>
          </w:rPr>
          <w:t>(</w:t>
        </w:r>
      </w:ins>
      <w:ins w:id="962" w:author="Shawn McMurtrey" w:date="2022-11-15T19:03:00Z">
        <w:r>
          <w:rPr>
            <w:sz w:val="24"/>
            <w:szCs w:val="24"/>
            <w:highlight w:val="yellow"/>
          </w:rPr>
          <w:t>Figure x-A</w:t>
        </w:r>
      </w:ins>
      <w:ins w:id="963" w:author="Shawn McMurtrey" w:date="2022-11-15T19:04:00Z">
        <w:r>
          <w:rPr>
            <w:sz w:val="24"/>
            <w:szCs w:val="24"/>
            <w:highlight w:val="white"/>
          </w:rPr>
          <w:t>) a</w:t>
        </w:r>
      </w:ins>
      <w:ins w:id="964" w:author="Shawn McMurtrey" w:date="2022-11-15T20:13:00Z">
        <w:r>
          <w:rPr>
            <w:sz w:val="24"/>
            <w:szCs w:val="24"/>
            <w:highlight w:val="white"/>
          </w:rPr>
          <w:t>s well as the graph of</w:t>
        </w:r>
      </w:ins>
      <w:ins w:id="965" w:author="Shawn McMurtrey" w:date="2022-11-15T19:04:00Z">
        <w:r>
          <w:rPr>
            <w:sz w:val="24"/>
            <w:szCs w:val="24"/>
            <w:highlight w:val="white"/>
          </w:rPr>
          <w:t xml:space="preserve"> all species </w:t>
        </w:r>
      </w:ins>
      <w:ins w:id="966" w:author="Shawn McMurtrey" w:date="2022-11-15T20:13:00Z">
        <w:r>
          <w:rPr>
            <w:sz w:val="24"/>
            <w:szCs w:val="24"/>
            <w:highlight w:val="white"/>
          </w:rPr>
          <w:t>within the thinned treatment</w:t>
        </w:r>
      </w:ins>
      <w:ins w:id="967" w:author="Shawn McMurtrey" w:date="2022-11-15T20:14:00Z">
        <w:r>
          <w:rPr>
            <w:sz w:val="24"/>
            <w:szCs w:val="24"/>
            <w:highlight w:val="white"/>
          </w:rPr>
          <w:t xml:space="preserve">s </w:t>
        </w:r>
      </w:ins>
      <w:ins w:id="968" w:author="Shawn McMurtrey" w:date="2022-11-15T19:04:00Z">
        <w:r>
          <w:rPr>
            <w:sz w:val="24"/>
            <w:szCs w:val="24"/>
            <w:highlight w:val="white"/>
          </w:rPr>
          <w:t xml:space="preserve"> (</w:t>
        </w:r>
      </w:ins>
      <w:ins w:id="969" w:author="Shawn McMurtrey" w:date="2022-11-15T19:04:00Z">
        <w:r>
          <w:rPr>
            <w:sz w:val="24"/>
            <w:szCs w:val="24"/>
            <w:highlight w:val="yellow"/>
          </w:rPr>
          <w:t>Fig. x – E</w:t>
        </w:r>
      </w:ins>
      <w:ins w:id="970" w:author="Shawn McMurtrey" w:date="2022-11-15T19:04:00Z">
        <w:r>
          <w:rPr>
            <w:sz w:val="24"/>
            <w:szCs w:val="24"/>
            <w:highlight w:val="white"/>
          </w:rPr>
          <w:t xml:space="preserve">) were the only two </w:t>
        </w:r>
      </w:ins>
      <w:ins w:id="971" w:author="Shawn McMurtrey" w:date="2022-11-15T19:05:00Z">
        <w:r>
          <w:rPr>
            <w:sz w:val="24"/>
            <w:szCs w:val="24"/>
            <w:highlight w:val="white"/>
          </w:rPr>
          <w:t xml:space="preserve">comparisons within the thinning study that did not have overlapping </w:t>
        </w:r>
      </w:ins>
      <w:ins w:id="972" w:author="Shawn McMurtrey" w:date="2022-11-15T20:14:00Z">
        <w:r>
          <w:rPr>
            <w:sz w:val="24"/>
            <w:szCs w:val="24"/>
            <w:highlight w:val="white"/>
          </w:rPr>
          <w:t xml:space="preserve">95% </w:t>
        </w:r>
      </w:ins>
      <w:ins w:id="973" w:author="Shawn McMurtrey" w:date="2022-11-15T19:05:00Z">
        <w:r>
          <w:rPr>
            <w:sz w:val="24"/>
            <w:szCs w:val="24"/>
            <w:highlight w:val="white"/>
          </w:rPr>
          <w:t>confidence intervals.</w:t>
        </w:r>
      </w:ins>
      <w:del w:id="974" w:author="Shawn McMurtrey" w:date="2022-11-15T18:56:00Z">
        <w:r>
          <w:rPr>
            <w:sz w:val="24"/>
            <w:szCs w:val="24"/>
            <w:highlight w:val="white"/>
          </w:rPr>
          <w:delText>.</w:delText>
        </w:r>
      </w:del>
      <w:del w:id="975" w:author="Shawn McMurtrey" w:date="2022-11-15T18:59:00Z">
        <w:r>
          <w:rPr>
            <w:sz w:val="24"/>
            <w:szCs w:val="24"/>
            <w:highlight w:val="white"/>
          </w:rPr>
          <w:delText xml:space="preserve"> </w:delText>
        </w:r>
      </w:del>
    </w:p>
    <w:p>
      <w:pPr>
        <w:pStyle w:val="Normal"/>
        <w:spacing w:lineRule="auto" w:line="480"/>
        <w:rPr>
          <w:iCs/>
          <w:sz w:val="24"/>
          <w:szCs w:val="24"/>
        </w:rPr>
      </w:pPr>
      <w:r>
        <w:rPr>
          <w:iCs/>
          <w:sz w:val="24"/>
          <w:szCs w:val="24"/>
        </w:rPr>
      </w:r>
    </w:p>
    <w:p>
      <w:pPr>
        <w:pStyle w:val="Normal"/>
        <w:spacing w:lineRule="auto" w:line="480"/>
        <w:rPr>
          <w:sz w:val="24"/>
          <w:szCs w:val="24"/>
        </w:rPr>
      </w:pPr>
      <w:r>
        <w:rPr>
          <w:b/>
          <w:sz w:val="24"/>
          <w:szCs w:val="24"/>
        </w:rPr>
        <w:t>3.4 Rotation Study, Basal area and cumulative total mortality</w:t>
      </w:r>
    </w:p>
    <w:p>
      <w:pPr>
        <w:pStyle w:val="Normal"/>
        <w:spacing w:lineRule="auto" w:line="480"/>
        <w:ind w:hanging="0"/>
        <w:rPr>
          <w:sz w:val="24"/>
          <w:szCs w:val="24"/>
          <w:del w:id="978" w:author="Shawn McMurtrey" w:date="2022-11-15T20:15:00Z"/>
        </w:rPr>
      </w:pPr>
      <w:r>
        <w:rPr>
          <w:sz w:val="24"/>
          <w:szCs w:val="24"/>
        </w:rPr>
        <w:t xml:space="preserve">Two stands (blocks 1 and 3) of the 12-year red alder rotation were not harvested on schedule and thus excluded from all analyses. </w:t>
      </w:r>
      <w:r>
        <w:rPr>
          <w:sz w:val="24"/>
          <w:szCs w:val="24"/>
        </w:rPr>
        <w:t>Basal area increased throughout the study (Table 3, Figure 4A), but at a declining rate later in the study (Figure 5) and in blocks with high initial incidence of laminated root rot (</w:t>
      </w:r>
      <w:r>
        <w:rPr>
          <w:sz w:val="24"/>
          <w:szCs w:val="24"/>
          <w:shd w:fill="FFFF00" w:val="clear"/>
        </w:rPr>
        <w:t>Supplement X</w:t>
      </w:r>
      <w:r>
        <w:rPr>
          <w:sz w:val="24"/>
          <w:szCs w:val="24"/>
        </w:rPr>
        <w:t xml:space="preserve">). Annual basal area increment was </w:t>
      </w:r>
      <w:r>
        <w:rPr>
          <w:sz w:val="24"/>
          <w:szCs w:val="24"/>
        </w:rPr>
        <w:t xml:space="preserve">significantly </w:t>
      </w:r>
      <w:r>
        <w:rPr>
          <w:sz w:val="24"/>
          <w:szCs w:val="24"/>
        </w:rPr>
        <w:t xml:space="preserve">reduced in the 25-year cottonwood treatment in the early period </w:t>
      </w:r>
      <w:r>
        <w:rPr>
          <w:sz w:val="24"/>
          <w:szCs w:val="24"/>
        </w:rPr>
        <w:t xml:space="preserve">compared to the 25-year red alder and the 12 year rotation treatments </w:t>
      </w:r>
      <w:r>
        <w:rPr>
          <w:sz w:val="24"/>
          <w:szCs w:val="24"/>
        </w:rPr>
        <w:t>(Figure 5, Table 4).</w:t>
      </w:r>
      <w:del w:id="976" w:author="Shawn McMurtrey" w:date="2022-11-15T19:58:00Z">
        <w:r>
          <w:rPr>
            <w:sz w:val="24"/>
            <w:szCs w:val="24"/>
          </w:rPr>
          <w:delText xml:space="preserve"> </w:delText>
        </w:r>
      </w:del>
      <w:del w:id="977" w:author="Shawn McMurtrey" w:date="2022-11-15T19:58:00Z">
        <w:r>
          <w:rPr>
            <w:b/>
            <w:sz w:val="24"/>
            <w:szCs w:val="24"/>
          </w:rPr>
          <w:delText xml:space="preserve"> </w:delText>
        </w:r>
      </w:del>
      <w:r>
        <w:rPr>
          <w:b/>
          <w:sz w:val="24"/>
          <w:szCs w:val="24"/>
        </w:rPr>
        <w:t xml:space="preserve"> </w:t>
      </w:r>
      <w:r>
        <w:rPr>
          <w:sz w:val="24"/>
          <w:szCs w:val="24"/>
        </w:rPr>
        <w:t xml:space="preserve">Cumulative total mortality increased consistently through the study (Table 3, Figure 4B), and annual mortality was significantly higher in 12-year red alder and 25-year cottonwood rotation treatments in the early measurement period (Figure 6, Table 4). </w:t>
      </w:r>
    </w:p>
    <w:p>
      <w:pPr>
        <w:pStyle w:val="Normal"/>
        <w:spacing w:lineRule="auto" w:line="480"/>
        <w:ind w:hanging="0"/>
        <w:rPr>
          <w:sz w:val="24"/>
          <w:szCs w:val="24"/>
          <w:ins w:id="980" w:author="Shawn McMurtrey" w:date="2022-11-15T20:28:00Z"/>
        </w:rPr>
      </w:pPr>
      <w:ins w:id="979" w:author="Shawn McMurtrey" w:date="2022-11-15T20:28:00Z">
        <w:r>
          <w:rPr/>
        </w:r>
      </w:ins>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3.5 Rotation Study, cause-specific mortality and sublethal effects</w:t>
      </w:r>
    </w:p>
    <w:p>
      <w:pPr>
        <w:pStyle w:val="Normal"/>
        <w:spacing w:lineRule="auto" w:line="480"/>
        <w:ind w:hanging="0"/>
        <w:rPr>
          <w:sz w:val="24"/>
          <w:szCs w:val="24"/>
        </w:rPr>
      </w:pPr>
      <w:r>
        <w:rPr>
          <w:sz w:val="24"/>
          <w:szCs w:val="24"/>
        </w:rPr>
        <w:t>Diviting</w:t>
      </w:r>
      <w:r>
        <w:rPr>
          <w:sz w:val="24"/>
          <w:szCs w:val="24"/>
        </w:rPr>
        <w:t xml:space="preserve"> the mortality by suspected cause revealed more treatment-depended patterns. Mortality caused by laminated root rot was significantly lower in 25-year cottonwood rotation in the early measurement period and did not differ significantly between treatments in the middle period (Figure 7, Table 4). Conversely, mortality caused by suppression was significantly higher in 25-year cottonwood rotation in the early measurement period and did not differ significantly between treatments in the middle period (Figure 8, Table 4).</w:t>
      </w:r>
    </w:p>
    <w:p>
      <w:pPr>
        <w:pStyle w:val="Normal"/>
        <w:spacing w:lineRule="auto" w:line="480"/>
        <w:ind w:firstLine="720"/>
        <w:rPr>
          <w:sz w:val="24"/>
          <w:szCs w:val="24"/>
          <w:ins w:id="982" w:author="Shawn McMurtrey" w:date="2022-11-15T19:15:00Z"/>
        </w:rPr>
      </w:pPr>
      <w:r>
        <w:rPr>
          <w:sz w:val="24"/>
          <w:szCs w:val="24"/>
        </w:rPr>
        <w:t>In addition to killing trees, both suppression and laminated root rot decreased tree diameter growth while trees were alive (Figure 9). The growth reduction effect of suppression was most severe showing a 41-49% reduction in diameter growth compared to trees with no recorded damage condition in the middle measurement period. Tree</w:t>
      </w:r>
      <w:r>
        <w:rPr>
          <w:sz w:val="24"/>
          <w:szCs w:val="24"/>
        </w:rPr>
        <w:t>s</w:t>
      </w:r>
      <w:r>
        <w:rPr>
          <w:sz w:val="24"/>
          <w:szCs w:val="24"/>
        </w:rPr>
        <w:t xml:space="preserve"> with LRR showed 0-19% diameter growth reduction </w:t>
      </w:r>
      <w:r>
        <w:rPr>
          <w:sz w:val="24"/>
          <w:szCs w:val="24"/>
        </w:rPr>
        <w:t>in the middle period</w:t>
      </w:r>
      <w:r>
        <w:rPr>
          <w:sz w:val="24"/>
          <w:szCs w:val="24"/>
        </w:rPr>
        <w:t>.</w:t>
      </w:r>
      <w:ins w:id="981" w:author="Shawn McMurtrey" w:date="2022-11-15T19:15:00Z">
        <w:r>
          <w:rPr>
            <w:sz w:val="24"/>
            <w:szCs w:val="24"/>
          </w:rPr>
          <w:br/>
        </w:r>
      </w:ins>
    </w:p>
    <w:p>
      <w:pPr>
        <w:pStyle w:val="Normal"/>
        <w:spacing w:lineRule="auto" w:line="480"/>
        <w:rPr>
          <w:b/>
          <w:b/>
          <w:bCs/>
          <w:ins w:id="990" w:author="Shawn McMurtrey" w:date="2022-11-15T19:59:00Z"/>
          <w:sz w:val="24"/>
          <w:szCs w:val="24"/>
        </w:rPr>
      </w:pPr>
      <w:ins w:id="983" w:author="Shawn McMurtrey" w:date="2022-11-15T19:15:00Z">
        <w:r>
          <w:rPr>
            <w:b/>
            <w:bCs/>
            <w:sz w:val="24"/>
            <w:szCs w:val="24"/>
          </w:rPr>
          <w:t xml:space="preserve">3.6 </w:t>
        </w:r>
      </w:ins>
      <w:ins w:id="984" w:author="Shawn McMurtrey" w:date="2022-11-15T19:59:00Z">
        <w:r>
          <w:rPr>
            <w:b/>
            <w:bCs/>
            <w:sz w:val="24"/>
            <w:szCs w:val="24"/>
          </w:rPr>
          <w:t xml:space="preserve">Rotation </w:t>
        </w:r>
      </w:ins>
      <w:ins w:id="985" w:author="Shawn McMurtrey" w:date="2022-11-15T20:05:00Z">
        <w:r>
          <w:rPr>
            <w:b/>
            <w:bCs/>
            <w:sz w:val="24"/>
            <w:szCs w:val="24"/>
          </w:rPr>
          <w:t>s</w:t>
        </w:r>
      </w:ins>
      <w:ins w:id="986" w:author="Shawn McMurtrey" w:date="2022-11-15T19:59:00Z">
        <w:r>
          <w:rPr>
            <w:b/>
            <w:bCs/>
            <w:sz w:val="24"/>
            <w:szCs w:val="24"/>
          </w:rPr>
          <w:t>tudy</w:t>
        </w:r>
      </w:ins>
      <w:ins w:id="987" w:author="Shawn McMurtrey" w:date="2022-11-15T20:05:00Z">
        <w:r>
          <w:rPr>
            <w:b/>
            <w:bCs/>
            <w:sz w:val="24"/>
            <w:szCs w:val="24"/>
          </w:rPr>
          <w:t>,</w:t>
        </w:r>
      </w:ins>
      <w:ins w:id="988" w:author="Shawn McMurtrey" w:date="2022-11-15T19:59:00Z">
        <w:r>
          <w:rPr>
            <w:b/>
            <w:bCs/>
            <w:sz w:val="24"/>
            <w:szCs w:val="24"/>
          </w:rPr>
          <w:t xml:space="preserve"> </w:t>
        </w:r>
      </w:ins>
      <w:ins w:id="989" w:author="Shawn McMurtrey" w:date="2022-11-15T19:15:00Z">
        <w:r>
          <w:rPr>
            <w:b/>
            <w:bCs/>
            <w:sz w:val="24"/>
            <w:szCs w:val="24"/>
          </w:rPr>
          <w:t xml:space="preserve">FVS and WRDM </w:t>
        </w:r>
      </w:ins>
    </w:p>
    <w:p>
      <w:pPr>
        <w:sectPr>
          <w:headerReference w:type="default" r:id="rId14"/>
          <w:footerReference w:type="default" r:id="rId15"/>
          <w:type w:val="nextPage"/>
          <w:pgSz w:w="12240" w:h="15840"/>
          <w:pgMar w:left="1440" w:right="1440" w:header="1440" w:top="2013" w:footer="0" w:bottom="1440" w:gutter="0"/>
          <w:lnNumType w:countBy="1" w:restart="continuous" w:distance="283"/>
          <w:pgNumType w:start="28" w:fmt="decimal"/>
          <w:formProt w:val="false"/>
          <w:textDirection w:val="lrTb"/>
          <w:docGrid w:type="default" w:linePitch="299" w:charSpace="45056"/>
        </w:sectPr>
        <w:pStyle w:val="Normal"/>
        <w:spacing w:lineRule="auto" w:line="480"/>
        <w:ind w:hanging="0"/>
        <w:rPr>
          <w:sz w:val="24"/>
          <w:szCs w:val="24"/>
        </w:rPr>
      </w:pPr>
      <w:ins w:id="991" w:author="Shawn McMurtrey" w:date="2022-11-15T20:00:00Z">
        <w:r>
          <w:rPr>
            <w:sz w:val="24"/>
            <w:szCs w:val="24"/>
          </w:rPr>
          <w:t>For the 2011 measurements, the WRDM was a more reliable predicter of</w:t>
        </w:r>
      </w:ins>
      <w:ins w:id="992" w:author="Shawn McMurtrey" w:date="2022-11-15T20:01:00Z">
        <w:r>
          <w:rPr>
            <w:sz w:val="24"/>
            <w:szCs w:val="24"/>
          </w:rPr>
          <w:t xml:space="preserve"> </w:t>
        </w:r>
      </w:ins>
      <w:ins w:id="993" w:author="Shawn McMurtrey" w:date="2022-11-15T20:02:00Z">
        <w:r>
          <w:rPr>
            <w:sz w:val="24"/>
            <w:szCs w:val="24"/>
          </w:rPr>
          <w:t>collected data when compared with the FVS modelled results</w:t>
        </w:r>
      </w:ins>
      <w:ins w:id="994" w:author="Shawn McMurtrey" w:date="2022-11-15T20:04:00Z">
        <w:r>
          <w:rPr>
            <w:sz w:val="24"/>
            <w:szCs w:val="24"/>
          </w:rPr>
          <w:t xml:space="preserve"> (F</w:t>
        </w:r>
      </w:ins>
      <w:ins w:id="995" w:author="Shawn McMurtrey" w:date="2022-11-15T20:05:00Z">
        <w:r>
          <w:rPr>
            <w:sz w:val="24"/>
            <w:szCs w:val="24"/>
          </w:rPr>
          <w:t>ig. x  G)</w:t>
        </w:r>
      </w:ins>
      <w:ins w:id="996" w:author="Shawn McMurtrey" w:date="2022-11-15T20:02:00Z">
        <w:r>
          <w:rPr>
            <w:sz w:val="24"/>
            <w:szCs w:val="24"/>
          </w:rPr>
          <w:t xml:space="preserve">. </w:t>
        </w:r>
      </w:ins>
      <w:ins w:id="997" w:author="Shawn McMurtrey" w:date="2022-11-15T20:03:00Z">
        <w:r>
          <w:rPr>
            <w:sz w:val="24"/>
            <w:szCs w:val="24"/>
          </w:rPr>
          <w:t>The FVS and WRDM were both found to overcalculate grow</w:t>
        </w:r>
      </w:ins>
      <w:ins w:id="998" w:author="Shawn McMurtrey" w:date="2022-11-15T20:04:00Z">
        <w:r>
          <w:rPr>
            <w:sz w:val="24"/>
            <w:szCs w:val="24"/>
          </w:rPr>
          <w:t xml:space="preserve">th and yield when compared with collected data from 2020. </w:t>
        </w:r>
      </w:ins>
    </w:p>
    <w:p>
      <w:pPr>
        <w:pStyle w:val="Normal"/>
        <w:spacing w:lineRule="auto" w:line="480"/>
        <w:rPr>
          <w:sz w:val="24"/>
          <w:szCs w:val="24"/>
        </w:rPr>
      </w:pPr>
      <w:r>
        <w:rPr>
          <w:b/>
          <w:sz w:val="24"/>
          <w:szCs w:val="24"/>
        </w:rPr>
        <w:t>Table 3</w:t>
      </w:r>
      <w:r>
        <w:rPr>
          <w:sz w:val="24"/>
          <w:szCs w:val="24"/>
        </w:rPr>
        <w:t xml:space="preserve">: Stand level summary statistics for the Apiary study. </w:t>
      </w:r>
      <w:r>
        <w:rPr>
          <w:sz w:val="24"/>
          <w:szCs w:val="24"/>
        </w:rPr>
        <w:t>95CI</w:t>
      </w:r>
      <w:r>
        <w:rPr>
          <w:sz w:val="24"/>
          <w:szCs w:val="24"/>
        </w:rPr>
        <w:t xml:space="preserve"> = </w:t>
      </w:r>
      <w:r>
        <w:rPr>
          <w:sz w:val="24"/>
          <w:szCs w:val="24"/>
        </w:rPr>
        <w:t>95% Confidence Interval</w:t>
      </w:r>
      <w:r>
        <w:rPr>
          <w:sz w:val="24"/>
          <w:szCs w:val="24"/>
        </w:rPr>
        <w:t>.</w:t>
      </w:r>
      <w:r>
        <w:rPr>
          <w:sz w:val="24"/>
          <w:szCs w:val="24"/>
        </w:rPr>
        <w:t xml:space="preserve"> </w:t>
      </w:r>
      <w:del w:id="1000" w:author="Shawn McMurtrey" w:date="2022-11-15T19:15:00Z">
        <w:r>
          <w:rPr>
            <w:sz w:val="24"/>
            <w:szCs w:val="24"/>
          </w:rPr>
          <w:delText xml:space="preserve"> </w:delText>
        </w:r>
      </w:del>
    </w:p>
    <w:p>
      <w:pPr>
        <w:pStyle w:val="Normal"/>
        <w:spacing w:lineRule="auto" w:line="480"/>
        <w:rPr>
          <w:sz w:val="24"/>
          <w:szCs w:val="24"/>
        </w:rPr>
      </w:pPr>
      <w:r>
        <w:rPr>
          <w:sz w:val="24"/>
          <w:szCs w:val="24"/>
        </w:rPr>
      </w:r>
    </w:p>
    <w:tbl>
      <w:tblPr>
        <w:tblW w:w="14670" w:type="dxa"/>
        <w:jc w:val="left"/>
        <w:tblInd w:w="30" w:type="dxa"/>
        <w:tblLayout w:type="fixed"/>
        <w:tblCellMar>
          <w:top w:w="0" w:type="dxa"/>
          <w:left w:w="30" w:type="dxa"/>
          <w:bottom w:w="0" w:type="dxa"/>
          <w:right w:w="30" w:type="dxa"/>
        </w:tblCellMar>
        <w:tblLook w:firstRow="1" w:noVBand="1" w:lastRow="0" w:firstColumn="1" w:lastColumn="0" w:noHBand="0" w:val="04a0"/>
      </w:tblPr>
      <w:tblGrid>
        <w:gridCol w:w="894"/>
        <w:gridCol w:w="754"/>
        <w:gridCol w:w="612"/>
        <w:gridCol w:w="631"/>
        <w:gridCol w:w="660"/>
        <w:gridCol w:w="634"/>
        <w:gridCol w:w="79"/>
        <w:gridCol w:w="610"/>
        <w:gridCol w:w="637"/>
        <w:gridCol w:w="635"/>
        <w:gridCol w:w="631"/>
        <w:gridCol w:w="91"/>
        <w:gridCol w:w="628"/>
        <w:gridCol w:w="632"/>
        <w:gridCol w:w="632"/>
        <w:gridCol w:w="630"/>
        <w:gridCol w:w="92"/>
        <w:gridCol w:w="631"/>
        <w:gridCol w:w="631"/>
        <w:gridCol w:w="632"/>
        <w:gridCol w:w="631"/>
        <w:gridCol w:w="91"/>
        <w:gridCol w:w="629"/>
        <w:gridCol w:w="631"/>
        <w:gridCol w:w="628"/>
        <w:gridCol w:w="680"/>
      </w:tblGrid>
      <w:tr>
        <w:trPr>
          <w:trHeight w:val="256" w:hRule="atLeast"/>
        </w:trPr>
        <w:tc>
          <w:tcPr>
            <w:tcW w:w="894" w:type="dxa"/>
            <w:tcBorders>
              <w:top w:val="single" w:sz="4" w:space="0" w:color="000000"/>
            </w:tcBorders>
            <w:vAlign w:val="bottom"/>
          </w:tcPr>
          <w:p>
            <w:pPr>
              <w:pStyle w:val="Normal"/>
              <w:widowControl w:val="false"/>
              <w:rPr>
                <w:sz w:val="20"/>
                <w:szCs w:val="20"/>
              </w:rPr>
            </w:pPr>
            <w:r>
              <w:rPr>
                <w:sz w:val="20"/>
                <w:szCs w:val="20"/>
              </w:rPr>
            </w:r>
          </w:p>
        </w:tc>
        <w:tc>
          <w:tcPr>
            <w:tcW w:w="754" w:type="dxa"/>
            <w:tcBorders>
              <w:top w:val="single" w:sz="4" w:space="0" w:color="000000"/>
            </w:tcBorders>
            <w:vAlign w:val="bottom"/>
          </w:tcPr>
          <w:p>
            <w:pPr>
              <w:pStyle w:val="Normal"/>
              <w:widowControl w:val="false"/>
              <w:rPr>
                <w:sz w:val="20"/>
                <w:szCs w:val="20"/>
              </w:rPr>
            </w:pPr>
            <w:r>
              <w:rPr>
                <w:sz w:val="20"/>
                <w:szCs w:val="20"/>
              </w:rPr>
            </w:r>
          </w:p>
        </w:tc>
        <w:tc>
          <w:tcPr>
            <w:tcW w:w="2537" w:type="dxa"/>
            <w:gridSpan w:val="4"/>
            <w:tcBorders>
              <w:top w:val="single" w:sz="4" w:space="0" w:color="000000"/>
              <w:bottom w:val="single" w:sz="4" w:space="0" w:color="000000"/>
            </w:tcBorders>
            <w:vAlign w:val="center"/>
          </w:tcPr>
          <w:p>
            <w:pPr>
              <w:pStyle w:val="Normal"/>
              <w:widowControl w:val="false"/>
              <w:jc w:val="center"/>
              <w:rPr>
                <w:sz w:val="20"/>
                <w:szCs w:val="20"/>
              </w:rPr>
            </w:pPr>
            <w:r>
              <w:rPr>
                <w:b/>
                <w:sz w:val="20"/>
                <w:szCs w:val="20"/>
              </w:rPr>
              <w:t>12y Red Alder</w:t>
            </w:r>
          </w:p>
        </w:tc>
        <w:tc>
          <w:tcPr>
            <w:tcW w:w="79" w:type="dxa"/>
            <w:tcBorders>
              <w:top w:val="single" w:sz="4" w:space="0" w:color="000000"/>
            </w:tcBorders>
            <w:vAlign w:val="bottom"/>
          </w:tcPr>
          <w:p>
            <w:pPr>
              <w:pStyle w:val="Normal"/>
              <w:widowControl w:val="false"/>
              <w:rPr>
                <w:sz w:val="20"/>
                <w:szCs w:val="20"/>
              </w:rPr>
            </w:pPr>
            <w:r>
              <w:rPr>
                <w:sz w:val="20"/>
                <w:szCs w:val="20"/>
              </w:rPr>
            </w:r>
          </w:p>
        </w:tc>
        <w:tc>
          <w:tcPr>
            <w:tcW w:w="2513" w:type="dxa"/>
            <w:gridSpan w:val="4"/>
            <w:tcBorders>
              <w:top w:val="single" w:sz="4" w:space="0" w:color="000000"/>
              <w:bottom w:val="single" w:sz="4" w:space="0" w:color="000000"/>
            </w:tcBorders>
            <w:vAlign w:val="center"/>
          </w:tcPr>
          <w:p>
            <w:pPr>
              <w:pStyle w:val="Normal"/>
              <w:widowControl w:val="false"/>
              <w:jc w:val="center"/>
              <w:rPr>
                <w:sz w:val="20"/>
                <w:szCs w:val="20"/>
              </w:rPr>
            </w:pPr>
            <w:r>
              <w:rPr>
                <w:b/>
                <w:sz w:val="20"/>
                <w:szCs w:val="20"/>
              </w:rPr>
              <w:t>12y Cottonwood</w:t>
            </w:r>
          </w:p>
        </w:tc>
        <w:tc>
          <w:tcPr>
            <w:tcW w:w="91" w:type="dxa"/>
            <w:tcBorders>
              <w:top w:val="single" w:sz="4" w:space="0" w:color="000000"/>
            </w:tcBorders>
            <w:vAlign w:val="bottom"/>
          </w:tcPr>
          <w:p>
            <w:pPr>
              <w:pStyle w:val="Normal"/>
              <w:widowControl w:val="false"/>
              <w:rPr>
                <w:sz w:val="20"/>
                <w:szCs w:val="20"/>
              </w:rPr>
            </w:pPr>
            <w:r>
              <w:rPr>
                <w:sz w:val="20"/>
                <w:szCs w:val="20"/>
              </w:rPr>
            </w:r>
          </w:p>
        </w:tc>
        <w:tc>
          <w:tcPr>
            <w:tcW w:w="2522" w:type="dxa"/>
            <w:gridSpan w:val="4"/>
            <w:tcBorders>
              <w:top w:val="single" w:sz="4" w:space="0" w:color="000000"/>
              <w:bottom w:val="single" w:sz="4" w:space="0" w:color="000000"/>
            </w:tcBorders>
            <w:vAlign w:val="center"/>
          </w:tcPr>
          <w:p>
            <w:pPr>
              <w:pStyle w:val="Normal"/>
              <w:widowControl w:val="false"/>
              <w:jc w:val="center"/>
              <w:rPr>
                <w:sz w:val="20"/>
                <w:szCs w:val="20"/>
              </w:rPr>
            </w:pPr>
            <w:r>
              <w:rPr>
                <w:b/>
                <w:sz w:val="20"/>
                <w:szCs w:val="20"/>
              </w:rPr>
              <w:t>25y Red Alder</w:t>
            </w:r>
          </w:p>
        </w:tc>
        <w:tc>
          <w:tcPr>
            <w:tcW w:w="92" w:type="dxa"/>
            <w:tcBorders>
              <w:top w:val="single" w:sz="4" w:space="0" w:color="000000"/>
            </w:tcBorders>
            <w:vAlign w:val="bottom"/>
          </w:tcPr>
          <w:p>
            <w:pPr>
              <w:pStyle w:val="Normal"/>
              <w:widowControl w:val="false"/>
              <w:rPr>
                <w:sz w:val="20"/>
                <w:szCs w:val="20"/>
              </w:rPr>
            </w:pPr>
            <w:r>
              <w:rPr>
                <w:sz w:val="20"/>
                <w:szCs w:val="20"/>
              </w:rPr>
            </w:r>
          </w:p>
        </w:tc>
        <w:tc>
          <w:tcPr>
            <w:tcW w:w="2525" w:type="dxa"/>
            <w:gridSpan w:val="4"/>
            <w:tcBorders>
              <w:top w:val="single" w:sz="4" w:space="0" w:color="000000"/>
              <w:bottom w:val="single" w:sz="4" w:space="0" w:color="000000"/>
            </w:tcBorders>
            <w:vAlign w:val="center"/>
          </w:tcPr>
          <w:p>
            <w:pPr>
              <w:pStyle w:val="Normal"/>
              <w:widowControl w:val="false"/>
              <w:jc w:val="center"/>
              <w:rPr>
                <w:sz w:val="20"/>
                <w:szCs w:val="20"/>
              </w:rPr>
            </w:pPr>
            <w:r>
              <w:rPr>
                <w:b/>
                <w:sz w:val="20"/>
                <w:szCs w:val="20"/>
              </w:rPr>
              <w:t>25y Cottonwood</w:t>
            </w:r>
          </w:p>
        </w:tc>
        <w:tc>
          <w:tcPr>
            <w:tcW w:w="91" w:type="dxa"/>
            <w:tcBorders>
              <w:top w:val="single" w:sz="4" w:space="0" w:color="000000"/>
            </w:tcBorders>
            <w:vAlign w:val="center"/>
          </w:tcPr>
          <w:p>
            <w:pPr>
              <w:pStyle w:val="Normal"/>
              <w:widowControl w:val="false"/>
              <w:rPr>
                <w:sz w:val="20"/>
                <w:szCs w:val="20"/>
              </w:rPr>
            </w:pPr>
            <w:r>
              <w:rPr>
                <w:sz w:val="20"/>
                <w:szCs w:val="20"/>
              </w:rPr>
            </w:r>
          </w:p>
        </w:tc>
        <w:tc>
          <w:tcPr>
            <w:tcW w:w="2568" w:type="dxa"/>
            <w:gridSpan w:val="4"/>
            <w:tcBorders>
              <w:top w:val="single" w:sz="4" w:space="0" w:color="000000"/>
              <w:bottom w:val="single" w:sz="4" w:space="0" w:color="000000"/>
            </w:tcBorders>
            <w:vAlign w:val="center"/>
          </w:tcPr>
          <w:p>
            <w:pPr>
              <w:pStyle w:val="Normal"/>
              <w:widowControl w:val="false"/>
              <w:rPr>
                <w:sz w:val="20"/>
                <w:szCs w:val="20"/>
              </w:rPr>
            </w:pPr>
            <w:r>
              <w:rPr>
                <w:b/>
                <w:sz w:val="20"/>
                <w:szCs w:val="20"/>
              </w:rPr>
              <w:t>Immediate Douglas-fir</w:t>
            </w:r>
          </w:p>
        </w:tc>
      </w:tr>
      <w:tr>
        <w:trPr>
          <w:trHeight w:val="256" w:hRule="atLeast"/>
        </w:trPr>
        <w:tc>
          <w:tcPr>
            <w:tcW w:w="894" w:type="dxa"/>
            <w:vMerge w:val="restart"/>
            <w:tcBorders/>
            <w:vAlign w:val="bottom"/>
          </w:tcPr>
          <w:p>
            <w:pPr>
              <w:pStyle w:val="Normal"/>
              <w:widowControl w:val="false"/>
              <w:jc w:val="center"/>
              <w:rPr>
                <w:b/>
                <w:b/>
                <w:sz w:val="20"/>
                <w:szCs w:val="20"/>
              </w:rPr>
            </w:pPr>
            <w:r>
              <w:rPr>
                <w:b/>
                <w:sz w:val="20"/>
                <w:szCs w:val="20"/>
              </w:rPr>
              <w:t xml:space="preserve">Live </w:t>
              <w:br/>
              <w:t>stems</w:t>
            </w:r>
          </w:p>
          <w:p>
            <w:pPr>
              <w:pStyle w:val="Normal"/>
              <w:widowControl w:val="false"/>
              <w:jc w:val="center"/>
              <w:rPr>
                <w:b/>
                <w:b/>
                <w:sz w:val="20"/>
                <w:szCs w:val="20"/>
              </w:rPr>
            </w:pPr>
            <w:r>
              <w:rPr>
                <w:b/>
                <w:sz w:val="20"/>
                <w:szCs w:val="20"/>
              </w:rPr>
            </w:r>
          </w:p>
        </w:tc>
        <w:tc>
          <w:tcPr>
            <w:tcW w:w="754" w:type="dxa"/>
            <w:tcBorders/>
            <w:vAlign w:val="bottom"/>
          </w:tcPr>
          <w:p>
            <w:pPr>
              <w:pStyle w:val="Normal"/>
              <w:widowControl w:val="false"/>
              <w:rPr>
                <w:sz w:val="20"/>
                <w:szCs w:val="20"/>
              </w:rPr>
            </w:pPr>
            <w:r>
              <w:rPr>
                <w:sz w:val="20"/>
                <w:szCs w:val="20"/>
              </w:rPr>
              <w:t>Year</w:t>
            </w:r>
          </w:p>
        </w:tc>
        <w:tc>
          <w:tcPr>
            <w:tcW w:w="612" w:type="dxa"/>
            <w:tcBorders>
              <w:top w:val="single" w:sz="4" w:space="0" w:color="000000"/>
            </w:tcBorders>
            <w:vAlign w:val="bottom"/>
          </w:tcPr>
          <w:p>
            <w:pPr>
              <w:pStyle w:val="Normal"/>
              <w:widowControl w:val="false"/>
              <w:jc w:val="right"/>
              <w:rPr>
                <w:sz w:val="20"/>
                <w:szCs w:val="20"/>
              </w:rPr>
            </w:pPr>
            <w:r>
              <w:rPr>
                <w:sz w:val="20"/>
                <w:szCs w:val="20"/>
              </w:rPr>
              <w:t>1987</w:t>
            </w:r>
          </w:p>
        </w:tc>
        <w:tc>
          <w:tcPr>
            <w:tcW w:w="631" w:type="dxa"/>
            <w:tcBorders>
              <w:top w:val="single" w:sz="4" w:space="0" w:color="000000"/>
            </w:tcBorders>
            <w:vAlign w:val="bottom"/>
          </w:tcPr>
          <w:p>
            <w:pPr>
              <w:pStyle w:val="Normal"/>
              <w:widowControl w:val="false"/>
              <w:jc w:val="right"/>
              <w:rPr>
                <w:sz w:val="20"/>
                <w:szCs w:val="20"/>
              </w:rPr>
            </w:pPr>
            <w:r>
              <w:rPr>
                <w:sz w:val="20"/>
                <w:szCs w:val="20"/>
              </w:rPr>
              <w:t xml:space="preserve"> </w:t>
            </w:r>
            <w:r>
              <w:rPr>
                <w:sz w:val="20"/>
                <w:szCs w:val="20"/>
              </w:rPr>
              <w:t>1995</w:t>
            </w:r>
          </w:p>
        </w:tc>
        <w:tc>
          <w:tcPr>
            <w:tcW w:w="660" w:type="dxa"/>
            <w:tcBorders>
              <w:top w:val="single" w:sz="4" w:space="0" w:color="000000"/>
            </w:tcBorders>
            <w:vAlign w:val="bottom"/>
          </w:tcPr>
          <w:p>
            <w:pPr>
              <w:pStyle w:val="Normal"/>
              <w:widowControl w:val="false"/>
              <w:jc w:val="right"/>
              <w:rPr>
                <w:sz w:val="20"/>
                <w:szCs w:val="20"/>
              </w:rPr>
            </w:pPr>
            <w:r>
              <w:rPr>
                <w:sz w:val="20"/>
                <w:szCs w:val="20"/>
              </w:rPr>
              <w:t xml:space="preserve"> </w:t>
            </w:r>
            <w:r>
              <w:rPr>
                <w:sz w:val="20"/>
                <w:szCs w:val="20"/>
              </w:rPr>
              <w:t>2011</w:t>
            </w:r>
          </w:p>
        </w:tc>
        <w:tc>
          <w:tcPr>
            <w:tcW w:w="634" w:type="dxa"/>
            <w:tcBorders>
              <w:top w:val="single" w:sz="4" w:space="0" w:color="000000"/>
            </w:tcBorders>
            <w:vAlign w:val="bottom"/>
          </w:tcPr>
          <w:p>
            <w:pPr>
              <w:pStyle w:val="Normal"/>
              <w:widowControl w:val="false"/>
              <w:jc w:val="right"/>
              <w:rPr>
                <w:sz w:val="20"/>
                <w:szCs w:val="20"/>
              </w:rPr>
            </w:pPr>
            <w:r>
              <w:rPr>
                <w:sz w:val="20"/>
                <w:szCs w:val="20"/>
              </w:rPr>
              <w:t xml:space="preserve"> </w:t>
            </w:r>
            <w:r>
              <w:rPr>
                <w:sz w:val="20"/>
                <w:szCs w:val="20"/>
              </w:rPr>
              <w:t>2020</w:t>
            </w:r>
          </w:p>
        </w:tc>
        <w:tc>
          <w:tcPr>
            <w:tcW w:w="79" w:type="dxa"/>
            <w:tcBorders/>
            <w:vAlign w:val="bottom"/>
          </w:tcPr>
          <w:p>
            <w:pPr>
              <w:pStyle w:val="Normal"/>
              <w:widowControl w:val="false"/>
              <w:jc w:val="right"/>
              <w:rPr>
                <w:sz w:val="20"/>
                <w:szCs w:val="20"/>
              </w:rPr>
            </w:pPr>
            <w:r>
              <w:rPr>
                <w:sz w:val="20"/>
                <w:szCs w:val="20"/>
              </w:rPr>
            </w:r>
          </w:p>
        </w:tc>
        <w:tc>
          <w:tcPr>
            <w:tcW w:w="610" w:type="dxa"/>
            <w:tcBorders>
              <w:top w:val="single" w:sz="4" w:space="0" w:color="000000"/>
            </w:tcBorders>
            <w:vAlign w:val="bottom"/>
          </w:tcPr>
          <w:p>
            <w:pPr>
              <w:pStyle w:val="Normal"/>
              <w:widowControl w:val="false"/>
              <w:jc w:val="right"/>
              <w:rPr>
                <w:sz w:val="20"/>
                <w:szCs w:val="20"/>
              </w:rPr>
            </w:pPr>
            <w:r>
              <w:rPr>
                <w:sz w:val="20"/>
                <w:szCs w:val="20"/>
              </w:rPr>
              <w:t>1987</w:t>
            </w:r>
          </w:p>
        </w:tc>
        <w:tc>
          <w:tcPr>
            <w:tcW w:w="637" w:type="dxa"/>
            <w:tcBorders>
              <w:top w:val="single" w:sz="4" w:space="0" w:color="000000"/>
            </w:tcBorders>
            <w:vAlign w:val="bottom"/>
          </w:tcPr>
          <w:p>
            <w:pPr>
              <w:pStyle w:val="Normal"/>
              <w:widowControl w:val="false"/>
              <w:jc w:val="right"/>
              <w:rPr>
                <w:sz w:val="20"/>
                <w:szCs w:val="20"/>
              </w:rPr>
            </w:pPr>
            <w:r>
              <w:rPr>
                <w:sz w:val="20"/>
                <w:szCs w:val="20"/>
              </w:rPr>
              <w:t xml:space="preserve"> </w:t>
            </w:r>
            <w:r>
              <w:rPr>
                <w:sz w:val="20"/>
                <w:szCs w:val="20"/>
              </w:rPr>
              <w:t>1995</w:t>
            </w:r>
          </w:p>
        </w:tc>
        <w:tc>
          <w:tcPr>
            <w:tcW w:w="635" w:type="dxa"/>
            <w:tcBorders>
              <w:top w:val="single" w:sz="4" w:space="0" w:color="000000"/>
            </w:tcBorders>
            <w:vAlign w:val="bottom"/>
          </w:tcPr>
          <w:p>
            <w:pPr>
              <w:pStyle w:val="Normal"/>
              <w:widowControl w:val="false"/>
              <w:jc w:val="right"/>
              <w:rPr>
                <w:sz w:val="20"/>
                <w:szCs w:val="20"/>
              </w:rPr>
            </w:pPr>
            <w:r>
              <w:rPr>
                <w:sz w:val="20"/>
                <w:szCs w:val="20"/>
              </w:rPr>
              <w:t xml:space="preserve"> </w:t>
            </w:r>
            <w:r>
              <w:rPr>
                <w:sz w:val="20"/>
                <w:szCs w:val="20"/>
              </w:rPr>
              <w:t>2011</w:t>
            </w:r>
          </w:p>
        </w:tc>
        <w:tc>
          <w:tcPr>
            <w:tcW w:w="631" w:type="dxa"/>
            <w:tcBorders>
              <w:top w:val="single" w:sz="4" w:space="0" w:color="000000"/>
            </w:tcBorders>
            <w:vAlign w:val="bottom"/>
          </w:tcPr>
          <w:p>
            <w:pPr>
              <w:pStyle w:val="Normal"/>
              <w:widowControl w:val="false"/>
              <w:jc w:val="right"/>
              <w:rPr>
                <w:sz w:val="20"/>
                <w:szCs w:val="20"/>
              </w:rPr>
            </w:pPr>
            <w:r>
              <w:rPr>
                <w:sz w:val="20"/>
                <w:szCs w:val="20"/>
              </w:rPr>
              <w:t xml:space="preserve"> </w:t>
            </w:r>
            <w:r>
              <w:rPr>
                <w:sz w:val="20"/>
                <w:szCs w:val="20"/>
              </w:rPr>
              <w:t>2020</w:t>
            </w:r>
          </w:p>
        </w:tc>
        <w:tc>
          <w:tcPr>
            <w:tcW w:w="91" w:type="dxa"/>
            <w:tcBorders/>
            <w:vAlign w:val="bottom"/>
          </w:tcPr>
          <w:p>
            <w:pPr>
              <w:pStyle w:val="Normal"/>
              <w:widowControl w:val="false"/>
              <w:jc w:val="right"/>
              <w:rPr>
                <w:sz w:val="20"/>
                <w:szCs w:val="20"/>
              </w:rPr>
            </w:pPr>
            <w:r>
              <w:rPr>
                <w:sz w:val="20"/>
                <w:szCs w:val="20"/>
              </w:rPr>
            </w:r>
          </w:p>
        </w:tc>
        <w:tc>
          <w:tcPr>
            <w:tcW w:w="628" w:type="dxa"/>
            <w:tcBorders>
              <w:top w:val="single" w:sz="4" w:space="0" w:color="000000"/>
            </w:tcBorders>
            <w:vAlign w:val="bottom"/>
          </w:tcPr>
          <w:p>
            <w:pPr>
              <w:pStyle w:val="Normal"/>
              <w:widowControl w:val="false"/>
              <w:jc w:val="right"/>
              <w:rPr>
                <w:sz w:val="20"/>
                <w:szCs w:val="20"/>
              </w:rPr>
            </w:pPr>
            <w:r>
              <w:rPr>
                <w:sz w:val="20"/>
                <w:szCs w:val="20"/>
              </w:rPr>
              <w:t>1987</w:t>
            </w:r>
          </w:p>
        </w:tc>
        <w:tc>
          <w:tcPr>
            <w:tcW w:w="632" w:type="dxa"/>
            <w:tcBorders>
              <w:top w:val="single" w:sz="4" w:space="0" w:color="000000"/>
            </w:tcBorders>
            <w:vAlign w:val="bottom"/>
          </w:tcPr>
          <w:p>
            <w:pPr>
              <w:pStyle w:val="Normal"/>
              <w:widowControl w:val="false"/>
              <w:jc w:val="right"/>
              <w:rPr>
                <w:sz w:val="20"/>
                <w:szCs w:val="20"/>
              </w:rPr>
            </w:pPr>
            <w:r>
              <w:rPr>
                <w:sz w:val="20"/>
                <w:szCs w:val="20"/>
              </w:rPr>
              <w:t>1995</w:t>
            </w:r>
          </w:p>
        </w:tc>
        <w:tc>
          <w:tcPr>
            <w:tcW w:w="632" w:type="dxa"/>
            <w:tcBorders>
              <w:top w:val="single" w:sz="4" w:space="0" w:color="000000"/>
            </w:tcBorders>
            <w:vAlign w:val="bottom"/>
          </w:tcPr>
          <w:p>
            <w:pPr>
              <w:pStyle w:val="Normal"/>
              <w:widowControl w:val="false"/>
              <w:jc w:val="right"/>
              <w:rPr>
                <w:sz w:val="20"/>
                <w:szCs w:val="20"/>
              </w:rPr>
            </w:pPr>
            <w:r>
              <w:rPr>
                <w:sz w:val="20"/>
                <w:szCs w:val="20"/>
              </w:rPr>
              <w:t>2011</w:t>
            </w:r>
          </w:p>
        </w:tc>
        <w:tc>
          <w:tcPr>
            <w:tcW w:w="630" w:type="dxa"/>
            <w:tcBorders>
              <w:top w:val="single" w:sz="4" w:space="0" w:color="000000"/>
            </w:tcBorders>
            <w:vAlign w:val="bottom"/>
          </w:tcPr>
          <w:p>
            <w:pPr>
              <w:pStyle w:val="Normal"/>
              <w:widowControl w:val="false"/>
              <w:jc w:val="right"/>
              <w:rPr>
                <w:sz w:val="20"/>
                <w:szCs w:val="20"/>
              </w:rPr>
            </w:pPr>
            <w:r>
              <w:rPr>
                <w:sz w:val="20"/>
                <w:szCs w:val="20"/>
              </w:rPr>
              <w:t>2020</w:t>
            </w:r>
          </w:p>
        </w:tc>
        <w:tc>
          <w:tcPr>
            <w:tcW w:w="92" w:type="dxa"/>
            <w:tcBorders/>
            <w:vAlign w:val="bottom"/>
          </w:tcPr>
          <w:p>
            <w:pPr>
              <w:pStyle w:val="Normal"/>
              <w:widowControl w:val="false"/>
              <w:jc w:val="right"/>
              <w:rPr>
                <w:sz w:val="20"/>
                <w:szCs w:val="20"/>
              </w:rPr>
            </w:pPr>
            <w:r>
              <w:rPr>
                <w:sz w:val="20"/>
                <w:szCs w:val="20"/>
              </w:rPr>
            </w:r>
          </w:p>
        </w:tc>
        <w:tc>
          <w:tcPr>
            <w:tcW w:w="631" w:type="dxa"/>
            <w:tcBorders>
              <w:top w:val="single" w:sz="4" w:space="0" w:color="000000"/>
            </w:tcBorders>
            <w:vAlign w:val="bottom"/>
          </w:tcPr>
          <w:p>
            <w:pPr>
              <w:pStyle w:val="Normal"/>
              <w:widowControl w:val="false"/>
              <w:jc w:val="right"/>
              <w:rPr>
                <w:sz w:val="20"/>
                <w:szCs w:val="20"/>
              </w:rPr>
            </w:pPr>
            <w:r>
              <w:rPr>
                <w:sz w:val="20"/>
                <w:szCs w:val="20"/>
              </w:rPr>
              <w:t>1987</w:t>
            </w:r>
          </w:p>
        </w:tc>
        <w:tc>
          <w:tcPr>
            <w:tcW w:w="631" w:type="dxa"/>
            <w:tcBorders>
              <w:top w:val="single" w:sz="4" w:space="0" w:color="000000"/>
            </w:tcBorders>
            <w:vAlign w:val="bottom"/>
          </w:tcPr>
          <w:p>
            <w:pPr>
              <w:pStyle w:val="Normal"/>
              <w:widowControl w:val="false"/>
              <w:jc w:val="right"/>
              <w:rPr>
                <w:sz w:val="20"/>
                <w:szCs w:val="20"/>
              </w:rPr>
            </w:pPr>
            <w:r>
              <w:rPr>
                <w:sz w:val="20"/>
                <w:szCs w:val="20"/>
              </w:rPr>
              <w:t>1995</w:t>
            </w:r>
          </w:p>
        </w:tc>
        <w:tc>
          <w:tcPr>
            <w:tcW w:w="632" w:type="dxa"/>
            <w:tcBorders>
              <w:top w:val="single" w:sz="4" w:space="0" w:color="000000"/>
            </w:tcBorders>
            <w:vAlign w:val="bottom"/>
          </w:tcPr>
          <w:p>
            <w:pPr>
              <w:pStyle w:val="Normal"/>
              <w:widowControl w:val="false"/>
              <w:jc w:val="right"/>
              <w:rPr>
                <w:sz w:val="20"/>
                <w:szCs w:val="20"/>
              </w:rPr>
            </w:pPr>
            <w:r>
              <w:rPr>
                <w:sz w:val="20"/>
                <w:szCs w:val="20"/>
              </w:rPr>
              <w:t>2011</w:t>
            </w:r>
          </w:p>
        </w:tc>
        <w:tc>
          <w:tcPr>
            <w:tcW w:w="631" w:type="dxa"/>
            <w:tcBorders>
              <w:top w:val="single" w:sz="4" w:space="0" w:color="000000"/>
            </w:tcBorders>
            <w:vAlign w:val="bottom"/>
          </w:tcPr>
          <w:p>
            <w:pPr>
              <w:pStyle w:val="Normal"/>
              <w:widowControl w:val="false"/>
              <w:jc w:val="right"/>
              <w:rPr>
                <w:sz w:val="20"/>
                <w:szCs w:val="20"/>
              </w:rPr>
            </w:pPr>
            <w:r>
              <w:rPr>
                <w:sz w:val="20"/>
                <w:szCs w:val="20"/>
              </w:rPr>
              <w:t>2020</w:t>
            </w:r>
          </w:p>
        </w:tc>
        <w:tc>
          <w:tcPr>
            <w:tcW w:w="91" w:type="dxa"/>
            <w:tcBorders/>
            <w:vAlign w:val="bottom"/>
          </w:tcPr>
          <w:p>
            <w:pPr>
              <w:pStyle w:val="Normal"/>
              <w:widowControl w:val="false"/>
              <w:jc w:val="right"/>
              <w:rPr>
                <w:sz w:val="20"/>
                <w:szCs w:val="20"/>
              </w:rPr>
            </w:pPr>
            <w:r>
              <w:rPr>
                <w:sz w:val="20"/>
                <w:szCs w:val="20"/>
              </w:rPr>
            </w:r>
          </w:p>
        </w:tc>
        <w:tc>
          <w:tcPr>
            <w:tcW w:w="629" w:type="dxa"/>
            <w:tcBorders>
              <w:top w:val="single" w:sz="4" w:space="0" w:color="000000"/>
            </w:tcBorders>
            <w:vAlign w:val="bottom"/>
          </w:tcPr>
          <w:p>
            <w:pPr>
              <w:pStyle w:val="Normal"/>
              <w:widowControl w:val="false"/>
              <w:jc w:val="right"/>
              <w:rPr>
                <w:sz w:val="20"/>
                <w:szCs w:val="20"/>
              </w:rPr>
            </w:pPr>
            <w:r>
              <w:rPr>
                <w:sz w:val="20"/>
                <w:szCs w:val="20"/>
              </w:rPr>
              <w:t>1987</w:t>
            </w:r>
          </w:p>
        </w:tc>
        <w:tc>
          <w:tcPr>
            <w:tcW w:w="631" w:type="dxa"/>
            <w:tcBorders>
              <w:top w:val="single" w:sz="4" w:space="0" w:color="000000"/>
            </w:tcBorders>
            <w:vAlign w:val="bottom"/>
          </w:tcPr>
          <w:p>
            <w:pPr>
              <w:pStyle w:val="Normal"/>
              <w:widowControl w:val="false"/>
              <w:jc w:val="right"/>
              <w:rPr>
                <w:sz w:val="20"/>
                <w:szCs w:val="20"/>
              </w:rPr>
            </w:pPr>
            <w:r>
              <w:rPr>
                <w:sz w:val="20"/>
                <w:szCs w:val="20"/>
              </w:rPr>
              <w:t>1995</w:t>
            </w:r>
          </w:p>
        </w:tc>
        <w:tc>
          <w:tcPr>
            <w:tcW w:w="628" w:type="dxa"/>
            <w:tcBorders>
              <w:top w:val="single" w:sz="4" w:space="0" w:color="000000"/>
            </w:tcBorders>
            <w:vAlign w:val="bottom"/>
          </w:tcPr>
          <w:p>
            <w:pPr>
              <w:pStyle w:val="Normal"/>
              <w:widowControl w:val="false"/>
              <w:jc w:val="right"/>
              <w:rPr>
                <w:sz w:val="20"/>
                <w:szCs w:val="20"/>
              </w:rPr>
            </w:pPr>
            <w:r>
              <w:rPr>
                <w:sz w:val="20"/>
                <w:szCs w:val="20"/>
              </w:rPr>
              <w:t>2011</w:t>
            </w:r>
          </w:p>
        </w:tc>
        <w:tc>
          <w:tcPr>
            <w:tcW w:w="680" w:type="dxa"/>
            <w:tcBorders>
              <w:top w:val="single" w:sz="4" w:space="0" w:color="000000"/>
            </w:tcBorders>
            <w:vAlign w:val="bottom"/>
          </w:tcPr>
          <w:p>
            <w:pPr>
              <w:pStyle w:val="Normal"/>
              <w:widowControl w:val="false"/>
              <w:jc w:val="right"/>
              <w:rPr>
                <w:sz w:val="20"/>
                <w:szCs w:val="20"/>
              </w:rPr>
            </w:pPr>
            <w:r>
              <w:rPr>
                <w:sz w:val="20"/>
                <w:szCs w:val="20"/>
              </w:rPr>
              <w:t>2020</w:t>
            </w:r>
          </w:p>
        </w:tc>
      </w:tr>
      <w:tr>
        <w:trPr>
          <w:trHeight w:val="256" w:hRule="atLeast"/>
        </w:trPr>
        <w:tc>
          <w:tcPr>
            <w:tcW w:w="894" w:type="dxa"/>
            <w:vMerge w:val="continue"/>
            <w:tcBorders/>
            <w:vAlign w:val="bottom"/>
          </w:tcPr>
          <w:p>
            <w:pPr>
              <w:pStyle w:val="Normal"/>
              <w:widowControl w:val="false"/>
              <w:jc w:val="center"/>
              <w:rPr>
                <w:b/>
                <w:b/>
                <w:sz w:val="20"/>
                <w:szCs w:val="20"/>
              </w:rPr>
            </w:pPr>
            <w:r>
              <w:rPr>
                <w:b/>
                <w:sz w:val="20"/>
                <w:szCs w:val="20"/>
              </w:rPr>
            </w:r>
          </w:p>
        </w:tc>
        <w:tc>
          <w:tcPr>
            <w:tcW w:w="754" w:type="dxa"/>
            <w:tcBorders/>
            <w:vAlign w:val="bottom"/>
          </w:tcPr>
          <w:p>
            <w:pPr>
              <w:pStyle w:val="Normal"/>
              <w:widowControl w:val="false"/>
              <w:rPr>
                <w:sz w:val="20"/>
                <w:szCs w:val="20"/>
              </w:rPr>
            </w:pPr>
            <w:r>
              <w:rPr>
                <w:sz w:val="20"/>
                <w:szCs w:val="20"/>
              </w:rPr>
              <w:t>Age</w:t>
            </w:r>
          </w:p>
        </w:tc>
        <w:tc>
          <w:tcPr>
            <w:tcW w:w="612" w:type="dxa"/>
            <w:tcBorders>
              <w:bottom w:val="single" w:sz="4" w:space="0" w:color="000000"/>
            </w:tcBorders>
            <w:vAlign w:val="bottom"/>
          </w:tcPr>
          <w:p>
            <w:pPr>
              <w:pStyle w:val="Normal"/>
              <w:widowControl w:val="false"/>
              <w:jc w:val="right"/>
              <w:rPr>
                <w:sz w:val="20"/>
                <w:szCs w:val="20"/>
              </w:rPr>
            </w:pPr>
            <w:r>
              <w:rPr>
                <w:sz w:val="20"/>
                <w:szCs w:val="20"/>
              </w:rPr>
              <w:t>NA</w:t>
            </w:r>
          </w:p>
        </w:tc>
        <w:tc>
          <w:tcPr>
            <w:tcW w:w="631" w:type="dxa"/>
            <w:tcBorders>
              <w:bottom w:val="single" w:sz="4" w:space="0" w:color="000000"/>
            </w:tcBorders>
            <w:vAlign w:val="bottom"/>
          </w:tcPr>
          <w:p>
            <w:pPr>
              <w:pStyle w:val="Normal"/>
              <w:widowControl w:val="false"/>
              <w:jc w:val="right"/>
              <w:rPr>
                <w:sz w:val="20"/>
                <w:szCs w:val="20"/>
              </w:rPr>
            </w:pPr>
            <w:r>
              <w:rPr>
                <w:sz w:val="20"/>
                <w:szCs w:val="20"/>
              </w:rPr>
              <w:t>8</w:t>
            </w:r>
          </w:p>
        </w:tc>
        <w:tc>
          <w:tcPr>
            <w:tcW w:w="660" w:type="dxa"/>
            <w:tcBorders>
              <w:bottom w:val="single" w:sz="4" w:space="0" w:color="000000"/>
            </w:tcBorders>
            <w:vAlign w:val="bottom"/>
          </w:tcPr>
          <w:p>
            <w:pPr>
              <w:pStyle w:val="Normal"/>
              <w:widowControl w:val="false"/>
              <w:jc w:val="right"/>
              <w:rPr>
                <w:sz w:val="20"/>
                <w:szCs w:val="20"/>
              </w:rPr>
            </w:pPr>
            <w:r>
              <w:rPr>
                <w:sz w:val="20"/>
                <w:szCs w:val="20"/>
              </w:rPr>
              <w:t>24</w:t>
            </w:r>
          </w:p>
        </w:tc>
        <w:tc>
          <w:tcPr>
            <w:tcW w:w="634" w:type="dxa"/>
            <w:tcBorders>
              <w:bottom w:val="single" w:sz="4" w:space="0" w:color="000000"/>
            </w:tcBorders>
            <w:vAlign w:val="bottom"/>
          </w:tcPr>
          <w:p>
            <w:pPr>
              <w:pStyle w:val="Normal"/>
              <w:widowControl w:val="false"/>
              <w:jc w:val="right"/>
              <w:rPr>
                <w:sz w:val="20"/>
                <w:szCs w:val="20"/>
              </w:rPr>
            </w:pPr>
            <w:r>
              <w:rPr>
                <w:sz w:val="20"/>
                <w:szCs w:val="20"/>
              </w:rPr>
              <w:t>33</w:t>
            </w:r>
          </w:p>
        </w:tc>
        <w:tc>
          <w:tcPr>
            <w:tcW w:w="79" w:type="dxa"/>
            <w:tcBorders/>
            <w:vAlign w:val="bottom"/>
          </w:tcPr>
          <w:p>
            <w:pPr>
              <w:pStyle w:val="Normal"/>
              <w:widowControl w:val="false"/>
              <w:jc w:val="right"/>
              <w:rPr>
                <w:sz w:val="20"/>
                <w:szCs w:val="20"/>
              </w:rPr>
            </w:pPr>
            <w:r>
              <w:rPr>
                <w:sz w:val="20"/>
                <w:szCs w:val="20"/>
              </w:rPr>
            </w:r>
          </w:p>
        </w:tc>
        <w:tc>
          <w:tcPr>
            <w:tcW w:w="610" w:type="dxa"/>
            <w:tcBorders>
              <w:bottom w:val="single" w:sz="4" w:space="0" w:color="000000"/>
            </w:tcBorders>
            <w:vAlign w:val="bottom"/>
          </w:tcPr>
          <w:p>
            <w:pPr>
              <w:pStyle w:val="Normal"/>
              <w:widowControl w:val="false"/>
              <w:jc w:val="right"/>
              <w:rPr>
                <w:sz w:val="20"/>
                <w:szCs w:val="20"/>
              </w:rPr>
            </w:pPr>
            <w:r>
              <w:rPr>
                <w:sz w:val="20"/>
                <w:szCs w:val="20"/>
              </w:rPr>
              <w:t>NA</w:t>
            </w:r>
          </w:p>
        </w:tc>
        <w:tc>
          <w:tcPr>
            <w:tcW w:w="637" w:type="dxa"/>
            <w:tcBorders>
              <w:bottom w:val="single" w:sz="4" w:space="0" w:color="000000"/>
            </w:tcBorders>
            <w:vAlign w:val="bottom"/>
          </w:tcPr>
          <w:p>
            <w:pPr>
              <w:pStyle w:val="Normal"/>
              <w:widowControl w:val="false"/>
              <w:jc w:val="right"/>
              <w:rPr>
                <w:sz w:val="20"/>
                <w:szCs w:val="20"/>
              </w:rPr>
            </w:pPr>
            <w:r>
              <w:rPr>
                <w:sz w:val="20"/>
                <w:szCs w:val="20"/>
              </w:rPr>
              <w:t>8</w:t>
            </w:r>
          </w:p>
        </w:tc>
        <w:tc>
          <w:tcPr>
            <w:tcW w:w="635" w:type="dxa"/>
            <w:tcBorders>
              <w:bottom w:val="single" w:sz="4" w:space="0" w:color="000000"/>
            </w:tcBorders>
            <w:vAlign w:val="bottom"/>
          </w:tcPr>
          <w:p>
            <w:pPr>
              <w:pStyle w:val="Normal"/>
              <w:widowControl w:val="false"/>
              <w:jc w:val="right"/>
              <w:rPr>
                <w:sz w:val="20"/>
                <w:szCs w:val="20"/>
              </w:rPr>
            </w:pPr>
            <w:r>
              <w:rPr>
                <w:sz w:val="20"/>
                <w:szCs w:val="20"/>
              </w:rPr>
              <w:t>24</w:t>
            </w:r>
          </w:p>
        </w:tc>
        <w:tc>
          <w:tcPr>
            <w:tcW w:w="631" w:type="dxa"/>
            <w:tcBorders>
              <w:bottom w:val="single" w:sz="4" w:space="0" w:color="000000"/>
            </w:tcBorders>
            <w:vAlign w:val="bottom"/>
          </w:tcPr>
          <w:p>
            <w:pPr>
              <w:pStyle w:val="Normal"/>
              <w:widowControl w:val="false"/>
              <w:jc w:val="right"/>
              <w:rPr>
                <w:sz w:val="20"/>
                <w:szCs w:val="20"/>
              </w:rPr>
            </w:pPr>
            <w:r>
              <w:rPr>
                <w:sz w:val="20"/>
                <w:szCs w:val="20"/>
              </w:rPr>
              <w:t>33</w:t>
            </w:r>
          </w:p>
        </w:tc>
        <w:tc>
          <w:tcPr>
            <w:tcW w:w="91" w:type="dxa"/>
            <w:tcBorders/>
            <w:vAlign w:val="bottom"/>
          </w:tcPr>
          <w:p>
            <w:pPr>
              <w:pStyle w:val="Normal"/>
              <w:widowControl w:val="false"/>
              <w:jc w:val="right"/>
              <w:rPr>
                <w:sz w:val="20"/>
                <w:szCs w:val="20"/>
              </w:rPr>
            </w:pPr>
            <w:r>
              <w:rPr>
                <w:sz w:val="20"/>
                <w:szCs w:val="20"/>
              </w:rPr>
            </w:r>
          </w:p>
        </w:tc>
        <w:tc>
          <w:tcPr>
            <w:tcW w:w="628" w:type="dxa"/>
            <w:tcBorders>
              <w:bottom w:val="single" w:sz="4" w:space="0" w:color="000000"/>
            </w:tcBorders>
            <w:vAlign w:val="bottom"/>
          </w:tcPr>
          <w:p>
            <w:pPr>
              <w:pStyle w:val="Normal"/>
              <w:widowControl w:val="false"/>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jc w:val="right"/>
              <w:rPr>
                <w:sz w:val="20"/>
                <w:szCs w:val="20"/>
              </w:rPr>
            </w:pPr>
            <w:r>
              <w:rPr>
                <w:sz w:val="20"/>
                <w:szCs w:val="20"/>
              </w:rPr>
              <w:t>11</w:t>
            </w:r>
          </w:p>
        </w:tc>
        <w:tc>
          <w:tcPr>
            <w:tcW w:w="630" w:type="dxa"/>
            <w:tcBorders>
              <w:bottom w:val="single" w:sz="4" w:space="0" w:color="000000"/>
            </w:tcBorders>
            <w:vAlign w:val="bottom"/>
          </w:tcPr>
          <w:p>
            <w:pPr>
              <w:pStyle w:val="Normal"/>
              <w:widowControl w:val="false"/>
              <w:jc w:val="right"/>
              <w:rPr>
                <w:sz w:val="20"/>
                <w:szCs w:val="20"/>
              </w:rPr>
            </w:pPr>
            <w:r>
              <w:rPr>
                <w:sz w:val="20"/>
                <w:szCs w:val="20"/>
              </w:rPr>
              <w:t>20</w:t>
            </w:r>
          </w:p>
        </w:tc>
        <w:tc>
          <w:tcPr>
            <w:tcW w:w="92" w:type="dxa"/>
            <w:tcBorders/>
            <w:vAlign w:val="bottom"/>
          </w:tcPr>
          <w:p>
            <w:pPr>
              <w:pStyle w:val="Normal"/>
              <w:widowControl w:val="false"/>
              <w:jc w:val="right"/>
              <w:rPr>
                <w:sz w:val="20"/>
                <w:szCs w:val="20"/>
              </w:rPr>
            </w:pPr>
            <w:r>
              <w:rPr>
                <w:sz w:val="20"/>
                <w:szCs w:val="20"/>
              </w:rPr>
            </w:r>
          </w:p>
        </w:tc>
        <w:tc>
          <w:tcPr>
            <w:tcW w:w="631" w:type="dxa"/>
            <w:tcBorders>
              <w:bottom w:val="single" w:sz="4" w:space="0" w:color="000000"/>
            </w:tcBorders>
            <w:vAlign w:val="bottom"/>
          </w:tcPr>
          <w:p>
            <w:pPr>
              <w:pStyle w:val="Normal"/>
              <w:widowControl w:val="false"/>
              <w:jc w:val="right"/>
              <w:rPr>
                <w:sz w:val="20"/>
                <w:szCs w:val="20"/>
              </w:rPr>
            </w:pPr>
            <w:r>
              <w:rPr>
                <w:sz w:val="20"/>
                <w:szCs w:val="20"/>
              </w:rPr>
              <w:t>NA</w:t>
            </w:r>
          </w:p>
        </w:tc>
        <w:tc>
          <w:tcPr>
            <w:tcW w:w="631" w:type="dxa"/>
            <w:tcBorders>
              <w:bottom w:val="single" w:sz="4" w:space="0" w:color="000000"/>
            </w:tcBorders>
            <w:vAlign w:val="bottom"/>
          </w:tcPr>
          <w:p>
            <w:pPr>
              <w:pStyle w:val="Normal"/>
              <w:widowControl w:val="false"/>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jc w:val="right"/>
              <w:rPr>
                <w:sz w:val="20"/>
                <w:szCs w:val="20"/>
              </w:rPr>
            </w:pPr>
            <w:r>
              <w:rPr>
                <w:sz w:val="20"/>
                <w:szCs w:val="20"/>
              </w:rPr>
              <w:t>11</w:t>
            </w:r>
          </w:p>
        </w:tc>
        <w:tc>
          <w:tcPr>
            <w:tcW w:w="631" w:type="dxa"/>
            <w:tcBorders>
              <w:bottom w:val="single" w:sz="4" w:space="0" w:color="000000"/>
            </w:tcBorders>
            <w:vAlign w:val="bottom"/>
          </w:tcPr>
          <w:p>
            <w:pPr>
              <w:pStyle w:val="Normal"/>
              <w:widowControl w:val="false"/>
              <w:jc w:val="right"/>
              <w:rPr>
                <w:sz w:val="20"/>
                <w:szCs w:val="20"/>
              </w:rPr>
            </w:pPr>
            <w:r>
              <w:rPr>
                <w:sz w:val="20"/>
                <w:szCs w:val="20"/>
              </w:rPr>
              <w:t>20</w:t>
            </w:r>
          </w:p>
        </w:tc>
        <w:tc>
          <w:tcPr>
            <w:tcW w:w="91" w:type="dxa"/>
            <w:tcBorders/>
            <w:vAlign w:val="bottom"/>
          </w:tcPr>
          <w:p>
            <w:pPr>
              <w:pStyle w:val="Normal"/>
              <w:widowControl w:val="false"/>
              <w:jc w:val="right"/>
              <w:rPr>
                <w:sz w:val="20"/>
                <w:szCs w:val="20"/>
              </w:rPr>
            </w:pPr>
            <w:r>
              <w:rPr>
                <w:sz w:val="20"/>
                <w:szCs w:val="20"/>
              </w:rPr>
            </w:r>
          </w:p>
        </w:tc>
        <w:tc>
          <w:tcPr>
            <w:tcW w:w="629" w:type="dxa"/>
            <w:tcBorders>
              <w:bottom w:val="single" w:sz="4" w:space="0" w:color="000000"/>
            </w:tcBorders>
            <w:vAlign w:val="bottom"/>
          </w:tcPr>
          <w:p>
            <w:pPr>
              <w:pStyle w:val="Normal"/>
              <w:widowControl w:val="false"/>
              <w:jc w:val="right"/>
              <w:rPr>
                <w:sz w:val="20"/>
                <w:szCs w:val="20"/>
              </w:rPr>
            </w:pPr>
            <w:r>
              <w:rPr>
                <w:sz w:val="20"/>
                <w:szCs w:val="20"/>
              </w:rPr>
              <w:t>12</w:t>
            </w:r>
          </w:p>
        </w:tc>
        <w:tc>
          <w:tcPr>
            <w:tcW w:w="631" w:type="dxa"/>
            <w:tcBorders>
              <w:bottom w:val="single" w:sz="4" w:space="0" w:color="000000"/>
            </w:tcBorders>
            <w:vAlign w:val="bottom"/>
          </w:tcPr>
          <w:p>
            <w:pPr>
              <w:pStyle w:val="Normal"/>
              <w:widowControl w:val="false"/>
              <w:jc w:val="right"/>
              <w:rPr>
                <w:sz w:val="20"/>
                <w:szCs w:val="20"/>
              </w:rPr>
            </w:pPr>
            <w:r>
              <w:rPr>
                <w:sz w:val="20"/>
                <w:szCs w:val="20"/>
              </w:rPr>
              <w:t>NA</w:t>
            </w:r>
          </w:p>
        </w:tc>
        <w:tc>
          <w:tcPr>
            <w:tcW w:w="628" w:type="dxa"/>
            <w:tcBorders>
              <w:bottom w:val="single" w:sz="4" w:space="0" w:color="000000"/>
            </w:tcBorders>
            <w:vAlign w:val="bottom"/>
          </w:tcPr>
          <w:p>
            <w:pPr>
              <w:pStyle w:val="Normal"/>
              <w:widowControl w:val="false"/>
              <w:jc w:val="right"/>
              <w:rPr>
                <w:sz w:val="20"/>
                <w:szCs w:val="20"/>
              </w:rPr>
            </w:pPr>
            <w:r>
              <w:rPr>
                <w:sz w:val="20"/>
                <w:szCs w:val="20"/>
              </w:rPr>
              <w:t>36</w:t>
            </w:r>
          </w:p>
        </w:tc>
        <w:tc>
          <w:tcPr>
            <w:tcW w:w="680" w:type="dxa"/>
            <w:tcBorders>
              <w:bottom w:val="single" w:sz="4" w:space="0" w:color="000000"/>
            </w:tcBorders>
            <w:vAlign w:val="bottom"/>
          </w:tcPr>
          <w:p>
            <w:pPr>
              <w:pStyle w:val="Normal"/>
              <w:widowControl w:val="false"/>
              <w:jc w:val="right"/>
              <w:rPr>
                <w:sz w:val="20"/>
                <w:szCs w:val="20"/>
              </w:rPr>
            </w:pPr>
            <w:r>
              <w:rPr>
                <w:sz w:val="20"/>
                <w:szCs w:val="20"/>
              </w:rPr>
              <w:t>45</w:t>
            </w:r>
          </w:p>
        </w:tc>
      </w:tr>
      <w:tr>
        <w:trPr>
          <w:trHeight w:val="256" w:hRule="atLeast"/>
        </w:trPr>
        <w:tc>
          <w:tcPr>
            <w:tcW w:w="894" w:type="dxa"/>
            <w:vMerge w:val="continue"/>
            <w:tcBorders/>
            <w:vAlign w:val="center"/>
          </w:tcPr>
          <w:p>
            <w:pPr>
              <w:pStyle w:val="Normal"/>
              <w:widowControl w:val="false"/>
              <w:jc w:val="center"/>
              <w:rPr>
                <w:b/>
                <w:b/>
                <w:sz w:val="20"/>
                <w:szCs w:val="20"/>
              </w:rPr>
            </w:pPr>
            <w:r>
              <w:rPr>
                <w:b/>
                <w:sz w:val="20"/>
                <w:szCs w:val="20"/>
              </w:rPr>
            </w:r>
          </w:p>
        </w:tc>
        <w:tc>
          <w:tcPr>
            <w:tcW w:w="754" w:type="dxa"/>
            <w:tcBorders/>
            <w:vAlign w:val="bottom"/>
          </w:tcPr>
          <w:p>
            <w:pPr>
              <w:pStyle w:val="Normal"/>
              <w:widowControl w:val="false"/>
              <w:rPr>
                <w:sz w:val="20"/>
                <w:szCs w:val="20"/>
              </w:rPr>
            </w:pPr>
            <w:r>
              <w:rPr>
                <w:sz w:val="20"/>
                <w:szCs w:val="20"/>
              </w:rPr>
              <w:t>mean</w:t>
            </w:r>
          </w:p>
        </w:tc>
        <w:tc>
          <w:tcPr>
            <w:tcW w:w="612" w:type="dxa"/>
            <w:tcBorders>
              <w:top w:val="single" w:sz="4" w:space="0" w:color="000000"/>
            </w:tcBorders>
            <w:vAlign w:val="bottom"/>
          </w:tcPr>
          <w:p>
            <w:pPr>
              <w:pStyle w:val="Normal"/>
              <w:widowControl w:val="false"/>
              <w:jc w:val="right"/>
              <w:rPr>
                <w:sz w:val="20"/>
                <w:szCs w:val="20"/>
              </w:rPr>
            </w:pPr>
            <w:r>
              <w:rPr>
                <w:sz w:val="20"/>
                <w:szCs w:val="20"/>
              </w:rPr>
              <w:t>NA</w:t>
            </w:r>
          </w:p>
        </w:tc>
        <w:tc>
          <w:tcPr>
            <w:tcW w:w="631" w:type="dxa"/>
            <w:tcBorders>
              <w:top w:val="single" w:sz="4" w:space="0" w:color="000000"/>
            </w:tcBorders>
            <w:vAlign w:val="bottom"/>
          </w:tcPr>
          <w:p>
            <w:pPr>
              <w:pStyle w:val="Normal"/>
              <w:widowControl w:val="false"/>
              <w:jc w:val="right"/>
              <w:rPr>
                <w:sz w:val="20"/>
                <w:szCs w:val="20"/>
              </w:rPr>
            </w:pPr>
            <w:r>
              <w:rPr>
                <w:sz w:val="20"/>
                <w:szCs w:val="20"/>
              </w:rPr>
              <w:t>163.0</w:t>
            </w:r>
          </w:p>
        </w:tc>
        <w:tc>
          <w:tcPr>
            <w:tcW w:w="660" w:type="dxa"/>
            <w:tcBorders>
              <w:top w:val="single" w:sz="4" w:space="0" w:color="000000"/>
            </w:tcBorders>
            <w:vAlign w:val="bottom"/>
          </w:tcPr>
          <w:p>
            <w:pPr>
              <w:pStyle w:val="Normal"/>
              <w:widowControl w:val="false"/>
              <w:jc w:val="right"/>
              <w:rPr>
                <w:sz w:val="20"/>
                <w:szCs w:val="20"/>
              </w:rPr>
            </w:pPr>
            <w:r>
              <w:rPr>
                <w:sz w:val="20"/>
                <w:szCs w:val="20"/>
              </w:rPr>
              <w:t>106.7</w:t>
            </w:r>
          </w:p>
        </w:tc>
        <w:tc>
          <w:tcPr>
            <w:tcW w:w="634" w:type="dxa"/>
            <w:tcBorders>
              <w:top w:val="single" w:sz="4" w:space="0" w:color="000000"/>
            </w:tcBorders>
            <w:vAlign w:val="bottom"/>
          </w:tcPr>
          <w:p>
            <w:pPr>
              <w:pStyle w:val="Normal"/>
              <w:widowControl w:val="false"/>
              <w:jc w:val="right"/>
              <w:rPr>
                <w:sz w:val="20"/>
                <w:szCs w:val="20"/>
              </w:rPr>
            </w:pPr>
            <w:r>
              <w:rPr>
                <w:sz w:val="20"/>
                <w:szCs w:val="20"/>
              </w:rPr>
              <w:t>57.0</w:t>
            </w:r>
          </w:p>
        </w:tc>
        <w:tc>
          <w:tcPr>
            <w:tcW w:w="79" w:type="dxa"/>
            <w:tcBorders/>
            <w:vAlign w:val="bottom"/>
          </w:tcPr>
          <w:p>
            <w:pPr>
              <w:pStyle w:val="Normal"/>
              <w:widowControl w:val="false"/>
              <w:jc w:val="right"/>
              <w:rPr>
                <w:sz w:val="20"/>
                <w:szCs w:val="20"/>
              </w:rPr>
            </w:pPr>
            <w:r>
              <w:rPr>
                <w:sz w:val="20"/>
                <w:szCs w:val="20"/>
              </w:rPr>
            </w:r>
          </w:p>
        </w:tc>
        <w:tc>
          <w:tcPr>
            <w:tcW w:w="610" w:type="dxa"/>
            <w:tcBorders>
              <w:top w:val="single" w:sz="4" w:space="0" w:color="000000"/>
            </w:tcBorders>
            <w:vAlign w:val="bottom"/>
          </w:tcPr>
          <w:p>
            <w:pPr>
              <w:pStyle w:val="Normal"/>
              <w:widowControl w:val="false"/>
              <w:jc w:val="right"/>
              <w:rPr>
                <w:sz w:val="20"/>
                <w:szCs w:val="20"/>
              </w:rPr>
            </w:pPr>
            <w:r>
              <w:rPr>
                <w:sz w:val="20"/>
                <w:szCs w:val="20"/>
              </w:rPr>
              <w:t>NA</w:t>
            </w:r>
          </w:p>
        </w:tc>
        <w:tc>
          <w:tcPr>
            <w:tcW w:w="637" w:type="dxa"/>
            <w:tcBorders>
              <w:top w:val="single" w:sz="4" w:space="0" w:color="000000"/>
            </w:tcBorders>
            <w:vAlign w:val="bottom"/>
          </w:tcPr>
          <w:p>
            <w:pPr>
              <w:pStyle w:val="Normal"/>
              <w:widowControl w:val="false"/>
              <w:jc w:val="right"/>
              <w:rPr>
                <w:sz w:val="20"/>
                <w:szCs w:val="20"/>
              </w:rPr>
            </w:pPr>
            <w:r>
              <w:rPr>
                <w:sz w:val="20"/>
                <w:szCs w:val="20"/>
              </w:rPr>
              <w:t>161.4</w:t>
            </w:r>
          </w:p>
        </w:tc>
        <w:tc>
          <w:tcPr>
            <w:tcW w:w="635" w:type="dxa"/>
            <w:tcBorders>
              <w:top w:val="single" w:sz="4" w:space="0" w:color="000000"/>
            </w:tcBorders>
            <w:vAlign w:val="bottom"/>
          </w:tcPr>
          <w:p>
            <w:pPr>
              <w:pStyle w:val="Normal"/>
              <w:widowControl w:val="false"/>
              <w:jc w:val="right"/>
              <w:rPr>
                <w:sz w:val="20"/>
                <w:szCs w:val="20"/>
              </w:rPr>
            </w:pPr>
            <w:r>
              <w:rPr>
                <w:sz w:val="20"/>
                <w:szCs w:val="20"/>
              </w:rPr>
              <w:t>127.0</w:t>
            </w:r>
          </w:p>
        </w:tc>
        <w:tc>
          <w:tcPr>
            <w:tcW w:w="631" w:type="dxa"/>
            <w:tcBorders>
              <w:top w:val="single" w:sz="4" w:space="0" w:color="000000"/>
            </w:tcBorders>
            <w:vAlign w:val="bottom"/>
          </w:tcPr>
          <w:p>
            <w:pPr>
              <w:pStyle w:val="Normal"/>
              <w:widowControl w:val="false"/>
              <w:jc w:val="right"/>
              <w:rPr>
                <w:sz w:val="20"/>
                <w:szCs w:val="20"/>
              </w:rPr>
            </w:pPr>
            <w:r>
              <w:rPr>
                <w:sz w:val="20"/>
                <w:szCs w:val="20"/>
              </w:rPr>
              <w:t>74.6</w:t>
            </w:r>
          </w:p>
        </w:tc>
        <w:tc>
          <w:tcPr>
            <w:tcW w:w="91" w:type="dxa"/>
            <w:tcBorders/>
            <w:vAlign w:val="bottom"/>
          </w:tcPr>
          <w:p>
            <w:pPr>
              <w:pStyle w:val="Normal"/>
              <w:widowControl w:val="false"/>
              <w:jc w:val="right"/>
              <w:rPr>
                <w:sz w:val="20"/>
                <w:szCs w:val="20"/>
              </w:rPr>
            </w:pPr>
            <w:r>
              <w:rPr>
                <w:sz w:val="20"/>
                <w:szCs w:val="20"/>
              </w:rPr>
            </w:r>
          </w:p>
        </w:tc>
        <w:tc>
          <w:tcPr>
            <w:tcW w:w="628" w:type="dxa"/>
            <w:tcBorders>
              <w:top w:val="single" w:sz="4" w:space="0" w:color="000000"/>
            </w:tcBorders>
            <w:vAlign w:val="bottom"/>
          </w:tcPr>
          <w:p>
            <w:pPr>
              <w:pStyle w:val="Normal"/>
              <w:widowControl w:val="false"/>
              <w:jc w:val="right"/>
              <w:rPr>
                <w:sz w:val="20"/>
                <w:szCs w:val="20"/>
              </w:rPr>
            </w:pPr>
            <w:r>
              <w:rPr>
                <w:sz w:val="20"/>
                <w:szCs w:val="20"/>
              </w:rPr>
              <w:t>NA</w:t>
            </w:r>
          </w:p>
        </w:tc>
        <w:tc>
          <w:tcPr>
            <w:tcW w:w="632" w:type="dxa"/>
            <w:tcBorders>
              <w:top w:val="single" w:sz="4" w:space="0" w:color="000000"/>
            </w:tcBorders>
            <w:vAlign w:val="bottom"/>
          </w:tcPr>
          <w:p>
            <w:pPr>
              <w:pStyle w:val="Normal"/>
              <w:widowControl w:val="false"/>
              <w:jc w:val="right"/>
              <w:rPr>
                <w:sz w:val="20"/>
                <w:szCs w:val="20"/>
              </w:rPr>
            </w:pPr>
            <w:r>
              <w:rPr>
                <w:sz w:val="20"/>
                <w:szCs w:val="20"/>
              </w:rPr>
              <w:t>NA</w:t>
            </w:r>
          </w:p>
        </w:tc>
        <w:tc>
          <w:tcPr>
            <w:tcW w:w="632" w:type="dxa"/>
            <w:tcBorders>
              <w:top w:val="single" w:sz="4" w:space="0" w:color="000000"/>
            </w:tcBorders>
            <w:vAlign w:val="bottom"/>
          </w:tcPr>
          <w:p>
            <w:pPr>
              <w:pStyle w:val="Normal"/>
              <w:widowControl w:val="false"/>
              <w:jc w:val="right"/>
              <w:rPr>
                <w:sz w:val="20"/>
                <w:szCs w:val="20"/>
              </w:rPr>
            </w:pPr>
            <w:r>
              <w:rPr>
                <w:sz w:val="20"/>
                <w:szCs w:val="20"/>
              </w:rPr>
              <w:t>131.6</w:t>
            </w:r>
          </w:p>
        </w:tc>
        <w:tc>
          <w:tcPr>
            <w:tcW w:w="630" w:type="dxa"/>
            <w:tcBorders>
              <w:top w:val="single" w:sz="4" w:space="0" w:color="000000"/>
            </w:tcBorders>
            <w:vAlign w:val="bottom"/>
          </w:tcPr>
          <w:p>
            <w:pPr>
              <w:pStyle w:val="Normal"/>
              <w:widowControl w:val="false"/>
              <w:jc w:val="right"/>
              <w:rPr>
                <w:sz w:val="20"/>
                <w:szCs w:val="20"/>
              </w:rPr>
            </w:pPr>
            <w:r>
              <w:rPr>
                <w:sz w:val="20"/>
                <w:szCs w:val="20"/>
              </w:rPr>
              <w:t>121.0</w:t>
            </w:r>
          </w:p>
        </w:tc>
        <w:tc>
          <w:tcPr>
            <w:tcW w:w="92" w:type="dxa"/>
            <w:tcBorders/>
            <w:vAlign w:val="bottom"/>
          </w:tcPr>
          <w:p>
            <w:pPr>
              <w:pStyle w:val="Normal"/>
              <w:widowControl w:val="false"/>
              <w:jc w:val="right"/>
              <w:rPr>
                <w:sz w:val="20"/>
                <w:szCs w:val="20"/>
              </w:rPr>
            </w:pPr>
            <w:r>
              <w:rPr>
                <w:sz w:val="20"/>
                <w:szCs w:val="20"/>
              </w:rPr>
            </w:r>
          </w:p>
        </w:tc>
        <w:tc>
          <w:tcPr>
            <w:tcW w:w="631" w:type="dxa"/>
            <w:tcBorders>
              <w:top w:val="single" w:sz="4" w:space="0" w:color="000000"/>
            </w:tcBorders>
            <w:vAlign w:val="bottom"/>
          </w:tcPr>
          <w:p>
            <w:pPr>
              <w:pStyle w:val="Normal"/>
              <w:widowControl w:val="false"/>
              <w:jc w:val="right"/>
              <w:rPr>
                <w:sz w:val="20"/>
                <w:szCs w:val="20"/>
              </w:rPr>
            </w:pPr>
            <w:r>
              <w:rPr>
                <w:sz w:val="20"/>
                <w:szCs w:val="20"/>
              </w:rPr>
              <w:t>NA</w:t>
            </w:r>
          </w:p>
        </w:tc>
        <w:tc>
          <w:tcPr>
            <w:tcW w:w="631" w:type="dxa"/>
            <w:tcBorders>
              <w:top w:val="single" w:sz="4" w:space="0" w:color="000000"/>
            </w:tcBorders>
            <w:vAlign w:val="bottom"/>
          </w:tcPr>
          <w:p>
            <w:pPr>
              <w:pStyle w:val="Normal"/>
              <w:widowControl w:val="false"/>
              <w:jc w:val="right"/>
              <w:rPr>
                <w:sz w:val="20"/>
                <w:szCs w:val="20"/>
              </w:rPr>
            </w:pPr>
            <w:r>
              <w:rPr>
                <w:sz w:val="20"/>
                <w:szCs w:val="20"/>
              </w:rPr>
              <w:t>NA</w:t>
            </w:r>
          </w:p>
        </w:tc>
        <w:tc>
          <w:tcPr>
            <w:tcW w:w="632" w:type="dxa"/>
            <w:tcBorders>
              <w:top w:val="single" w:sz="4" w:space="0" w:color="000000"/>
            </w:tcBorders>
            <w:vAlign w:val="bottom"/>
          </w:tcPr>
          <w:p>
            <w:pPr>
              <w:pStyle w:val="Normal"/>
              <w:widowControl w:val="false"/>
              <w:jc w:val="right"/>
              <w:rPr>
                <w:sz w:val="20"/>
                <w:szCs w:val="20"/>
              </w:rPr>
            </w:pPr>
            <w:r>
              <w:rPr>
                <w:sz w:val="20"/>
                <w:szCs w:val="20"/>
              </w:rPr>
              <w:t>164.8</w:t>
            </w:r>
          </w:p>
        </w:tc>
        <w:tc>
          <w:tcPr>
            <w:tcW w:w="631" w:type="dxa"/>
            <w:tcBorders>
              <w:top w:val="single" w:sz="4" w:space="0" w:color="000000"/>
            </w:tcBorders>
            <w:vAlign w:val="bottom"/>
          </w:tcPr>
          <w:p>
            <w:pPr>
              <w:pStyle w:val="Normal"/>
              <w:widowControl w:val="false"/>
              <w:jc w:val="right"/>
              <w:rPr>
                <w:sz w:val="20"/>
                <w:szCs w:val="20"/>
              </w:rPr>
            </w:pPr>
            <w:r>
              <w:rPr>
                <w:sz w:val="20"/>
                <w:szCs w:val="20"/>
              </w:rPr>
              <w:t>132.6</w:t>
            </w:r>
          </w:p>
        </w:tc>
        <w:tc>
          <w:tcPr>
            <w:tcW w:w="91" w:type="dxa"/>
            <w:tcBorders/>
            <w:vAlign w:val="bottom"/>
          </w:tcPr>
          <w:p>
            <w:pPr>
              <w:pStyle w:val="Normal"/>
              <w:widowControl w:val="false"/>
              <w:jc w:val="right"/>
              <w:rPr>
                <w:sz w:val="20"/>
                <w:szCs w:val="20"/>
              </w:rPr>
            </w:pPr>
            <w:r>
              <w:rPr>
                <w:sz w:val="20"/>
                <w:szCs w:val="20"/>
              </w:rPr>
            </w:r>
          </w:p>
        </w:tc>
        <w:tc>
          <w:tcPr>
            <w:tcW w:w="629" w:type="dxa"/>
            <w:tcBorders>
              <w:top w:val="single" w:sz="4" w:space="0" w:color="000000"/>
            </w:tcBorders>
            <w:vAlign w:val="bottom"/>
          </w:tcPr>
          <w:p>
            <w:pPr>
              <w:pStyle w:val="Normal"/>
              <w:widowControl w:val="false"/>
              <w:jc w:val="right"/>
              <w:rPr>
                <w:sz w:val="20"/>
                <w:szCs w:val="20"/>
              </w:rPr>
            </w:pPr>
            <w:r>
              <w:rPr>
                <w:sz w:val="20"/>
                <w:szCs w:val="20"/>
              </w:rPr>
              <w:t>157.6</w:t>
            </w:r>
          </w:p>
        </w:tc>
        <w:tc>
          <w:tcPr>
            <w:tcW w:w="631" w:type="dxa"/>
            <w:tcBorders>
              <w:top w:val="single" w:sz="4" w:space="0" w:color="000000"/>
            </w:tcBorders>
            <w:vAlign w:val="bottom"/>
          </w:tcPr>
          <w:p>
            <w:pPr>
              <w:pStyle w:val="Normal"/>
              <w:widowControl w:val="false"/>
              <w:jc w:val="right"/>
              <w:rPr>
                <w:sz w:val="20"/>
                <w:szCs w:val="20"/>
              </w:rPr>
            </w:pPr>
            <w:r>
              <w:rPr>
                <w:sz w:val="20"/>
                <w:szCs w:val="20"/>
              </w:rPr>
              <w:t>NA</w:t>
            </w:r>
          </w:p>
        </w:tc>
        <w:tc>
          <w:tcPr>
            <w:tcW w:w="628" w:type="dxa"/>
            <w:tcBorders>
              <w:top w:val="single" w:sz="4" w:space="0" w:color="000000"/>
            </w:tcBorders>
            <w:vAlign w:val="bottom"/>
          </w:tcPr>
          <w:p>
            <w:pPr>
              <w:pStyle w:val="Normal"/>
              <w:widowControl w:val="false"/>
              <w:jc w:val="right"/>
              <w:rPr>
                <w:sz w:val="20"/>
                <w:szCs w:val="20"/>
              </w:rPr>
            </w:pPr>
            <w:r>
              <w:rPr>
                <w:sz w:val="20"/>
                <w:szCs w:val="20"/>
              </w:rPr>
              <w:t>73.2</w:t>
            </w:r>
          </w:p>
        </w:tc>
        <w:tc>
          <w:tcPr>
            <w:tcW w:w="680" w:type="dxa"/>
            <w:tcBorders>
              <w:top w:val="single" w:sz="4" w:space="0" w:color="000000"/>
            </w:tcBorders>
            <w:vAlign w:val="bottom"/>
          </w:tcPr>
          <w:p>
            <w:pPr>
              <w:pStyle w:val="Normal"/>
              <w:widowControl w:val="false"/>
              <w:jc w:val="right"/>
              <w:rPr>
                <w:sz w:val="20"/>
                <w:szCs w:val="20"/>
              </w:rPr>
            </w:pPr>
            <w:r>
              <w:rPr>
                <w:sz w:val="20"/>
                <w:szCs w:val="20"/>
              </w:rPr>
              <w:t>55.6</w:t>
            </w:r>
          </w:p>
        </w:tc>
      </w:tr>
      <w:tr>
        <w:trPr>
          <w:trHeight w:val="256" w:hRule="atLeast"/>
        </w:trPr>
        <w:tc>
          <w:tcPr>
            <w:tcW w:w="894" w:type="dxa"/>
            <w:vMerge w:val="continue"/>
            <w:tcBorders/>
            <w:vAlign w:val="bottom"/>
          </w:tcPr>
          <w:p>
            <w:pPr>
              <w:pStyle w:val="Normal"/>
              <w:widowControl w:val="false"/>
              <w:jc w:val="center"/>
              <w:rPr>
                <w:b/>
                <w:b/>
                <w:sz w:val="20"/>
                <w:szCs w:val="20"/>
              </w:rPr>
            </w:pPr>
            <w:r>
              <w:rPr>
                <w:b/>
                <w:sz w:val="20"/>
                <w:szCs w:val="20"/>
              </w:rPr>
            </w:r>
          </w:p>
        </w:tc>
        <w:tc>
          <w:tcPr>
            <w:tcW w:w="754" w:type="dxa"/>
            <w:tcBorders/>
            <w:vAlign w:val="bottom"/>
          </w:tcPr>
          <w:p>
            <w:pPr>
              <w:pStyle w:val="Normal"/>
              <w:widowControl w:val="false"/>
              <w:rPr>
                <w:sz w:val="20"/>
                <w:szCs w:val="20"/>
              </w:rPr>
            </w:pPr>
            <w:r>
              <w:rPr>
                <w:sz w:val="20"/>
                <w:szCs w:val="20"/>
              </w:rPr>
              <w:t>95CI</w:t>
            </w:r>
          </w:p>
        </w:tc>
        <w:tc>
          <w:tcPr>
            <w:tcW w:w="612" w:type="dxa"/>
            <w:tcBorders/>
            <w:vAlign w:val="bottom"/>
          </w:tcPr>
          <w:p>
            <w:pPr>
              <w:pStyle w:val="Normal"/>
              <w:widowControl w:val="false"/>
              <w:jc w:val="right"/>
              <w:rPr>
                <w:sz w:val="20"/>
                <w:szCs w:val="20"/>
              </w:rPr>
            </w:pPr>
            <w:r>
              <w:rPr>
                <w:sz w:val="20"/>
                <w:szCs w:val="20"/>
              </w:rPr>
              <w:t>NA</w:t>
            </w:r>
          </w:p>
        </w:tc>
        <w:tc>
          <w:tcPr>
            <w:tcW w:w="631" w:type="dxa"/>
            <w:tcBorders/>
            <w:vAlign w:val="bottom"/>
          </w:tcPr>
          <w:p>
            <w:pPr>
              <w:pStyle w:val="Normal"/>
              <w:widowControl w:val="false"/>
              <w:jc w:val="right"/>
              <w:rPr>
                <w:sz w:val="20"/>
                <w:szCs w:val="20"/>
              </w:rPr>
            </w:pPr>
            <w:r>
              <w:rPr>
                <w:sz w:val="20"/>
                <w:szCs w:val="20"/>
              </w:rPr>
              <w:t>11.4</w:t>
            </w:r>
          </w:p>
        </w:tc>
        <w:tc>
          <w:tcPr>
            <w:tcW w:w="660" w:type="dxa"/>
            <w:tcBorders/>
            <w:vAlign w:val="bottom"/>
          </w:tcPr>
          <w:p>
            <w:pPr>
              <w:pStyle w:val="Normal"/>
              <w:widowControl w:val="false"/>
              <w:jc w:val="right"/>
              <w:rPr>
                <w:sz w:val="20"/>
                <w:szCs w:val="20"/>
              </w:rPr>
            </w:pPr>
            <w:r>
              <w:rPr>
                <w:sz w:val="20"/>
                <w:szCs w:val="20"/>
              </w:rPr>
              <w:t>24.1</w:t>
            </w:r>
          </w:p>
        </w:tc>
        <w:tc>
          <w:tcPr>
            <w:tcW w:w="634" w:type="dxa"/>
            <w:tcBorders/>
            <w:vAlign w:val="bottom"/>
          </w:tcPr>
          <w:p>
            <w:pPr>
              <w:pStyle w:val="Normal"/>
              <w:widowControl w:val="false"/>
              <w:jc w:val="right"/>
              <w:rPr>
                <w:sz w:val="20"/>
                <w:szCs w:val="20"/>
              </w:rPr>
            </w:pPr>
            <w:r>
              <w:rPr>
                <w:sz w:val="20"/>
                <w:szCs w:val="20"/>
              </w:rPr>
              <w:t>6.6</w:t>
            </w:r>
          </w:p>
        </w:tc>
        <w:tc>
          <w:tcPr>
            <w:tcW w:w="79" w:type="dxa"/>
            <w:tcBorders/>
            <w:vAlign w:val="bottom"/>
          </w:tcPr>
          <w:p>
            <w:pPr>
              <w:pStyle w:val="Normal"/>
              <w:widowControl w:val="false"/>
              <w:jc w:val="right"/>
              <w:rPr>
                <w:sz w:val="20"/>
                <w:szCs w:val="20"/>
              </w:rPr>
            </w:pPr>
            <w:r>
              <w:rPr>
                <w:sz w:val="20"/>
                <w:szCs w:val="20"/>
              </w:rPr>
            </w:r>
          </w:p>
        </w:tc>
        <w:tc>
          <w:tcPr>
            <w:tcW w:w="610" w:type="dxa"/>
            <w:tcBorders/>
            <w:vAlign w:val="bottom"/>
          </w:tcPr>
          <w:p>
            <w:pPr>
              <w:pStyle w:val="Normal"/>
              <w:widowControl w:val="false"/>
              <w:jc w:val="right"/>
              <w:rPr>
                <w:sz w:val="20"/>
                <w:szCs w:val="20"/>
              </w:rPr>
            </w:pPr>
            <w:r>
              <w:rPr>
                <w:sz w:val="20"/>
                <w:szCs w:val="20"/>
              </w:rPr>
              <w:t>NA</w:t>
            </w:r>
          </w:p>
        </w:tc>
        <w:tc>
          <w:tcPr>
            <w:tcW w:w="637" w:type="dxa"/>
            <w:tcBorders/>
            <w:vAlign w:val="bottom"/>
          </w:tcPr>
          <w:p>
            <w:pPr>
              <w:pStyle w:val="Normal"/>
              <w:widowControl w:val="false"/>
              <w:jc w:val="right"/>
              <w:rPr>
                <w:sz w:val="20"/>
                <w:szCs w:val="20"/>
              </w:rPr>
            </w:pPr>
            <w:r>
              <w:rPr>
                <w:sz w:val="20"/>
                <w:szCs w:val="20"/>
              </w:rPr>
              <w:t>7.6</w:t>
            </w:r>
          </w:p>
        </w:tc>
        <w:tc>
          <w:tcPr>
            <w:tcW w:w="635" w:type="dxa"/>
            <w:tcBorders/>
            <w:vAlign w:val="bottom"/>
          </w:tcPr>
          <w:p>
            <w:pPr>
              <w:pStyle w:val="Normal"/>
              <w:widowControl w:val="false"/>
              <w:jc w:val="right"/>
              <w:rPr>
                <w:sz w:val="20"/>
                <w:szCs w:val="20"/>
              </w:rPr>
            </w:pPr>
            <w:r>
              <w:rPr>
                <w:sz w:val="20"/>
                <w:szCs w:val="20"/>
              </w:rPr>
              <w:t>16.1</w:t>
            </w:r>
          </w:p>
        </w:tc>
        <w:tc>
          <w:tcPr>
            <w:tcW w:w="631" w:type="dxa"/>
            <w:tcBorders/>
            <w:vAlign w:val="bottom"/>
          </w:tcPr>
          <w:p>
            <w:pPr>
              <w:pStyle w:val="Normal"/>
              <w:widowControl w:val="false"/>
              <w:jc w:val="right"/>
              <w:rPr>
                <w:sz w:val="20"/>
                <w:szCs w:val="20"/>
              </w:rPr>
            </w:pPr>
            <w:r>
              <w:rPr>
                <w:sz w:val="20"/>
                <w:szCs w:val="20"/>
              </w:rPr>
              <w:t>19.2</w:t>
            </w:r>
          </w:p>
        </w:tc>
        <w:tc>
          <w:tcPr>
            <w:tcW w:w="91" w:type="dxa"/>
            <w:tcBorders/>
            <w:vAlign w:val="bottom"/>
          </w:tcPr>
          <w:p>
            <w:pPr>
              <w:pStyle w:val="Normal"/>
              <w:widowControl w:val="false"/>
              <w:jc w:val="right"/>
              <w:rPr>
                <w:sz w:val="20"/>
                <w:szCs w:val="20"/>
              </w:rPr>
            </w:pPr>
            <w:r>
              <w:rPr>
                <w:sz w:val="20"/>
                <w:szCs w:val="20"/>
              </w:rPr>
            </w:r>
          </w:p>
        </w:tc>
        <w:tc>
          <w:tcPr>
            <w:tcW w:w="628" w:type="dxa"/>
            <w:tcBorders/>
            <w:vAlign w:val="bottom"/>
          </w:tcPr>
          <w:p>
            <w:pPr>
              <w:pStyle w:val="Normal"/>
              <w:widowControl w:val="false"/>
              <w:jc w:val="right"/>
              <w:rPr>
                <w:sz w:val="20"/>
                <w:szCs w:val="20"/>
              </w:rPr>
            </w:pPr>
            <w:r>
              <w:rPr>
                <w:sz w:val="20"/>
                <w:szCs w:val="20"/>
              </w:rPr>
              <w:t>NA</w:t>
            </w:r>
          </w:p>
        </w:tc>
        <w:tc>
          <w:tcPr>
            <w:tcW w:w="632" w:type="dxa"/>
            <w:tcBorders/>
            <w:vAlign w:val="bottom"/>
          </w:tcPr>
          <w:p>
            <w:pPr>
              <w:pStyle w:val="Normal"/>
              <w:widowControl w:val="false"/>
              <w:jc w:val="right"/>
              <w:rPr>
                <w:sz w:val="20"/>
                <w:szCs w:val="20"/>
              </w:rPr>
            </w:pPr>
            <w:r>
              <w:rPr>
                <w:sz w:val="20"/>
                <w:szCs w:val="20"/>
              </w:rPr>
              <w:t>NA</w:t>
            </w:r>
          </w:p>
        </w:tc>
        <w:tc>
          <w:tcPr>
            <w:tcW w:w="632" w:type="dxa"/>
            <w:tcBorders/>
            <w:vAlign w:val="bottom"/>
          </w:tcPr>
          <w:p>
            <w:pPr>
              <w:pStyle w:val="Normal"/>
              <w:widowControl w:val="false"/>
              <w:jc w:val="right"/>
              <w:rPr>
                <w:sz w:val="20"/>
                <w:szCs w:val="20"/>
              </w:rPr>
            </w:pPr>
            <w:r>
              <w:rPr>
                <w:sz w:val="20"/>
                <w:szCs w:val="20"/>
              </w:rPr>
              <w:t>32.6</w:t>
            </w:r>
          </w:p>
        </w:tc>
        <w:tc>
          <w:tcPr>
            <w:tcW w:w="630" w:type="dxa"/>
            <w:tcBorders/>
            <w:vAlign w:val="bottom"/>
          </w:tcPr>
          <w:p>
            <w:pPr>
              <w:pStyle w:val="Normal"/>
              <w:widowControl w:val="false"/>
              <w:jc w:val="right"/>
              <w:rPr>
                <w:sz w:val="20"/>
                <w:szCs w:val="20"/>
              </w:rPr>
            </w:pPr>
            <w:r>
              <w:rPr>
                <w:sz w:val="20"/>
                <w:szCs w:val="20"/>
              </w:rPr>
              <w:t>28.2</w:t>
            </w:r>
          </w:p>
        </w:tc>
        <w:tc>
          <w:tcPr>
            <w:tcW w:w="92" w:type="dxa"/>
            <w:tcBorders/>
            <w:vAlign w:val="bottom"/>
          </w:tcPr>
          <w:p>
            <w:pPr>
              <w:pStyle w:val="Normal"/>
              <w:widowControl w:val="false"/>
              <w:jc w:val="right"/>
              <w:rPr>
                <w:sz w:val="20"/>
                <w:szCs w:val="20"/>
              </w:rPr>
            </w:pPr>
            <w:r>
              <w:rPr>
                <w:sz w:val="20"/>
                <w:szCs w:val="20"/>
              </w:rPr>
            </w:r>
          </w:p>
        </w:tc>
        <w:tc>
          <w:tcPr>
            <w:tcW w:w="631" w:type="dxa"/>
            <w:tcBorders/>
            <w:vAlign w:val="bottom"/>
          </w:tcPr>
          <w:p>
            <w:pPr>
              <w:pStyle w:val="Normal"/>
              <w:widowControl w:val="false"/>
              <w:jc w:val="right"/>
              <w:rPr>
                <w:sz w:val="20"/>
                <w:szCs w:val="20"/>
              </w:rPr>
            </w:pPr>
            <w:r>
              <w:rPr>
                <w:sz w:val="20"/>
                <w:szCs w:val="20"/>
              </w:rPr>
              <w:t>NA</w:t>
            </w:r>
          </w:p>
        </w:tc>
        <w:tc>
          <w:tcPr>
            <w:tcW w:w="631" w:type="dxa"/>
            <w:tcBorders/>
            <w:vAlign w:val="bottom"/>
          </w:tcPr>
          <w:p>
            <w:pPr>
              <w:pStyle w:val="Normal"/>
              <w:widowControl w:val="false"/>
              <w:jc w:val="right"/>
              <w:rPr>
                <w:sz w:val="20"/>
                <w:szCs w:val="20"/>
              </w:rPr>
            </w:pPr>
            <w:r>
              <w:rPr>
                <w:sz w:val="20"/>
                <w:szCs w:val="20"/>
              </w:rPr>
              <w:t>NA</w:t>
            </w:r>
          </w:p>
        </w:tc>
        <w:tc>
          <w:tcPr>
            <w:tcW w:w="632" w:type="dxa"/>
            <w:tcBorders/>
            <w:vAlign w:val="bottom"/>
          </w:tcPr>
          <w:p>
            <w:pPr>
              <w:pStyle w:val="Normal"/>
              <w:widowControl w:val="false"/>
              <w:jc w:val="right"/>
              <w:rPr>
                <w:sz w:val="20"/>
                <w:szCs w:val="20"/>
              </w:rPr>
            </w:pPr>
            <w:r>
              <w:rPr>
                <w:sz w:val="20"/>
                <w:szCs w:val="20"/>
              </w:rPr>
              <w:t>27.1</w:t>
            </w:r>
          </w:p>
        </w:tc>
        <w:tc>
          <w:tcPr>
            <w:tcW w:w="631" w:type="dxa"/>
            <w:tcBorders/>
            <w:vAlign w:val="bottom"/>
          </w:tcPr>
          <w:p>
            <w:pPr>
              <w:pStyle w:val="Normal"/>
              <w:widowControl w:val="false"/>
              <w:jc w:val="right"/>
              <w:rPr>
                <w:sz w:val="20"/>
                <w:szCs w:val="20"/>
              </w:rPr>
            </w:pPr>
            <w:r>
              <w:rPr>
                <w:sz w:val="20"/>
                <w:szCs w:val="20"/>
              </w:rPr>
              <w:t>15.6</w:t>
            </w:r>
          </w:p>
        </w:tc>
        <w:tc>
          <w:tcPr>
            <w:tcW w:w="91" w:type="dxa"/>
            <w:tcBorders/>
            <w:vAlign w:val="bottom"/>
          </w:tcPr>
          <w:p>
            <w:pPr>
              <w:pStyle w:val="Normal"/>
              <w:widowControl w:val="false"/>
              <w:jc w:val="right"/>
              <w:rPr>
                <w:sz w:val="20"/>
                <w:szCs w:val="20"/>
              </w:rPr>
            </w:pPr>
            <w:r>
              <w:rPr>
                <w:sz w:val="20"/>
                <w:szCs w:val="20"/>
              </w:rPr>
            </w:r>
          </w:p>
        </w:tc>
        <w:tc>
          <w:tcPr>
            <w:tcW w:w="629" w:type="dxa"/>
            <w:tcBorders/>
            <w:vAlign w:val="bottom"/>
          </w:tcPr>
          <w:p>
            <w:pPr>
              <w:pStyle w:val="Normal"/>
              <w:widowControl w:val="false"/>
              <w:jc w:val="right"/>
              <w:rPr>
                <w:sz w:val="20"/>
                <w:szCs w:val="20"/>
              </w:rPr>
            </w:pPr>
            <w:r>
              <w:rPr>
                <w:sz w:val="20"/>
                <w:szCs w:val="20"/>
              </w:rPr>
              <w:t>21.4</w:t>
            </w:r>
          </w:p>
        </w:tc>
        <w:tc>
          <w:tcPr>
            <w:tcW w:w="631" w:type="dxa"/>
            <w:tcBorders/>
            <w:vAlign w:val="bottom"/>
          </w:tcPr>
          <w:p>
            <w:pPr>
              <w:pStyle w:val="Normal"/>
              <w:widowControl w:val="false"/>
              <w:jc w:val="right"/>
              <w:rPr>
                <w:sz w:val="20"/>
                <w:szCs w:val="20"/>
              </w:rPr>
            </w:pPr>
            <w:r>
              <w:rPr>
                <w:sz w:val="20"/>
                <w:szCs w:val="20"/>
              </w:rPr>
              <w:t>NA</w:t>
            </w:r>
          </w:p>
        </w:tc>
        <w:tc>
          <w:tcPr>
            <w:tcW w:w="628" w:type="dxa"/>
            <w:tcBorders/>
            <w:vAlign w:val="bottom"/>
          </w:tcPr>
          <w:p>
            <w:pPr>
              <w:pStyle w:val="Normal"/>
              <w:widowControl w:val="false"/>
              <w:jc w:val="right"/>
              <w:rPr>
                <w:sz w:val="20"/>
                <w:szCs w:val="20"/>
              </w:rPr>
            </w:pPr>
            <w:r>
              <w:rPr>
                <w:sz w:val="20"/>
                <w:szCs w:val="20"/>
              </w:rPr>
              <w:t>13.2</w:t>
            </w:r>
          </w:p>
        </w:tc>
        <w:tc>
          <w:tcPr>
            <w:tcW w:w="680" w:type="dxa"/>
            <w:tcBorders/>
            <w:vAlign w:val="bottom"/>
          </w:tcPr>
          <w:p>
            <w:pPr>
              <w:pStyle w:val="Normal"/>
              <w:widowControl w:val="false"/>
              <w:jc w:val="right"/>
              <w:rPr>
                <w:sz w:val="20"/>
                <w:szCs w:val="20"/>
              </w:rPr>
            </w:pPr>
            <w:r>
              <w:rPr>
                <w:sz w:val="20"/>
                <w:szCs w:val="20"/>
              </w:rPr>
              <w:t>11.3</w:t>
            </w:r>
          </w:p>
        </w:tc>
      </w:tr>
      <w:tr>
        <w:trPr>
          <w:trHeight w:val="256" w:hRule="atLeast"/>
        </w:trPr>
        <w:tc>
          <w:tcPr>
            <w:tcW w:w="894" w:type="dxa"/>
            <w:vMerge w:val="continue"/>
            <w:tcBorders/>
            <w:vAlign w:val="bottom"/>
          </w:tcPr>
          <w:p>
            <w:pPr>
              <w:pStyle w:val="Normal"/>
              <w:widowControl w:val="false"/>
              <w:jc w:val="center"/>
              <w:rPr>
                <w:b/>
                <w:b/>
                <w:sz w:val="20"/>
                <w:szCs w:val="20"/>
              </w:rPr>
            </w:pPr>
            <w:r>
              <w:rPr>
                <w:b/>
                <w:sz w:val="20"/>
                <w:szCs w:val="20"/>
              </w:rPr>
            </w:r>
          </w:p>
        </w:tc>
        <w:tc>
          <w:tcPr>
            <w:tcW w:w="754" w:type="dxa"/>
            <w:tcBorders/>
            <w:vAlign w:val="bottom"/>
          </w:tcPr>
          <w:p>
            <w:pPr>
              <w:pStyle w:val="Normal"/>
              <w:widowControl w:val="false"/>
              <w:rPr>
                <w:sz w:val="20"/>
                <w:szCs w:val="20"/>
              </w:rPr>
            </w:pPr>
            <w:r>
              <w:rPr>
                <w:sz w:val="20"/>
                <w:szCs w:val="20"/>
              </w:rPr>
              <w:t>Total</w:t>
            </w:r>
          </w:p>
        </w:tc>
        <w:tc>
          <w:tcPr>
            <w:tcW w:w="612" w:type="dxa"/>
            <w:tcBorders>
              <w:bottom w:val="single" w:sz="4" w:space="0" w:color="000000"/>
            </w:tcBorders>
            <w:vAlign w:val="bottom"/>
          </w:tcPr>
          <w:p>
            <w:pPr>
              <w:pStyle w:val="Normal"/>
              <w:widowControl w:val="false"/>
              <w:jc w:val="right"/>
              <w:rPr>
                <w:sz w:val="20"/>
                <w:szCs w:val="20"/>
              </w:rPr>
            </w:pPr>
            <w:r>
              <w:rPr>
                <w:sz w:val="20"/>
                <w:szCs w:val="20"/>
              </w:rPr>
              <w:t>NA</w:t>
            </w:r>
          </w:p>
        </w:tc>
        <w:tc>
          <w:tcPr>
            <w:tcW w:w="631" w:type="dxa"/>
            <w:tcBorders>
              <w:bottom w:val="single" w:sz="4" w:space="0" w:color="000000"/>
            </w:tcBorders>
            <w:vAlign w:val="bottom"/>
          </w:tcPr>
          <w:p>
            <w:pPr>
              <w:pStyle w:val="Normal"/>
              <w:widowControl w:val="false"/>
              <w:jc w:val="right"/>
              <w:rPr>
                <w:sz w:val="20"/>
                <w:szCs w:val="20"/>
              </w:rPr>
            </w:pPr>
            <w:r>
              <w:rPr>
                <w:sz w:val="20"/>
                <w:szCs w:val="20"/>
              </w:rPr>
              <w:t>489</w:t>
            </w:r>
          </w:p>
        </w:tc>
        <w:tc>
          <w:tcPr>
            <w:tcW w:w="660" w:type="dxa"/>
            <w:tcBorders>
              <w:bottom w:val="single" w:sz="4" w:space="0" w:color="000000"/>
            </w:tcBorders>
            <w:vAlign w:val="bottom"/>
          </w:tcPr>
          <w:p>
            <w:pPr>
              <w:pStyle w:val="Normal"/>
              <w:widowControl w:val="false"/>
              <w:jc w:val="right"/>
              <w:rPr>
                <w:sz w:val="20"/>
                <w:szCs w:val="20"/>
              </w:rPr>
            </w:pPr>
            <w:r>
              <w:rPr>
                <w:sz w:val="20"/>
                <w:szCs w:val="20"/>
              </w:rPr>
              <w:t>320</w:t>
            </w:r>
          </w:p>
        </w:tc>
        <w:tc>
          <w:tcPr>
            <w:tcW w:w="634" w:type="dxa"/>
            <w:tcBorders>
              <w:bottom w:val="single" w:sz="4" w:space="0" w:color="000000"/>
            </w:tcBorders>
            <w:vAlign w:val="bottom"/>
          </w:tcPr>
          <w:p>
            <w:pPr>
              <w:pStyle w:val="Normal"/>
              <w:widowControl w:val="false"/>
              <w:jc w:val="right"/>
              <w:rPr>
                <w:sz w:val="20"/>
                <w:szCs w:val="20"/>
              </w:rPr>
            </w:pPr>
            <w:r>
              <w:rPr>
                <w:sz w:val="20"/>
                <w:szCs w:val="20"/>
              </w:rPr>
              <w:t>171</w:t>
            </w:r>
          </w:p>
        </w:tc>
        <w:tc>
          <w:tcPr>
            <w:tcW w:w="79" w:type="dxa"/>
            <w:tcBorders>
              <w:bottom w:val="single" w:sz="4" w:space="0" w:color="000000"/>
            </w:tcBorders>
            <w:vAlign w:val="bottom"/>
          </w:tcPr>
          <w:p>
            <w:pPr>
              <w:pStyle w:val="Normal"/>
              <w:widowControl w:val="false"/>
              <w:jc w:val="right"/>
              <w:rPr>
                <w:sz w:val="20"/>
                <w:szCs w:val="20"/>
              </w:rPr>
            </w:pPr>
            <w:r>
              <w:rPr>
                <w:sz w:val="20"/>
                <w:szCs w:val="20"/>
              </w:rPr>
            </w:r>
          </w:p>
        </w:tc>
        <w:tc>
          <w:tcPr>
            <w:tcW w:w="610" w:type="dxa"/>
            <w:tcBorders>
              <w:bottom w:val="single" w:sz="4" w:space="0" w:color="000000"/>
            </w:tcBorders>
            <w:vAlign w:val="bottom"/>
          </w:tcPr>
          <w:p>
            <w:pPr>
              <w:pStyle w:val="Normal"/>
              <w:widowControl w:val="false"/>
              <w:jc w:val="right"/>
              <w:rPr>
                <w:sz w:val="20"/>
                <w:szCs w:val="20"/>
              </w:rPr>
            </w:pPr>
            <w:r>
              <w:rPr>
                <w:sz w:val="20"/>
                <w:szCs w:val="20"/>
              </w:rPr>
              <w:t>NA</w:t>
            </w:r>
          </w:p>
        </w:tc>
        <w:tc>
          <w:tcPr>
            <w:tcW w:w="637" w:type="dxa"/>
            <w:tcBorders>
              <w:bottom w:val="single" w:sz="4" w:space="0" w:color="000000"/>
            </w:tcBorders>
            <w:vAlign w:val="bottom"/>
          </w:tcPr>
          <w:p>
            <w:pPr>
              <w:pStyle w:val="Normal"/>
              <w:widowControl w:val="false"/>
              <w:jc w:val="right"/>
              <w:rPr>
                <w:sz w:val="20"/>
                <w:szCs w:val="20"/>
              </w:rPr>
            </w:pPr>
            <w:r>
              <w:rPr>
                <w:sz w:val="20"/>
                <w:szCs w:val="20"/>
              </w:rPr>
              <w:t>807</w:t>
            </w:r>
          </w:p>
        </w:tc>
        <w:tc>
          <w:tcPr>
            <w:tcW w:w="635" w:type="dxa"/>
            <w:tcBorders>
              <w:bottom w:val="single" w:sz="4" w:space="0" w:color="000000"/>
            </w:tcBorders>
            <w:vAlign w:val="bottom"/>
          </w:tcPr>
          <w:p>
            <w:pPr>
              <w:pStyle w:val="Normal"/>
              <w:widowControl w:val="false"/>
              <w:jc w:val="right"/>
              <w:rPr>
                <w:sz w:val="20"/>
                <w:szCs w:val="20"/>
              </w:rPr>
            </w:pPr>
            <w:r>
              <w:rPr>
                <w:sz w:val="20"/>
                <w:szCs w:val="20"/>
              </w:rPr>
              <w:t>635</w:t>
            </w:r>
          </w:p>
        </w:tc>
        <w:tc>
          <w:tcPr>
            <w:tcW w:w="631" w:type="dxa"/>
            <w:tcBorders>
              <w:bottom w:val="single" w:sz="4" w:space="0" w:color="000000"/>
            </w:tcBorders>
            <w:vAlign w:val="bottom"/>
          </w:tcPr>
          <w:p>
            <w:pPr>
              <w:pStyle w:val="Normal"/>
              <w:widowControl w:val="false"/>
              <w:jc w:val="right"/>
              <w:rPr>
                <w:sz w:val="20"/>
                <w:szCs w:val="20"/>
              </w:rPr>
            </w:pPr>
            <w:r>
              <w:rPr>
                <w:sz w:val="20"/>
                <w:szCs w:val="20"/>
              </w:rPr>
              <w:t>373</w:t>
            </w:r>
          </w:p>
        </w:tc>
        <w:tc>
          <w:tcPr>
            <w:tcW w:w="91" w:type="dxa"/>
            <w:tcBorders>
              <w:bottom w:val="single" w:sz="4" w:space="0" w:color="000000"/>
            </w:tcBorders>
            <w:vAlign w:val="bottom"/>
          </w:tcPr>
          <w:p>
            <w:pPr>
              <w:pStyle w:val="Normal"/>
              <w:widowControl w:val="false"/>
              <w:jc w:val="right"/>
              <w:rPr>
                <w:sz w:val="20"/>
                <w:szCs w:val="20"/>
              </w:rPr>
            </w:pPr>
            <w:r>
              <w:rPr>
                <w:sz w:val="20"/>
                <w:szCs w:val="20"/>
              </w:rPr>
            </w:r>
          </w:p>
        </w:tc>
        <w:tc>
          <w:tcPr>
            <w:tcW w:w="628" w:type="dxa"/>
            <w:tcBorders>
              <w:bottom w:val="single" w:sz="4" w:space="0" w:color="000000"/>
            </w:tcBorders>
            <w:vAlign w:val="bottom"/>
          </w:tcPr>
          <w:p>
            <w:pPr>
              <w:pStyle w:val="Normal"/>
              <w:widowControl w:val="false"/>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jc w:val="right"/>
              <w:rPr>
                <w:sz w:val="20"/>
                <w:szCs w:val="20"/>
              </w:rPr>
            </w:pPr>
            <w:r>
              <w:rPr>
                <w:sz w:val="20"/>
                <w:szCs w:val="20"/>
              </w:rPr>
              <w:t>658</w:t>
            </w:r>
          </w:p>
        </w:tc>
        <w:tc>
          <w:tcPr>
            <w:tcW w:w="630" w:type="dxa"/>
            <w:tcBorders>
              <w:bottom w:val="single" w:sz="4" w:space="0" w:color="000000"/>
            </w:tcBorders>
            <w:vAlign w:val="bottom"/>
          </w:tcPr>
          <w:p>
            <w:pPr>
              <w:pStyle w:val="Normal"/>
              <w:widowControl w:val="false"/>
              <w:jc w:val="right"/>
              <w:rPr>
                <w:sz w:val="20"/>
                <w:szCs w:val="20"/>
              </w:rPr>
            </w:pPr>
            <w:r>
              <w:rPr>
                <w:sz w:val="20"/>
                <w:szCs w:val="20"/>
              </w:rPr>
              <w:t>605</w:t>
            </w:r>
          </w:p>
        </w:tc>
        <w:tc>
          <w:tcPr>
            <w:tcW w:w="92" w:type="dxa"/>
            <w:tcBorders>
              <w:bottom w:val="single" w:sz="4" w:space="0" w:color="000000"/>
            </w:tcBorders>
            <w:vAlign w:val="bottom"/>
          </w:tcPr>
          <w:p>
            <w:pPr>
              <w:pStyle w:val="Normal"/>
              <w:widowControl w:val="false"/>
              <w:jc w:val="right"/>
              <w:rPr>
                <w:sz w:val="20"/>
                <w:szCs w:val="20"/>
              </w:rPr>
            </w:pPr>
            <w:r>
              <w:rPr>
                <w:sz w:val="20"/>
                <w:szCs w:val="20"/>
              </w:rPr>
            </w:r>
          </w:p>
        </w:tc>
        <w:tc>
          <w:tcPr>
            <w:tcW w:w="631" w:type="dxa"/>
            <w:tcBorders>
              <w:bottom w:val="single" w:sz="4" w:space="0" w:color="000000"/>
            </w:tcBorders>
            <w:vAlign w:val="bottom"/>
          </w:tcPr>
          <w:p>
            <w:pPr>
              <w:pStyle w:val="Normal"/>
              <w:widowControl w:val="false"/>
              <w:jc w:val="right"/>
              <w:rPr>
                <w:sz w:val="20"/>
                <w:szCs w:val="20"/>
              </w:rPr>
            </w:pPr>
            <w:r>
              <w:rPr>
                <w:sz w:val="20"/>
                <w:szCs w:val="20"/>
              </w:rPr>
              <w:t>NA</w:t>
            </w:r>
          </w:p>
        </w:tc>
        <w:tc>
          <w:tcPr>
            <w:tcW w:w="631" w:type="dxa"/>
            <w:tcBorders>
              <w:bottom w:val="single" w:sz="4" w:space="0" w:color="000000"/>
            </w:tcBorders>
            <w:vAlign w:val="bottom"/>
          </w:tcPr>
          <w:p>
            <w:pPr>
              <w:pStyle w:val="Normal"/>
              <w:widowControl w:val="false"/>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jc w:val="right"/>
              <w:rPr>
                <w:sz w:val="20"/>
                <w:szCs w:val="20"/>
              </w:rPr>
            </w:pPr>
            <w:r>
              <w:rPr>
                <w:sz w:val="20"/>
                <w:szCs w:val="20"/>
              </w:rPr>
              <w:t>824</w:t>
            </w:r>
          </w:p>
        </w:tc>
        <w:tc>
          <w:tcPr>
            <w:tcW w:w="631" w:type="dxa"/>
            <w:tcBorders>
              <w:bottom w:val="single" w:sz="4" w:space="0" w:color="000000"/>
            </w:tcBorders>
            <w:vAlign w:val="bottom"/>
          </w:tcPr>
          <w:p>
            <w:pPr>
              <w:pStyle w:val="Normal"/>
              <w:widowControl w:val="false"/>
              <w:jc w:val="right"/>
              <w:rPr>
                <w:sz w:val="20"/>
                <w:szCs w:val="20"/>
              </w:rPr>
            </w:pPr>
            <w:r>
              <w:rPr>
                <w:sz w:val="20"/>
                <w:szCs w:val="20"/>
              </w:rPr>
              <w:t>663</w:t>
            </w:r>
          </w:p>
        </w:tc>
        <w:tc>
          <w:tcPr>
            <w:tcW w:w="91" w:type="dxa"/>
            <w:tcBorders>
              <w:bottom w:val="single" w:sz="4" w:space="0" w:color="000000"/>
            </w:tcBorders>
            <w:vAlign w:val="bottom"/>
          </w:tcPr>
          <w:p>
            <w:pPr>
              <w:pStyle w:val="Normal"/>
              <w:widowControl w:val="false"/>
              <w:jc w:val="right"/>
              <w:rPr>
                <w:sz w:val="20"/>
                <w:szCs w:val="20"/>
              </w:rPr>
            </w:pPr>
            <w:r>
              <w:rPr>
                <w:sz w:val="20"/>
                <w:szCs w:val="20"/>
              </w:rPr>
            </w:r>
          </w:p>
        </w:tc>
        <w:tc>
          <w:tcPr>
            <w:tcW w:w="629" w:type="dxa"/>
            <w:tcBorders>
              <w:bottom w:val="single" w:sz="4" w:space="0" w:color="000000"/>
            </w:tcBorders>
            <w:vAlign w:val="bottom"/>
          </w:tcPr>
          <w:p>
            <w:pPr>
              <w:pStyle w:val="Normal"/>
              <w:widowControl w:val="false"/>
              <w:jc w:val="right"/>
              <w:rPr>
                <w:sz w:val="20"/>
                <w:szCs w:val="20"/>
              </w:rPr>
            </w:pPr>
            <w:r>
              <w:rPr>
                <w:sz w:val="20"/>
                <w:szCs w:val="20"/>
              </w:rPr>
              <w:t>788</w:t>
            </w:r>
          </w:p>
        </w:tc>
        <w:tc>
          <w:tcPr>
            <w:tcW w:w="631" w:type="dxa"/>
            <w:tcBorders>
              <w:bottom w:val="single" w:sz="4" w:space="0" w:color="000000"/>
            </w:tcBorders>
            <w:vAlign w:val="bottom"/>
          </w:tcPr>
          <w:p>
            <w:pPr>
              <w:pStyle w:val="Normal"/>
              <w:widowControl w:val="false"/>
              <w:jc w:val="right"/>
              <w:rPr>
                <w:sz w:val="20"/>
                <w:szCs w:val="20"/>
              </w:rPr>
            </w:pPr>
            <w:r>
              <w:rPr>
                <w:sz w:val="20"/>
                <w:szCs w:val="20"/>
              </w:rPr>
              <w:t>NA</w:t>
            </w:r>
          </w:p>
        </w:tc>
        <w:tc>
          <w:tcPr>
            <w:tcW w:w="628" w:type="dxa"/>
            <w:tcBorders>
              <w:bottom w:val="single" w:sz="4" w:space="0" w:color="000000"/>
            </w:tcBorders>
            <w:vAlign w:val="bottom"/>
          </w:tcPr>
          <w:p>
            <w:pPr>
              <w:pStyle w:val="Normal"/>
              <w:widowControl w:val="false"/>
              <w:jc w:val="right"/>
              <w:rPr>
                <w:sz w:val="20"/>
                <w:szCs w:val="20"/>
              </w:rPr>
            </w:pPr>
            <w:r>
              <w:rPr>
                <w:sz w:val="20"/>
                <w:szCs w:val="20"/>
              </w:rPr>
              <w:t>366</w:t>
            </w:r>
          </w:p>
        </w:tc>
        <w:tc>
          <w:tcPr>
            <w:tcW w:w="680" w:type="dxa"/>
            <w:tcBorders>
              <w:bottom w:val="single" w:sz="4" w:space="0" w:color="000000"/>
            </w:tcBorders>
            <w:vAlign w:val="bottom"/>
          </w:tcPr>
          <w:p>
            <w:pPr>
              <w:pStyle w:val="Normal"/>
              <w:widowControl w:val="false"/>
              <w:jc w:val="right"/>
              <w:rPr>
                <w:sz w:val="20"/>
                <w:szCs w:val="20"/>
              </w:rPr>
            </w:pPr>
            <w:r>
              <w:rPr>
                <w:sz w:val="20"/>
                <w:szCs w:val="20"/>
              </w:rPr>
              <w:t>278</w:t>
            </w:r>
          </w:p>
        </w:tc>
      </w:tr>
      <w:tr>
        <w:trPr>
          <w:trHeight w:val="230" w:hRule="atLeast"/>
        </w:trPr>
        <w:tc>
          <w:tcPr>
            <w:tcW w:w="894" w:type="dxa"/>
            <w:vMerge w:val="restart"/>
            <w:tcBorders>
              <w:bottom w:val="single" w:sz="4" w:space="0" w:color="000000"/>
            </w:tcBorders>
            <w:vAlign w:val="bottom"/>
          </w:tcPr>
          <w:p>
            <w:pPr>
              <w:pStyle w:val="Normal"/>
              <w:widowControl w:val="false"/>
              <w:spacing w:lineRule="auto" w:line="240"/>
              <w:jc w:val="center"/>
              <w:rPr>
                <w:b/>
                <w:b/>
                <w:sz w:val="20"/>
                <w:szCs w:val="20"/>
              </w:rPr>
            </w:pPr>
            <w:r>
              <w:rPr>
                <w:b/>
                <w:sz w:val="20"/>
                <w:szCs w:val="20"/>
              </w:rPr>
              <w:t>Basal area (m</w:t>
            </w:r>
            <w:r>
              <w:rPr>
                <w:b/>
                <w:sz w:val="20"/>
                <w:szCs w:val="20"/>
                <w:vertAlign w:val="superscript"/>
              </w:rPr>
              <w:t>2</w:t>
            </w:r>
            <w:r>
              <w:rPr>
                <w:b/>
                <w:sz w:val="20"/>
                <w:szCs w:val="20"/>
              </w:rPr>
              <w:t>ha</w:t>
            </w:r>
            <w:r>
              <w:rPr>
                <w:b/>
                <w:sz w:val="20"/>
                <w:szCs w:val="20"/>
                <w:vertAlign w:val="superscript"/>
              </w:rPr>
              <w:t>-1</w:t>
            </w:r>
            <w:r>
              <w:rPr>
                <w:b/>
                <w:sz w:val="20"/>
                <w:szCs w:val="20"/>
              </w:rPr>
              <w:t>)</w:t>
            </w:r>
          </w:p>
        </w:tc>
        <w:tc>
          <w:tcPr>
            <w:tcW w:w="754" w:type="dxa"/>
            <w:tcBorders/>
          </w:tcPr>
          <w:p>
            <w:pPr>
              <w:pStyle w:val="Normal"/>
              <w:widowControl w:val="false"/>
              <w:rPr>
                <w:sz w:val="24"/>
                <w:szCs w:val="24"/>
              </w:rPr>
            </w:pPr>
            <w:r>
              <w:rPr>
                <w:sz w:val="24"/>
                <w:szCs w:val="24"/>
              </w:rPr>
            </w:r>
          </w:p>
        </w:tc>
        <w:tc>
          <w:tcPr>
            <w:tcW w:w="612"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60" w:type="dxa"/>
            <w:tcBorders/>
          </w:tcPr>
          <w:p>
            <w:pPr>
              <w:pStyle w:val="Normal"/>
              <w:widowControl w:val="false"/>
              <w:rPr>
                <w:sz w:val="24"/>
                <w:szCs w:val="24"/>
              </w:rPr>
            </w:pPr>
            <w:r>
              <w:rPr>
                <w:sz w:val="24"/>
                <w:szCs w:val="24"/>
              </w:rPr>
            </w:r>
          </w:p>
        </w:tc>
        <w:tc>
          <w:tcPr>
            <w:tcW w:w="634" w:type="dxa"/>
            <w:tcBorders/>
          </w:tcPr>
          <w:p>
            <w:pPr>
              <w:pStyle w:val="Normal"/>
              <w:widowControl w:val="false"/>
              <w:rPr>
                <w:sz w:val="24"/>
                <w:szCs w:val="24"/>
              </w:rPr>
            </w:pPr>
            <w:r>
              <w:rPr>
                <w:sz w:val="24"/>
                <w:szCs w:val="24"/>
              </w:rPr>
            </w:r>
          </w:p>
        </w:tc>
        <w:tc>
          <w:tcPr>
            <w:tcW w:w="79" w:type="dxa"/>
            <w:tcBorders/>
          </w:tcPr>
          <w:p>
            <w:pPr>
              <w:pStyle w:val="Normal"/>
              <w:widowControl w:val="false"/>
              <w:rPr>
                <w:sz w:val="24"/>
                <w:szCs w:val="24"/>
              </w:rPr>
            </w:pPr>
            <w:r>
              <w:rPr>
                <w:sz w:val="24"/>
                <w:szCs w:val="24"/>
              </w:rPr>
            </w:r>
          </w:p>
        </w:tc>
        <w:tc>
          <w:tcPr>
            <w:tcW w:w="610" w:type="dxa"/>
            <w:tcBorders/>
          </w:tcPr>
          <w:p>
            <w:pPr>
              <w:pStyle w:val="Normal"/>
              <w:widowControl w:val="false"/>
              <w:rPr>
                <w:sz w:val="24"/>
                <w:szCs w:val="24"/>
              </w:rPr>
            </w:pPr>
            <w:r>
              <w:rPr>
                <w:sz w:val="24"/>
                <w:szCs w:val="24"/>
              </w:rPr>
            </w:r>
          </w:p>
        </w:tc>
        <w:tc>
          <w:tcPr>
            <w:tcW w:w="637" w:type="dxa"/>
            <w:tcBorders/>
          </w:tcPr>
          <w:p>
            <w:pPr>
              <w:pStyle w:val="Normal"/>
              <w:widowControl w:val="false"/>
              <w:rPr>
                <w:sz w:val="24"/>
                <w:szCs w:val="24"/>
              </w:rPr>
            </w:pPr>
            <w:r>
              <w:rPr>
                <w:sz w:val="24"/>
                <w:szCs w:val="24"/>
              </w:rPr>
            </w:r>
          </w:p>
        </w:tc>
        <w:tc>
          <w:tcPr>
            <w:tcW w:w="635"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28"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0" w:type="dxa"/>
            <w:tcBorders/>
          </w:tcPr>
          <w:p>
            <w:pPr>
              <w:pStyle w:val="Normal"/>
              <w:widowControl w:val="false"/>
              <w:rPr>
                <w:sz w:val="24"/>
                <w:szCs w:val="24"/>
              </w:rPr>
            </w:pPr>
            <w:r>
              <w:rPr>
                <w:sz w:val="24"/>
                <w:szCs w:val="24"/>
              </w:rPr>
            </w:r>
          </w:p>
        </w:tc>
        <w:tc>
          <w:tcPr>
            <w:tcW w:w="92"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32"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91" w:type="dxa"/>
            <w:tcBorders/>
          </w:tcPr>
          <w:p>
            <w:pPr>
              <w:pStyle w:val="Normal"/>
              <w:widowControl w:val="false"/>
              <w:rPr>
                <w:sz w:val="24"/>
                <w:szCs w:val="24"/>
              </w:rPr>
            </w:pPr>
            <w:r>
              <w:rPr>
                <w:sz w:val="24"/>
                <w:szCs w:val="24"/>
              </w:rPr>
            </w:r>
          </w:p>
        </w:tc>
        <w:tc>
          <w:tcPr>
            <w:tcW w:w="629" w:type="dxa"/>
            <w:tcBorders/>
          </w:tcPr>
          <w:p>
            <w:pPr>
              <w:pStyle w:val="Normal"/>
              <w:widowControl w:val="false"/>
              <w:rPr>
                <w:sz w:val="24"/>
                <w:szCs w:val="24"/>
              </w:rPr>
            </w:pPr>
            <w:r>
              <w:rPr>
                <w:sz w:val="24"/>
                <w:szCs w:val="24"/>
              </w:rPr>
            </w:r>
          </w:p>
        </w:tc>
        <w:tc>
          <w:tcPr>
            <w:tcW w:w="631" w:type="dxa"/>
            <w:tcBorders/>
          </w:tcPr>
          <w:p>
            <w:pPr>
              <w:pStyle w:val="Normal"/>
              <w:widowControl w:val="false"/>
              <w:rPr>
                <w:sz w:val="24"/>
                <w:szCs w:val="24"/>
              </w:rPr>
            </w:pPr>
            <w:r>
              <w:rPr>
                <w:sz w:val="24"/>
                <w:szCs w:val="24"/>
              </w:rPr>
            </w:r>
          </w:p>
        </w:tc>
        <w:tc>
          <w:tcPr>
            <w:tcW w:w="628" w:type="dxa"/>
            <w:tcBorders/>
          </w:tcPr>
          <w:p>
            <w:pPr>
              <w:pStyle w:val="Normal"/>
              <w:widowControl w:val="false"/>
              <w:rPr>
                <w:sz w:val="24"/>
                <w:szCs w:val="24"/>
              </w:rPr>
            </w:pPr>
            <w:r>
              <w:rPr>
                <w:sz w:val="24"/>
                <w:szCs w:val="24"/>
              </w:rPr>
            </w:r>
          </w:p>
        </w:tc>
        <w:tc>
          <w:tcPr>
            <w:tcW w:w="680" w:type="dxa"/>
            <w:tcBorders/>
          </w:tcPr>
          <w:p>
            <w:pPr>
              <w:pStyle w:val="Normal"/>
              <w:widowControl w:val="false"/>
              <w:rPr>
                <w:sz w:val="24"/>
                <w:szCs w:val="24"/>
              </w:rPr>
            </w:pPr>
            <w:r>
              <w:rPr>
                <w:sz w:val="24"/>
                <w:szCs w:val="24"/>
              </w:rPr>
            </w:r>
          </w:p>
        </w:tc>
      </w:tr>
      <w:tr>
        <w:trPr>
          <w:trHeight w:val="126" w:hRule="atLeast"/>
        </w:trPr>
        <w:tc>
          <w:tcPr>
            <w:tcW w:w="894" w:type="dxa"/>
            <w:vMerge w:val="continue"/>
            <w:tcBorders/>
            <w:vAlign w:val="center"/>
          </w:tcPr>
          <w:p>
            <w:pPr>
              <w:pStyle w:val="Normal"/>
              <w:widowControl w:val="false"/>
              <w:spacing w:lineRule="auto" w:line="240"/>
              <w:jc w:val="center"/>
              <w:rPr>
                <w:sz w:val="20"/>
                <w:szCs w:val="20"/>
              </w:rPr>
            </w:pPr>
            <w:r>
              <w:rPr>
                <w:sz w:val="20"/>
                <w:szCs w:val="20"/>
              </w:rPr>
            </w:r>
          </w:p>
        </w:tc>
        <w:tc>
          <w:tcPr>
            <w:tcW w:w="754" w:type="dxa"/>
            <w:tcBorders/>
            <w:vAlign w:val="bottom"/>
          </w:tcPr>
          <w:p>
            <w:pPr>
              <w:pStyle w:val="Normal"/>
              <w:widowControl w:val="false"/>
              <w:spacing w:lineRule="auto" w:line="240"/>
              <w:rPr>
                <w:sz w:val="20"/>
                <w:szCs w:val="20"/>
              </w:rPr>
            </w:pPr>
            <w:r>
              <w:rPr>
                <w:sz w:val="20"/>
                <w:szCs w:val="20"/>
              </w:rPr>
            </w:r>
          </w:p>
          <w:p>
            <w:pPr>
              <w:pStyle w:val="Normal"/>
              <w:widowControl w:val="false"/>
              <w:spacing w:lineRule="auto" w:line="240"/>
              <w:rPr>
                <w:sz w:val="20"/>
                <w:szCs w:val="20"/>
              </w:rPr>
            </w:pPr>
            <w:r>
              <w:rPr>
                <w:sz w:val="20"/>
                <w:szCs w:val="20"/>
              </w:rPr>
              <w:t>mean</w:t>
            </w:r>
          </w:p>
        </w:tc>
        <w:tc>
          <w:tcPr>
            <w:tcW w:w="612" w:type="dxa"/>
            <w:tcBorders/>
            <w:vAlign w:val="bottom"/>
          </w:tcPr>
          <w:p>
            <w:pPr>
              <w:pStyle w:val="Normal"/>
              <w:widowControl w:val="false"/>
              <w:spacing w:lineRule="auto" w:line="240"/>
              <w:jc w:val="right"/>
              <w:rPr>
                <w:sz w:val="20"/>
                <w:szCs w:val="20"/>
              </w:rPr>
            </w:pPr>
            <w:r>
              <w:rPr>
                <w:sz w:val="20"/>
                <w:szCs w:val="20"/>
              </w:rPr>
              <w:t>NA</w:t>
            </w:r>
          </w:p>
        </w:tc>
        <w:tc>
          <w:tcPr>
            <w:tcW w:w="631" w:type="dxa"/>
            <w:tcBorders/>
            <w:vAlign w:val="bottom"/>
          </w:tcPr>
          <w:p>
            <w:pPr>
              <w:pStyle w:val="Normal"/>
              <w:widowControl w:val="false"/>
              <w:spacing w:lineRule="auto" w:line="240"/>
              <w:jc w:val="right"/>
              <w:rPr>
                <w:sz w:val="20"/>
                <w:szCs w:val="20"/>
              </w:rPr>
            </w:pPr>
            <w:r>
              <w:rPr>
                <w:sz w:val="20"/>
                <w:szCs w:val="20"/>
              </w:rPr>
              <w:t>4.7</w:t>
            </w:r>
          </w:p>
        </w:tc>
        <w:tc>
          <w:tcPr>
            <w:tcW w:w="660" w:type="dxa"/>
            <w:tcBorders/>
            <w:vAlign w:val="bottom"/>
          </w:tcPr>
          <w:p>
            <w:pPr>
              <w:pStyle w:val="Normal"/>
              <w:widowControl w:val="false"/>
              <w:spacing w:lineRule="auto" w:line="240"/>
              <w:jc w:val="right"/>
              <w:rPr>
                <w:sz w:val="20"/>
                <w:szCs w:val="20"/>
              </w:rPr>
            </w:pPr>
            <w:r>
              <w:rPr>
                <w:sz w:val="20"/>
                <w:szCs w:val="20"/>
              </w:rPr>
              <w:t>33.9</w:t>
            </w:r>
          </w:p>
        </w:tc>
        <w:tc>
          <w:tcPr>
            <w:tcW w:w="634" w:type="dxa"/>
            <w:tcBorders/>
            <w:vAlign w:val="bottom"/>
          </w:tcPr>
          <w:p>
            <w:pPr>
              <w:pStyle w:val="Normal"/>
              <w:widowControl w:val="false"/>
              <w:spacing w:lineRule="auto" w:line="240"/>
              <w:jc w:val="right"/>
              <w:rPr>
                <w:sz w:val="20"/>
                <w:szCs w:val="20"/>
              </w:rPr>
            </w:pPr>
            <w:r>
              <w:rPr>
                <w:sz w:val="20"/>
                <w:szCs w:val="20"/>
              </w:rPr>
              <w:t>33.3</w:t>
            </w:r>
          </w:p>
        </w:tc>
        <w:tc>
          <w:tcPr>
            <w:tcW w:w="79" w:type="dxa"/>
            <w:tcBorders/>
            <w:vAlign w:val="bottom"/>
          </w:tcPr>
          <w:p>
            <w:pPr>
              <w:pStyle w:val="Normal"/>
              <w:widowControl w:val="false"/>
              <w:spacing w:lineRule="auto" w:line="240"/>
              <w:jc w:val="right"/>
              <w:rPr>
                <w:sz w:val="20"/>
                <w:szCs w:val="20"/>
              </w:rPr>
            </w:pPr>
            <w:r>
              <w:rPr>
                <w:sz w:val="20"/>
                <w:szCs w:val="20"/>
              </w:rPr>
            </w:r>
          </w:p>
        </w:tc>
        <w:tc>
          <w:tcPr>
            <w:tcW w:w="610" w:type="dxa"/>
            <w:tcBorders/>
            <w:vAlign w:val="bottom"/>
          </w:tcPr>
          <w:p>
            <w:pPr>
              <w:pStyle w:val="Normal"/>
              <w:widowControl w:val="false"/>
              <w:spacing w:lineRule="auto" w:line="240"/>
              <w:jc w:val="right"/>
              <w:rPr>
                <w:sz w:val="20"/>
                <w:szCs w:val="20"/>
              </w:rPr>
            </w:pPr>
            <w:r>
              <w:rPr>
                <w:sz w:val="20"/>
                <w:szCs w:val="20"/>
              </w:rPr>
              <w:t>NA</w:t>
            </w:r>
          </w:p>
        </w:tc>
        <w:tc>
          <w:tcPr>
            <w:tcW w:w="637" w:type="dxa"/>
            <w:tcBorders/>
            <w:vAlign w:val="bottom"/>
          </w:tcPr>
          <w:p>
            <w:pPr>
              <w:pStyle w:val="Normal"/>
              <w:widowControl w:val="false"/>
              <w:spacing w:lineRule="auto" w:line="240"/>
              <w:jc w:val="right"/>
              <w:rPr>
                <w:sz w:val="20"/>
                <w:szCs w:val="20"/>
              </w:rPr>
            </w:pPr>
            <w:r>
              <w:rPr>
                <w:sz w:val="20"/>
                <w:szCs w:val="20"/>
              </w:rPr>
              <w:t>1.4</w:t>
            </w:r>
          </w:p>
        </w:tc>
        <w:tc>
          <w:tcPr>
            <w:tcW w:w="635" w:type="dxa"/>
            <w:tcBorders/>
            <w:vAlign w:val="bottom"/>
          </w:tcPr>
          <w:p>
            <w:pPr>
              <w:pStyle w:val="Normal"/>
              <w:widowControl w:val="false"/>
              <w:spacing w:lineRule="auto" w:line="240"/>
              <w:jc w:val="right"/>
              <w:rPr>
                <w:sz w:val="20"/>
                <w:szCs w:val="20"/>
              </w:rPr>
            </w:pPr>
            <w:r>
              <w:rPr>
                <w:sz w:val="20"/>
                <w:szCs w:val="20"/>
              </w:rPr>
              <w:t>30.6</w:t>
            </w:r>
          </w:p>
        </w:tc>
        <w:tc>
          <w:tcPr>
            <w:tcW w:w="631" w:type="dxa"/>
            <w:tcBorders/>
            <w:vAlign w:val="bottom"/>
          </w:tcPr>
          <w:p>
            <w:pPr>
              <w:pStyle w:val="Normal"/>
              <w:widowControl w:val="false"/>
              <w:spacing w:lineRule="auto" w:line="240"/>
              <w:jc w:val="right"/>
              <w:rPr>
                <w:sz w:val="20"/>
                <w:szCs w:val="20"/>
              </w:rPr>
            </w:pPr>
            <w:r>
              <w:rPr>
                <w:sz w:val="20"/>
                <w:szCs w:val="20"/>
              </w:rPr>
              <w:t>34.1</w:t>
            </w:r>
          </w:p>
        </w:tc>
        <w:tc>
          <w:tcPr>
            <w:tcW w:w="91" w:type="dxa"/>
            <w:tcBorders/>
            <w:vAlign w:val="bottom"/>
          </w:tcPr>
          <w:p>
            <w:pPr>
              <w:pStyle w:val="Normal"/>
              <w:widowControl w:val="false"/>
              <w:spacing w:lineRule="auto" w:line="240"/>
              <w:jc w:val="right"/>
              <w:rPr>
                <w:sz w:val="20"/>
                <w:szCs w:val="20"/>
              </w:rPr>
            </w:pPr>
            <w:r>
              <w:rPr>
                <w:sz w:val="20"/>
                <w:szCs w:val="20"/>
              </w:rPr>
            </w:r>
          </w:p>
        </w:tc>
        <w:tc>
          <w:tcPr>
            <w:tcW w:w="628" w:type="dxa"/>
            <w:tcBorders/>
            <w:vAlign w:val="bottom"/>
          </w:tcPr>
          <w:p>
            <w:pPr>
              <w:pStyle w:val="Normal"/>
              <w:widowControl w:val="false"/>
              <w:spacing w:lineRule="auto" w:line="240"/>
              <w:jc w:val="right"/>
              <w:rPr>
                <w:sz w:val="20"/>
                <w:szCs w:val="20"/>
              </w:rPr>
            </w:pPr>
            <w:r>
              <w:rPr>
                <w:sz w:val="20"/>
                <w:szCs w:val="20"/>
              </w:rPr>
              <w:t>NA</w:t>
            </w:r>
          </w:p>
        </w:tc>
        <w:tc>
          <w:tcPr>
            <w:tcW w:w="632" w:type="dxa"/>
            <w:tcBorders/>
            <w:vAlign w:val="bottom"/>
          </w:tcPr>
          <w:p>
            <w:pPr>
              <w:pStyle w:val="Normal"/>
              <w:widowControl w:val="false"/>
              <w:spacing w:lineRule="auto" w:line="240"/>
              <w:jc w:val="right"/>
              <w:rPr>
                <w:sz w:val="20"/>
                <w:szCs w:val="20"/>
              </w:rPr>
            </w:pPr>
            <w:r>
              <w:rPr>
                <w:sz w:val="20"/>
                <w:szCs w:val="20"/>
              </w:rPr>
              <w:t>NA</w:t>
            </w:r>
          </w:p>
        </w:tc>
        <w:tc>
          <w:tcPr>
            <w:tcW w:w="632" w:type="dxa"/>
            <w:tcBorders/>
            <w:vAlign w:val="bottom"/>
          </w:tcPr>
          <w:p>
            <w:pPr>
              <w:pStyle w:val="Normal"/>
              <w:widowControl w:val="false"/>
              <w:spacing w:lineRule="auto" w:line="240"/>
              <w:jc w:val="right"/>
              <w:rPr>
                <w:sz w:val="20"/>
                <w:szCs w:val="20"/>
              </w:rPr>
            </w:pPr>
            <w:r>
              <w:rPr>
                <w:sz w:val="20"/>
                <w:szCs w:val="20"/>
              </w:rPr>
              <w:t>10.8</w:t>
            </w:r>
          </w:p>
        </w:tc>
        <w:tc>
          <w:tcPr>
            <w:tcW w:w="630" w:type="dxa"/>
            <w:tcBorders/>
            <w:vAlign w:val="bottom"/>
          </w:tcPr>
          <w:p>
            <w:pPr>
              <w:pStyle w:val="Normal"/>
              <w:widowControl w:val="false"/>
              <w:spacing w:lineRule="auto" w:line="240"/>
              <w:jc w:val="right"/>
              <w:rPr>
                <w:sz w:val="20"/>
                <w:szCs w:val="20"/>
              </w:rPr>
            </w:pPr>
            <w:r>
              <w:rPr>
                <w:sz w:val="20"/>
                <w:szCs w:val="20"/>
              </w:rPr>
              <w:t>27.8</w:t>
            </w:r>
          </w:p>
        </w:tc>
        <w:tc>
          <w:tcPr>
            <w:tcW w:w="92" w:type="dxa"/>
            <w:tcBorders/>
            <w:vAlign w:val="bottom"/>
          </w:tcPr>
          <w:p>
            <w:pPr>
              <w:pStyle w:val="Normal"/>
              <w:widowControl w:val="false"/>
              <w:spacing w:lineRule="auto" w:line="240"/>
              <w:jc w:val="right"/>
              <w:rPr>
                <w:sz w:val="20"/>
                <w:szCs w:val="20"/>
              </w:rPr>
            </w:pPr>
            <w:r>
              <w:rPr>
                <w:sz w:val="20"/>
                <w:szCs w:val="20"/>
              </w:rPr>
            </w:r>
          </w:p>
        </w:tc>
        <w:tc>
          <w:tcPr>
            <w:tcW w:w="631" w:type="dxa"/>
            <w:tcBorders/>
            <w:vAlign w:val="bottom"/>
          </w:tcPr>
          <w:p>
            <w:pPr>
              <w:pStyle w:val="Normal"/>
              <w:widowControl w:val="false"/>
              <w:spacing w:lineRule="auto" w:line="240"/>
              <w:jc w:val="right"/>
              <w:rPr>
                <w:sz w:val="20"/>
                <w:szCs w:val="20"/>
              </w:rPr>
            </w:pPr>
            <w:r>
              <w:rPr>
                <w:sz w:val="20"/>
                <w:szCs w:val="20"/>
              </w:rPr>
              <w:t>NA</w:t>
            </w:r>
          </w:p>
        </w:tc>
        <w:tc>
          <w:tcPr>
            <w:tcW w:w="631" w:type="dxa"/>
            <w:tcBorders/>
            <w:vAlign w:val="bottom"/>
          </w:tcPr>
          <w:p>
            <w:pPr>
              <w:pStyle w:val="Normal"/>
              <w:widowControl w:val="false"/>
              <w:spacing w:lineRule="auto" w:line="240"/>
              <w:jc w:val="right"/>
              <w:rPr>
                <w:sz w:val="20"/>
                <w:szCs w:val="20"/>
              </w:rPr>
            </w:pPr>
            <w:r>
              <w:rPr>
                <w:sz w:val="20"/>
                <w:szCs w:val="20"/>
              </w:rPr>
              <w:t>NA</w:t>
            </w:r>
          </w:p>
        </w:tc>
        <w:tc>
          <w:tcPr>
            <w:tcW w:w="632" w:type="dxa"/>
            <w:tcBorders/>
            <w:vAlign w:val="bottom"/>
          </w:tcPr>
          <w:p>
            <w:pPr>
              <w:pStyle w:val="Normal"/>
              <w:widowControl w:val="false"/>
              <w:spacing w:lineRule="auto" w:line="240"/>
              <w:jc w:val="right"/>
              <w:rPr>
                <w:sz w:val="20"/>
                <w:szCs w:val="20"/>
              </w:rPr>
            </w:pPr>
            <w:r>
              <w:rPr>
                <w:sz w:val="20"/>
                <w:szCs w:val="20"/>
              </w:rPr>
              <w:t>7.9</w:t>
            </w:r>
          </w:p>
        </w:tc>
        <w:tc>
          <w:tcPr>
            <w:tcW w:w="631" w:type="dxa"/>
            <w:tcBorders/>
            <w:vAlign w:val="bottom"/>
          </w:tcPr>
          <w:p>
            <w:pPr>
              <w:pStyle w:val="Normal"/>
              <w:widowControl w:val="false"/>
              <w:spacing w:lineRule="auto" w:line="240"/>
              <w:jc w:val="right"/>
              <w:rPr>
                <w:sz w:val="20"/>
                <w:szCs w:val="20"/>
              </w:rPr>
            </w:pPr>
            <w:r>
              <w:rPr>
                <w:sz w:val="20"/>
                <w:szCs w:val="20"/>
              </w:rPr>
              <w:t>19.1</w:t>
            </w:r>
          </w:p>
        </w:tc>
        <w:tc>
          <w:tcPr>
            <w:tcW w:w="91" w:type="dxa"/>
            <w:tcBorders/>
            <w:vAlign w:val="bottom"/>
          </w:tcPr>
          <w:p>
            <w:pPr>
              <w:pStyle w:val="Normal"/>
              <w:widowControl w:val="false"/>
              <w:spacing w:lineRule="auto" w:line="240"/>
              <w:jc w:val="right"/>
              <w:rPr>
                <w:sz w:val="20"/>
                <w:szCs w:val="20"/>
              </w:rPr>
            </w:pPr>
            <w:r>
              <w:rPr>
                <w:sz w:val="20"/>
                <w:szCs w:val="20"/>
              </w:rPr>
            </w:r>
          </w:p>
        </w:tc>
        <w:tc>
          <w:tcPr>
            <w:tcW w:w="629" w:type="dxa"/>
            <w:tcBorders/>
            <w:vAlign w:val="bottom"/>
          </w:tcPr>
          <w:p>
            <w:pPr>
              <w:pStyle w:val="Normal"/>
              <w:widowControl w:val="false"/>
              <w:spacing w:lineRule="auto" w:line="240"/>
              <w:jc w:val="right"/>
              <w:rPr>
                <w:sz w:val="20"/>
                <w:szCs w:val="20"/>
              </w:rPr>
            </w:pPr>
            <w:r>
              <w:rPr>
                <w:sz w:val="20"/>
                <w:szCs w:val="20"/>
              </w:rPr>
              <w:t>8.1</w:t>
            </w:r>
          </w:p>
        </w:tc>
        <w:tc>
          <w:tcPr>
            <w:tcW w:w="631" w:type="dxa"/>
            <w:tcBorders/>
            <w:vAlign w:val="bottom"/>
          </w:tcPr>
          <w:p>
            <w:pPr>
              <w:pStyle w:val="Normal"/>
              <w:widowControl w:val="false"/>
              <w:spacing w:lineRule="auto" w:line="240"/>
              <w:jc w:val="right"/>
              <w:rPr>
                <w:sz w:val="20"/>
                <w:szCs w:val="20"/>
              </w:rPr>
            </w:pPr>
            <w:r>
              <w:rPr>
                <w:sz w:val="20"/>
                <w:szCs w:val="20"/>
              </w:rPr>
              <w:t>NA</w:t>
            </w:r>
          </w:p>
        </w:tc>
        <w:tc>
          <w:tcPr>
            <w:tcW w:w="628" w:type="dxa"/>
            <w:tcBorders/>
            <w:vAlign w:val="bottom"/>
          </w:tcPr>
          <w:p>
            <w:pPr>
              <w:pStyle w:val="Normal"/>
              <w:widowControl w:val="false"/>
              <w:spacing w:lineRule="auto" w:line="240"/>
              <w:jc w:val="right"/>
              <w:rPr>
                <w:sz w:val="20"/>
                <w:szCs w:val="20"/>
              </w:rPr>
            </w:pPr>
            <w:r>
              <w:rPr>
                <w:sz w:val="20"/>
                <w:szCs w:val="20"/>
              </w:rPr>
              <w:t>44.0</w:t>
            </w:r>
          </w:p>
        </w:tc>
        <w:tc>
          <w:tcPr>
            <w:tcW w:w="680" w:type="dxa"/>
            <w:tcBorders/>
            <w:vAlign w:val="bottom"/>
          </w:tcPr>
          <w:p>
            <w:pPr>
              <w:pStyle w:val="Normal"/>
              <w:widowControl w:val="false"/>
              <w:spacing w:lineRule="auto" w:line="240"/>
              <w:jc w:val="right"/>
              <w:rPr>
                <w:sz w:val="20"/>
                <w:szCs w:val="20"/>
              </w:rPr>
            </w:pPr>
            <w:r>
              <w:rPr>
                <w:sz w:val="20"/>
                <w:szCs w:val="20"/>
              </w:rPr>
              <w:t>46.4</w:t>
            </w:r>
          </w:p>
        </w:tc>
      </w:tr>
      <w:tr>
        <w:trPr>
          <w:trHeight w:val="70" w:hRule="atLeast"/>
        </w:trPr>
        <w:tc>
          <w:tcPr>
            <w:tcW w:w="894" w:type="dxa"/>
            <w:vMerge w:val="continue"/>
            <w:tcBorders>
              <w:bottom w:val="single" w:sz="4" w:space="0" w:color="000000"/>
            </w:tcBorders>
            <w:vAlign w:val="bottom"/>
          </w:tcPr>
          <w:p>
            <w:pPr>
              <w:pStyle w:val="Normal"/>
              <w:widowControl w:val="false"/>
              <w:spacing w:lineRule="auto" w:line="240"/>
              <w:rPr>
                <w:sz w:val="20"/>
                <w:szCs w:val="20"/>
              </w:rPr>
            </w:pPr>
            <w:r>
              <w:rPr>
                <w:sz w:val="20"/>
                <w:szCs w:val="20"/>
              </w:rPr>
            </w:r>
          </w:p>
        </w:tc>
        <w:tc>
          <w:tcPr>
            <w:tcW w:w="754" w:type="dxa"/>
            <w:tcBorders>
              <w:bottom w:val="single" w:sz="4" w:space="0" w:color="000000"/>
            </w:tcBorders>
            <w:vAlign w:val="bottom"/>
          </w:tcPr>
          <w:p>
            <w:pPr>
              <w:pStyle w:val="Normal"/>
              <w:widowControl w:val="false"/>
              <w:spacing w:lineRule="auto" w:line="240"/>
              <w:rPr>
                <w:sz w:val="20"/>
                <w:szCs w:val="20"/>
              </w:rPr>
            </w:pPr>
            <w:r>
              <w:rPr>
                <w:sz w:val="20"/>
                <w:szCs w:val="20"/>
              </w:rPr>
              <w:t>95CI</w:t>
            </w:r>
          </w:p>
        </w:tc>
        <w:tc>
          <w:tcPr>
            <w:tcW w:w="612" w:type="dxa"/>
            <w:tcBorders>
              <w:bottom w:val="single" w:sz="4" w:space="0" w:color="000000"/>
            </w:tcBorders>
            <w:vAlign w:val="bottom"/>
          </w:tcPr>
          <w:p>
            <w:pPr>
              <w:pStyle w:val="Normal"/>
              <w:widowControl w:val="false"/>
              <w:spacing w:lineRule="auto" w:line="240"/>
              <w:jc w:val="right"/>
              <w:rPr>
                <w:sz w:val="20"/>
                <w:szCs w:val="20"/>
              </w:rPr>
            </w:pPr>
            <w:r>
              <w:rPr>
                <w:sz w:val="20"/>
                <w:szCs w:val="20"/>
              </w:rPr>
              <w:t>NA</w:t>
            </w:r>
          </w:p>
        </w:tc>
        <w:tc>
          <w:tcPr>
            <w:tcW w:w="631" w:type="dxa"/>
            <w:tcBorders>
              <w:bottom w:val="single" w:sz="4" w:space="0" w:color="000000"/>
            </w:tcBorders>
            <w:vAlign w:val="bottom"/>
          </w:tcPr>
          <w:p>
            <w:pPr>
              <w:pStyle w:val="Normal"/>
              <w:widowControl w:val="false"/>
              <w:spacing w:lineRule="auto" w:line="240"/>
              <w:jc w:val="right"/>
              <w:rPr>
                <w:sz w:val="20"/>
                <w:szCs w:val="20"/>
              </w:rPr>
            </w:pPr>
            <w:r>
              <w:rPr>
                <w:sz w:val="20"/>
                <w:szCs w:val="20"/>
              </w:rPr>
              <w:t>2.1</w:t>
            </w:r>
          </w:p>
        </w:tc>
        <w:tc>
          <w:tcPr>
            <w:tcW w:w="660" w:type="dxa"/>
            <w:tcBorders>
              <w:bottom w:val="single" w:sz="4" w:space="0" w:color="000000"/>
            </w:tcBorders>
            <w:vAlign w:val="bottom"/>
          </w:tcPr>
          <w:p>
            <w:pPr>
              <w:pStyle w:val="Normal"/>
              <w:widowControl w:val="false"/>
              <w:spacing w:lineRule="auto" w:line="240"/>
              <w:jc w:val="right"/>
              <w:rPr>
                <w:sz w:val="20"/>
                <w:szCs w:val="20"/>
              </w:rPr>
            </w:pPr>
            <w:r>
              <w:rPr>
                <w:sz w:val="20"/>
                <w:szCs w:val="20"/>
              </w:rPr>
              <w:t>9.5</w:t>
            </w:r>
          </w:p>
        </w:tc>
        <w:tc>
          <w:tcPr>
            <w:tcW w:w="634" w:type="dxa"/>
            <w:tcBorders>
              <w:bottom w:val="single" w:sz="4" w:space="0" w:color="000000"/>
            </w:tcBorders>
            <w:vAlign w:val="bottom"/>
          </w:tcPr>
          <w:p>
            <w:pPr>
              <w:pStyle w:val="Normal"/>
              <w:widowControl w:val="false"/>
              <w:spacing w:lineRule="auto" w:line="240"/>
              <w:jc w:val="right"/>
              <w:rPr>
                <w:sz w:val="20"/>
                <w:szCs w:val="20"/>
              </w:rPr>
            </w:pPr>
            <w:r>
              <w:rPr>
                <w:sz w:val="20"/>
                <w:szCs w:val="20"/>
              </w:rPr>
              <w:t>3.0</w:t>
            </w:r>
          </w:p>
        </w:tc>
        <w:tc>
          <w:tcPr>
            <w:tcW w:w="79" w:type="dxa"/>
            <w:tcBorders>
              <w:bottom w:val="single" w:sz="4" w:space="0" w:color="000000"/>
            </w:tcBorders>
            <w:vAlign w:val="bottom"/>
          </w:tcPr>
          <w:p>
            <w:pPr>
              <w:pStyle w:val="Normal"/>
              <w:widowControl w:val="false"/>
              <w:spacing w:lineRule="auto" w:line="240"/>
              <w:jc w:val="right"/>
              <w:rPr>
                <w:sz w:val="20"/>
                <w:szCs w:val="20"/>
              </w:rPr>
            </w:pPr>
            <w:r>
              <w:rPr>
                <w:sz w:val="20"/>
                <w:szCs w:val="20"/>
              </w:rPr>
            </w:r>
          </w:p>
        </w:tc>
        <w:tc>
          <w:tcPr>
            <w:tcW w:w="610" w:type="dxa"/>
            <w:tcBorders>
              <w:bottom w:val="single" w:sz="4" w:space="0" w:color="000000"/>
            </w:tcBorders>
            <w:vAlign w:val="bottom"/>
          </w:tcPr>
          <w:p>
            <w:pPr>
              <w:pStyle w:val="Normal"/>
              <w:widowControl w:val="false"/>
              <w:spacing w:lineRule="auto" w:line="240"/>
              <w:jc w:val="right"/>
              <w:rPr>
                <w:sz w:val="20"/>
                <w:szCs w:val="20"/>
              </w:rPr>
            </w:pPr>
            <w:r>
              <w:rPr>
                <w:sz w:val="20"/>
                <w:szCs w:val="20"/>
              </w:rPr>
              <w:t>NA</w:t>
            </w:r>
          </w:p>
        </w:tc>
        <w:tc>
          <w:tcPr>
            <w:tcW w:w="637" w:type="dxa"/>
            <w:tcBorders>
              <w:bottom w:val="single" w:sz="4" w:space="0" w:color="000000"/>
            </w:tcBorders>
            <w:vAlign w:val="bottom"/>
          </w:tcPr>
          <w:p>
            <w:pPr>
              <w:pStyle w:val="Normal"/>
              <w:widowControl w:val="false"/>
              <w:spacing w:lineRule="auto" w:line="240"/>
              <w:jc w:val="right"/>
              <w:rPr>
                <w:sz w:val="20"/>
                <w:szCs w:val="20"/>
              </w:rPr>
            </w:pPr>
            <w:r>
              <w:rPr>
                <w:sz w:val="20"/>
                <w:szCs w:val="20"/>
              </w:rPr>
              <w:t>0.8</w:t>
            </w:r>
          </w:p>
        </w:tc>
        <w:tc>
          <w:tcPr>
            <w:tcW w:w="635" w:type="dxa"/>
            <w:tcBorders>
              <w:bottom w:val="single" w:sz="4" w:space="0" w:color="000000"/>
            </w:tcBorders>
            <w:vAlign w:val="bottom"/>
          </w:tcPr>
          <w:p>
            <w:pPr>
              <w:pStyle w:val="Normal"/>
              <w:widowControl w:val="false"/>
              <w:spacing w:lineRule="auto" w:line="240"/>
              <w:jc w:val="right"/>
              <w:rPr>
                <w:sz w:val="20"/>
                <w:szCs w:val="20"/>
              </w:rPr>
            </w:pPr>
            <w:r>
              <w:rPr>
                <w:sz w:val="20"/>
                <w:szCs w:val="20"/>
              </w:rPr>
              <w:t>9.5</w:t>
            </w:r>
          </w:p>
        </w:tc>
        <w:tc>
          <w:tcPr>
            <w:tcW w:w="631" w:type="dxa"/>
            <w:tcBorders>
              <w:bottom w:val="single" w:sz="4" w:space="0" w:color="000000"/>
            </w:tcBorders>
            <w:vAlign w:val="bottom"/>
          </w:tcPr>
          <w:p>
            <w:pPr>
              <w:pStyle w:val="Normal"/>
              <w:widowControl w:val="false"/>
              <w:spacing w:lineRule="auto" w:line="240"/>
              <w:jc w:val="right"/>
              <w:rPr>
                <w:sz w:val="20"/>
                <w:szCs w:val="20"/>
              </w:rPr>
            </w:pPr>
            <w:r>
              <w:rPr>
                <w:sz w:val="20"/>
                <w:szCs w:val="20"/>
              </w:rPr>
              <w:t>12.0</w:t>
            </w:r>
          </w:p>
        </w:tc>
        <w:tc>
          <w:tcPr>
            <w:tcW w:w="91" w:type="dxa"/>
            <w:tcBorders>
              <w:bottom w:val="single" w:sz="4" w:space="0" w:color="000000"/>
            </w:tcBorders>
            <w:vAlign w:val="bottom"/>
          </w:tcPr>
          <w:p>
            <w:pPr>
              <w:pStyle w:val="Normal"/>
              <w:widowControl w:val="false"/>
              <w:spacing w:lineRule="auto" w:line="240"/>
              <w:jc w:val="right"/>
              <w:rPr>
                <w:sz w:val="20"/>
                <w:szCs w:val="20"/>
              </w:rPr>
            </w:pPr>
            <w:r>
              <w:rPr>
                <w:sz w:val="20"/>
                <w:szCs w:val="20"/>
              </w:rPr>
            </w:r>
          </w:p>
        </w:tc>
        <w:tc>
          <w:tcPr>
            <w:tcW w:w="628" w:type="dxa"/>
            <w:tcBorders>
              <w:bottom w:val="single" w:sz="4" w:space="0" w:color="000000"/>
            </w:tcBorders>
            <w:vAlign w:val="bottom"/>
          </w:tcPr>
          <w:p>
            <w:pPr>
              <w:pStyle w:val="Normal"/>
              <w:widowControl w:val="false"/>
              <w:spacing w:lineRule="auto" w:line="240"/>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spacing w:lineRule="auto" w:line="240"/>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spacing w:lineRule="auto" w:line="240"/>
              <w:jc w:val="right"/>
              <w:rPr>
                <w:sz w:val="20"/>
                <w:szCs w:val="20"/>
              </w:rPr>
            </w:pPr>
            <w:r>
              <w:rPr>
                <w:sz w:val="20"/>
                <w:szCs w:val="20"/>
              </w:rPr>
              <w:t>2.5</w:t>
            </w:r>
          </w:p>
        </w:tc>
        <w:tc>
          <w:tcPr>
            <w:tcW w:w="630" w:type="dxa"/>
            <w:tcBorders>
              <w:bottom w:val="single" w:sz="4" w:space="0" w:color="000000"/>
            </w:tcBorders>
            <w:vAlign w:val="bottom"/>
          </w:tcPr>
          <w:p>
            <w:pPr>
              <w:pStyle w:val="Normal"/>
              <w:widowControl w:val="false"/>
              <w:spacing w:lineRule="auto" w:line="240"/>
              <w:jc w:val="right"/>
              <w:rPr>
                <w:sz w:val="20"/>
                <w:szCs w:val="20"/>
              </w:rPr>
            </w:pPr>
            <w:r>
              <w:rPr>
                <w:sz w:val="20"/>
                <w:szCs w:val="20"/>
              </w:rPr>
              <w:t>5.1</w:t>
            </w:r>
          </w:p>
        </w:tc>
        <w:tc>
          <w:tcPr>
            <w:tcW w:w="92" w:type="dxa"/>
            <w:tcBorders>
              <w:bottom w:val="single" w:sz="4" w:space="0" w:color="000000"/>
            </w:tcBorders>
            <w:vAlign w:val="bottom"/>
          </w:tcPr>
          <w:p>
            <w:pPr>
              <w:pStyle w:val="Normal"/>
              <w:widowControl w:val="false"/>
              <w:spacing w:lineRule="auto" w:line="240"/>
              <w:jc w:val="right"/>
              <w:rPr>
                <w:sz w:val="20"/>
                <w:szCs w:val="20"/>
              </w:rPr>
            </w:pPr>
            <w:r>
              <w:rPr>
                <w:sz w:val="20"/>
                <w:szCs w:val="20"/>
              </w:rPr>
            </w:r>
          </w:p>
        </w:tc>
        <w:tc>
          <w:tcPr>
            <w:tcW w:w="631" w:type="dxa"/>
            <w:tcBorders>
              <w:bottom w:val="single" w:sz="4" w:space="0" w:color="000000"/>
            </w:tcBorders>
            <w:vAlign w:val="bottom"/>
          </w:tcPr>
          <w:p>
            <w:pPr>
              <w:pStyle w:val="Normal"/>
              <w:widowControl w:val="false"/>
              <w:spacing w:lineRule="auto" w:line="240"/>
              <w:jc w:val="right"/>
              <w:rPr>
                <w:sz w:val="20"/>
                <w:szCs w:val="20"/>
              </w:rPr>
            </w:pPr>
            <w:r>
              <w:rPr>
                <w:sz w:val="20"/>
                <w:szCs w:val="20"/>
              </w:rPr>
              <w:t>NA</w:t>
            </w:r>
          </w:p>
        </w:tc>
        <w:tc>
          <w:tcPr>
            <w:tcW w:w="631" w:type="dxa"/>
            <w:tcBorders>
              <w:bottom w:val="single" w:sz="4" w:space="0" w:color="000000"/>
            </w:tcBorders>
            <w:vAlign w:val="bottom"/>
          </w:tcPr>
          <w:p>
            <w:pPr>
              <w:pStyle w:val="Normal"/>
              <w:widowControl w:val="false"/>
              <w:spacing w:lineRule="auto" w:line="240"/>
              <w:jc w:val="right"/>
              <w:rPr>
                <w:sz w:val="20"/>
                <w:szCs w:val="20"/>
              </w:rPr>
            </w:pPr>
            <w:r>
              <w:rPr>
                <w:sz w:val="20"/>
                <w:szCs w:val="20"/>
              </w:rPr>
              <w:t>NA</w:t>
            </w:r>
          </w:p>
        </w:tc>
        <w:tc>
          <w:tcPr>
            <w:tcW w:w="632" w:type="dxa"/>
            <w:tcBorders>
              <w:bottom w:val="single" w:sz="4" w:space="0" w:color="000000"/>
            </w:tcBorders>
            <w:vAlign w:val="bottom"/>
          </w:tcPr>
          <w:p>
            <w:pPr>
              <w:pStyle w:val="Normal"/>
              <w:widowControl w:val="false"/>
              <w:spacing w:lineRule="auto" w:line="240"/>
              <w:jc w:val="right"/>
              <w:rPr>
                <w:sz w:val="20"/>
                <w:szCs w:val="20"/>
              </w:rPr>
            </w:pPr>
            <w:r>
              <w:rPr>
                <w:sz w:val="20"/>
                <w:szCs w:val="20"/>
              </w:rPr>
              <w:t>1.8</w:t>
            </w:r>
          </w:p>
        </w:tc>
        <w:tc>
          <w:tcPr>
            <w:tcW w:w="631" w:type="dxa"/>
            <w:tcBorders>
              <w:bottom w:val="single" w:sz="4" w:space="0" w:color="000000"/>
            </w:tcBorders>
            <w:vAlign w:val="bottom"/>
          </w:tcPr>
          <w:p>
            <w:pPr>
              <w:pStyle w:val="Normal"/>
              <w:widowControl w:val="false"/>
              <w:spacing w:lineRule="auto" w:line="240"/>
              <w:jc w:val="right"/>
              <w:rPr>
                <w:sz w:val="20"/>
                <w:szCs w:val="20"/>
              </w:rPr>
            </w:pPr>
            <w:r>
              <w:rPr>
                <w:sz w:val="20"/>
                <w:szCs w:val="20"/>
              </w:rPr>
              <w:t>4.1</w:t>
            </w:r>
          </w:p>
        </w:tc>
        <w:tc>
          <w:tcPr>
            <w:tcW w:w="91" w:type="dxa"/>
            <w:tcBorders>
              <w:bottom w:val="single" w:sz="4" w:space="0" w:color="000000"/>
            </w:tcBorders>
            <w:vAlign w:val="bottom"/>
          </w:tcPr>
          <w:p>
            <w:pPr>
              <w:pStyle w:val="Normal"/>
              <w:widowControl w:val="false"/>
              <w:spacing w:lineRule="auto" w:line="240"/>
              <w:jc w:val="right"/>
              <w:rPr>
                <w:sz w:val="20"/>
                <w:szCs w:val="20"/>
              </w:rPr>
            </w:pPr>
            <w:r>
              <w:rPr>
                <w:sz w:val="20"/>
                <w:szCs w:val="20"/>
              </w:rPr>
            </w:r>
          </w:p>
        </w:tc>
        <w:tc>
          <w:tcPr>
            <w:tcW w:w="629" w:type="dxa"/>
            <w:tcBorders>
              <w:bottom w:val="single" w:sz="4" w:space="0" w:color="000000"/>
            </w:tcBorders>
            <w:vAlign w:val="bottom"/>
          </w:tcPr>
          <w:p>
            <w:pPr>
              <w:pStyle w:val="Normal"/>
              <w:widowControl w:val="false"/>
              <w:spacing w:lineRule="auto" w:line="240"/>
              <w:jc w:val="right"/>
              <w:rPr>
                <w:sz w:val="20"/>
                <w:szCs w:val="20"/>
              </w:rPr>
            </w:pPr>
            <w:r>
              <w:rPr>
                <w:sz w:val="20"/>
                <w:szCs w:val="20"/>
              </w:rPr>
              <w:t>1.5</w:t>
            </w:r>
          </w:p>
        </w:tc>
        <w:tc>
          <w:tcPr>
            <w:tcW w:w="631" w:type="dxa"/>
            <w:tcBorders>
              <w:bottom w:val="single" w:sz="4" w:space="0" w:color="000000"/>
            </w:tcBorders>
            <w:vAlign w:val="bottom"/>
          </w:tcPr>
          <w:p>
            <w:pPr>
              <w:pStyle w:val="Normal"/>
              <w:widowControl w:val="false"/>
              <w:spacing w:lineRule="auto" w:line="240"/>
              <w:jc w:val="right"/>
              <w:rPr>
                <w:sz w:val="20"/>
                <w:szCs w:val="20"/>
              </w:rPr>
            </w:pPr>
            <w:r>
              <w:rPr>
                <w:sz w:val="20"/>
                <w:szCs w:val="20"/>
              </w:rPr>
              <w:t>NA</w:t>
            </w:r>
          </w:p>
        </w:tc>
        <w:tc>
          <w:tcPr>
            <w:tcW w:w="628" w:type="dxa"/>
            <w:tcBorders>
              <w:bottom w:val="single" w:sz="4" w:space="0" w:color="000000"/>
            </w:tcBorders>
            <w:vAlign w:val="bottom"/>
          </w:tcPr>
          <w:p>
            <w:pPr>
              <w:pStyle w:val="Normal"/>
              <w:widowControl w:val="false"/>
              <w:spacing w:lineRule="auto" w:line="240"/>
              <w:jc w:val="right"/>
              <w:rPr>
                <w:sz w:val="20"/>
                <w:szCs w:val="20"/>
              </w:rPr>
            </w:pPr>
            <w:r>
              <w:rPr>
                <w:sz w:val="20"/>
                <w:szCs w:val="20"/>
              </w:rPr>
              <w:t>8.7</w:t>
            </w:r>
          </w:p>
        </w:tc>
        <w:tc>
          <w:tcPr>
            <w:tcW w:w="680" w:type="dxa"/>
            <w:tcBorders>
              <w:bottom w:val="single" w:sz="4" w:space="0" w:color="000000"/>
            </w:tcBorders>
            <w:vAlign w:val="bottom"/>
          </w:tcPr>
          <w:p>
            <w:pPr>
              <w:pStyle w:val="Normal"/>
              <w:widowControl w:val="false"/>
              <w:spacing w:lineRule="auto" w:line="240"/>
              <w:jc w:val="right"/>
              <w:rPr>
                <w:sz w:val="20"/>
                <w:szCs w:val="20"/>
              </w:rPr>
            </w:pPr>
            <w:r>
              <w:rPr>
                <w:sz w:val="20"/>
                <w:szCs w:val="20"/>
              </w:rPr>
              <w:t>12.7</w:t>
            </w:r>
          </w:p>
        </w:tc>
      </w:tr>
      <w:tr>
        <w:trPr>
          <w:trHeight w:val="256" w:hRule="atLeast"/>
        </w:trPr>
        <w:tc>
          <w:tcPr>
            <w:tcW w:w="894" w:type="dxa"/>
            <w:tcBorders>
              <w:top w:val="single" w:sz="4" w:space="0" w:color="000000"/>
            </w:tcBorders>
            <w:vAlign w:val="bottom"/>
          </w:tcPr>
          <w:p>
            <w:pPr>
              <w:pStyle w:val="Normal"/>
              <w:widowControl w:val="false"/>
              <w:rPr>
                <w:sz w:val="20"/>
                <w:szCs w:val="20"/>
              </w:rPr>
            </w:pPr>
            <w:r>
              <w:rPr>
                <w:sz w:val="20"/>
                <w:szCs w:val="20"/>
              </w:rPr>
            </w:r>
          </w:p>
        </w:tc>
        <w:tc>
          <w:tcPr>
            <w:tcW w:w="754" w:type="dxa"/>
            <w:tcBorders>
              <w:top w:val="single" w:sz="4" w:space="0" w:color="000000"/>
            </w:tcBorders>
            <w:vAlign w:val="bottom"/>
          </w:tcPr>
          <w:p>
            <w:pPr>
              <w:pStyle w:val="Normal"/>
              <w:widowControl w:val="false"/>
              <w:rPr>
                <w:sz w:val="20"/>
                <w:szCs w:val="20"/>
              </w:rPr>
            </w:pPr>
            <w:r>
              <w:rPr>
                <w:sz w:val="20"/>
                <w:szCs w:val="20"/>
              </w:rPr>
            </w:r>
          </w:p>
        </w:tc>
        <w:tc>
          <w:tcPr>
            <w:tcW w:w="612" w:type="dxa"/>
            <w:tcBorders>
              <w:top w:val="single" w:sz="4" w:space="0" w:color="000000"/>
            </w:tcBorders>
            <w:vAlign w:val="bottom"/>
          </w:tcPr>
          <w:p>
            <w:pPr>
              <w:pStyle w:val="Normal"/>
              <w:widowControl w:val="false"/>
              <w:rPr>
                <w:sz w:val="20"/>
                <w:szCs w:val="20"/>
              </w:rPr>
            </w:pPr>
            <w:r>
              <w:rPr>
                <w:sz w:val="20"/>
                <w:szCs w:val="20"/>
              </w:rPr>
            </w:r>
          </w:p>
        </w:tc>
        <w:tc>
          <w:tcPr>
            <w:tcW w:w="631" w:type="dxa"/>
            <w:tcBorders>
              <w:top w:val="single" w:sz="4" w:space="0" w:color="000000"/>
            </w:tcBorders>
            <w:vAlign w:val="bottom"/>
          </w:tcPr>
          <w:p>
            <w:pPr>
              <w:pStyle w:val="Normal"/>
              <w:widowControl w:val="false"/>
              <w:jc w:val="right"/>
              <w:rPr>
                <w:sz w:val="20"/>
                <w:szCs w:val="20"/>
              </w:rPr>
            </w:pPr>
            <w:r>
              <w:rPr>
                <w:sz w:val="20"/>
                <w:szCs w:val="20"/>
              </w:rPr>
            </w:r>
          </w:p>
        </w:tc>
        <w:tc>
          <w:tcPr>
            <w:tcW w:w="660" w:type="dxa"/>
            <w:tcBorders>
              <w:top w:val="single" w:sz="4" w:space="0" w:color="000000"/>
            </w:tcBorders>
            <w:vAlign w:val="bottom"/>
          </w:tcPr>
          <w:p>
            <w:pPr>
              <w:pStyle w:val="Normal"/>
              <w:widowControl w:val="false"/>
              <w:jc w:val="right"/>
              <w:rPr>
                <w:sz w:val="20"/>
                <w:szCs w:val="20"/>
              </w:rPr>
            </w:pPr>
            <w:r>
              <w:rPr>
                <w:sz w:val="20"/>
                <w:szCs w:val="20"/>
              </w:rPr>
            </w:r>
          </w:p>
        </w:tc>
        <w:tc>
          <w:tcPr>
            <w:tcW w:w="634" w:type="dxa"/>
            <w:tcBorders>
              <w:top w:val="single" w:sz="4" w:space="0" w:color="000000"/>
            </w:tcBorders>
            <w:vAlign w:val="bottom"/>
          </w:tcPr>
          <w:p>
            <w:pPr>
              <w:pStyle w:val="Normal"/>
              <w:widowControl w:val="false"/>
              <w:jc w:val="right"/>
              <w:rPr>
                <w:sz w:val="20"/>
                <w:szCs w:val="20"/>
              </w:rPr>
            </w:pPr>
            <w:r>
              <w:rPr>
                <w:sz w:val="20"/>
                <w:szCs w:val="20"/>
              </w:rPr>
            </w:r>
          </w:p>
        </w:tc>
        <w:tc>
          <w:tcPr>
            <w:tcW w:w="79" w:type="dxa"/>
            <w:tcBorders>
              <w:top w:val="single" w:sz="4" w:space="0" w:color="000000"/>
            </w:tcBorders>
            <w:vAlign w:val="bottom"/>
          </w:tcPr>
          <w:p>
            <w:pPr>
              <w:pStyle w:val="Normal"/>
              <w:widowControl w:val="false"/>
              <w:rPr>
                <w:sz w:val="20"/>
                <w:szCs w:val="20"/>
              </w:rPr>
            </w:pPr>
            <w:r>
              <w:rPr>
                <w:sz w:val="20"/>
                <w:szCs w:val="20"/>
              </w:rPr>
            </w:r>
          </w:p>
        </w:tc>
        <w:tc>
          <w:tcPr>
            <w:tcW w:w="610" w:type="dxa"/>
            <w:tcBorders>
              <w:top w:val="single" w:sz="4" w:space="0" w:color="000000"/>
            </w:tcBorders>
            <w:vAlign w:val="bottom"/>
          </w:tcPr>
          <w:p>
            <w:pPr>
              <w:pStyle w:val="Normal"/>
              <w:widowControl w:val="false"/>
              <w:rPr>
                <w:sz w:val="20"/>
                <w:szCs w:val="20"/>
              </w:rPr>
            </w:pPr>
            <w:r>
              <w:rPr>
                <w:sz w:val="20"/>
                <w:szCs w:val="20"/>
              </w:rPr>
            </w:r>
          </w:p>
        </w:tc>
        <w:tc>
          <w:tcPr>
            <w:tcW w:w="637" w:type="dxa"/>
            <w:tcBorders>
              <w:top w:val="single" w:sz="4" w:space="0" w:color="000000"/>
            </w:tcBorders>
            <w:vAlign w:val="bottom"/>
          </w:tcPr>
          <w:p>
            <w:pPr>
              <w:pStyle w:val="Normal"/>
              <w:widowControl w:val="false"/>
              <w:jc w:val="right"/>
              <w:rPr>
                <w:sz w:val="20"/>
                <w:szCs w:val="20"/>
              </w:rPr>
            </w:pPr>
            <w:r>
              <w:rPr>
                <w:sz w:val="20"/>
                <w:szCs w:val="20"/>
              </w:rPr>
            </w:r>
          </w:p>
        </w:tc>
        <w:tc>
          <w:tcPr>
            <w:tcW w:w="635" w:type="dxa"/>
            <w:tcBorders>
              <w:top w:val="single" w:sz="4" w:space="0" w:color="000000"/>
            </w:tcBorders>
            <w:vAlign w:val="bottom"/>
          </w:tcPr>
          <w:p>
            <w:pPr>
              <w:pStyle w:val="Normal"/>
              <w:widowControl w:val="false"/>
              <w:jc w:val="right"/>
              <w:rPr>
                <w:sz w:val="20"/>
                <w:szCs w:val="20"/>
              </w:rPr>
            </w:pPr>
            <w:r>
              <w:rPr>
                <w:sz w:val="20"/>
                <w:szCs w:val="20"/>
              </w:rPr>
            </w:r>
          </w:p>
        </w:tc>
        <w:tc>
          <w:tcPr>
            <w:tcW w:w="631" w:type="dxa"/>
            <w:tcBorders>
              <w:top w:val="single" w:sz="4" w:space="0" w:color="000000"/>
            </w:tcBorders>
            <w:vAlign w:val="bottom"/>
          </w:tcPr>
          <w:p>
            <w:pPr>
              <w:pStyle w:val="Normal"/>
              <w:widowControl w:val="false"/>
              <w:jc w:val="right"/>
              <w:rPr>
                <w:sz w:val="20"/>
                <w:szCs w:val="20"/>
              </w:rPr>
            </w:pPr>
            <w:r>
              <w:rPr>
                <w:sz w:val="20"/>
                <w:szCs w:val="20"/>
              </w:rPr>
            </w:r>
          </w:p>
        </w:tc>
        <w:tc>
          <w:tcPr>
            <w:tcW w:w="91" w:type="dxa"/>
            <w:tcBorders>
              <w:top w:val="single" w:sz="4" w:space="0" w:color="000000"/>
            </w:tcBorders>
            <w:vAlign w:val="bottom"/>
          </w:tcPr>
          <w:p>
            <w:pPr>
              <w:pStyle w:val="Normal"/>
              <w:widowControl w:val="false"/>
              <w:rPr>
                <w:sz w:val="20"/>
                <w:szCs w:val="20"/>
              </w:rPr>
            </w:pPr>
            <w:r>
              <w:rPr>
                <w:sz w:val="20"/>
                <w:szCs w:val="20"/>
              </w:rPr>
            </w:r>
          </w:p>
        </w:tc>
        <w:tc>
          <w:tcPr>
            <w:tcW w:w="628" w:type="dxa"/>
            <w:tcBorders>
              <w:top w:val="single" w:sz="4" w:space="0" w:color="000000"/>
            </w:tcBorders>
            <w:vAlign w:val="bottom"/>
          </w:tcPr>
          <w:p>
            <w:pPr>
              <w:pStyle w:val="Normal"/>
              <w:widowControl w:val="false"/>
              <w:rPr>
                <w:sz w:val="20"/>
                <w:szCs w:val="20"/>
              </w:rPr>
            </w:pPr>
            <w:r>
              <w:rPr>
                <w:sz w:val="20"/>
                <w:szCs w:val="20"/>
              </w:rPr>
            </w:r>
          </w:p>
        </w:tc>
        <w:tc>
          <w:tcPr>
            <w:tcW w:w="632" w:type="dxa"/>
            <w:tcBorders>
              <w:top w:val="single" w:sz="4" w:space="0" w:color="000000"/>
            </w:tcBorders>
            <w:vAlign w:val="bottom"/>
          </w:tcPr>
          <w:p>
            <w:pPr>
              <w:pStyle w:val="Normal"/>
              <w:widowControl w:val="false"/>
              <w:rPr>
                <w:sz w:val="20"/>
                <w:szCs w:val="20"/>
              </w:rPr>
            </w:pPr>
            <w:r>
              <w:rPr>
                <w:sz w:val="20"/>
                <w:szCs w:val="20"/>
              </w:rPr>
            </w:r>
          </w:p>
        </w:tc>
        <w:tc>
          <w:tcPr>
            <w:tcW w:w="632" w:type="dxa"/>
            <w:tcBorders>
              <w:top w:val="single" w:sz="4" w:space="0" w:color="000000"/>
            </w:tcBorders>
            <w:vAlign w:val="bottom"/>
          </w:tcPr>
          <w:p>
            <w:pPr>
              <w:pStyle w:val="Normal"/>
              <w:widowControl w:val="false"/>
              <w:jc w:val="right"/>
              <w:rPr>
                <w:sz w:val="20"/>
                <w:szCs w:val="20"/>
              </w:rPr>
            </w:pPr>
            <w:r>
              <w:rPr>
                <w:sz w:val="20"/>
                <w:szCs w:val="20"/>
              </w:rPr>
            </w:r>
          </w:p>
        </w:tc>
        <w:tc>
          <w:tcPr>
            <w:tcW w:w="630" w:type="dxa"/>
            <w:tcBorders>
              <w:top w:val="single" w:sz="4" w:space="0" w:color="000000"/>
            </w:tcBorders>
            <w:vAlign w:val="bottom"/>
          </w:tcPr>
          <w:p>
            <w:pPr>
              <w:pStyle w:val="Normal"/>
              <w:widowControl w:val="false"/>
              <w:jc w:val="right"/>
              <w:rPr>
                <w:sz w:val="20"/>
                <w:szCs w:val="20"/>
              </w:rPr>
            </w:pPr>
            <w:r>
              <w:rPr>
                <w:sz w:val="20"/>
                <w:szCs w:val="20"/>
              </w:rPr>
            </w:r>
          </w:p>
        </w:tc>
        <w:tc>
          <w:tcPr>
            <w:tcW w:w="92" w:type="dxa"/>
            <w:tcBorders>
              <w:top w:val="single" w:sz="4" w:space="0" w:color="000000"/>
            </w:tcBorders>
            <w:vAlign w:val="bottom"/>
          </w:tcPr>
          <w:p>
            <w:pPr>
              <w:pStyle w:val="Normal"/>
              <w:widowControl w:val="false"/>
              <w:rPr>
                <w:sz w:val="20"/>
                <w:szCs w:val="20"/>
              </w:rPr>
            </w:pPr>
            <w:r>
              <w:rPr>
                <w:sz w:val="20"/>
                <w:szCs w:val="20"/>
              </w:rPr>
            </w:r>
          </w:p>
        </w:tc>
        <w:tc>
          <w:tcPr>
            <w:tcW w:w="631" w:type="dxa"/>
            <w:tcBorders>
              <w:top w:val="single" w:sz="4" w:space="0" w:color="000000"/>
            </w:tcBorders>
            <w:vAlign w:val="bottom"/>
          </w:tcPr>
          <w:p>
            <w:pPr>
              <w:pStyle w:val="Normal"/>
              <w:widowControl w:val="false"/>
              <w:rPr>
                <w:sz w:val="20"/>
                <w:szCs w:val="20"/>
              </w:rPr>
            </w:pPr>
            <w:r>
              <w:rPr>
                <w:sz w:val="20"/>
                <w:szCs w:val="20"/>
              </w:rPr>
            </w:r>
          </w:p>
        </w:tc>
        <w:tc>
          <w:tcPr>
            <w:tcW w:w="631" w:type="dxa"/>
            <w:tcBorders>
              <w:top w:val="single" w:sz="4" w:space="0" w:color="000000"/>
            </w:tcBorders>
            <w:vAlign w:val="bottom"/>
          </w:tcPr>
          <w:p>
            <w:pPr>
              <w:pStyle w:val="Normal"/>
              <w:widowControl w:val="false"/>
              <w:rPr>
                <w:sz w:val="20"/>
                <w:szCs w:val="20"/>
              </w:rPr>
            </w:pPr>
            <w:r>
              <w:rPr>
                <w:sz w:val="20"/>
                <w:szCs w:val="20"/>
              </w:rPr>
            </w:r>
          </w:p>
        </w:tc>
        <w:tc>
          <w:tcPr>
            <w:tcW w:w="632" w:type="dxa"/>
            <w:tcBorders>
              <w:top w:val="single" w:sz="4" w:space="0" w:color="000000"/>
            </w:tcBorders>
            <w:vAlign w:val="bottom"/>
          </w:tcPr>
          <w:p>
            <w:pPr>
              <w:pStyle w:val="Normal"/>
              <w:widowControl w:val="false"/>
              <w:jc w:val="right"/>
              <w:rPr>
                <w:sz w:val="20"/>
                <w:szCs w:val="20"/>
              </w:rPr>
            </w:pPr>
            <w:r>
              <w:rPr>
                <w:sz w:val="20"/>
                <w:szCs w:val="20"/>
              </w:rPr>
            </w:r>
          </w:p>
        </w:tc>
        <w:tc>
          <w:tcPr>
            <w:tcW w:w="631" w:type="dxa"/>
            <w:tcBorders>
              <w:top w:val="single" w:sz="4" w:space="0" w:color="000000"/>
            </w:tcBorders>
            <w:vAlign w:val="bottom"/>
          </w:tcPr>
          <w:p>
            <w:pPr>
              <w:pStyle w:val="Normal"/>
              <w:widowControl w:val="false"/>
              <w:rPr>
                <w:sz w:val="20"/>
                <w:szCs w:val="20"/>
              </w:rPr>
            </w:pPr>
            <w:r>
              <w:rPr>
                <w:sz w:val="20"/>
                <w:szCs w:val="20"/>
              </w:rPr>
            </w:r>
          </w:p>
        </w:tc>
        <w:tc>
          <w:tcPr>
            <w:tcW w:w="91" w:type="dxa"/>
            <w:tcBorders>
              <w:top w:val="single" w:sz="4" w:space="0" w:color="000000"/>
            </w:tcBorders>
            <w:vAlign w:val="bottom"/>
          </w:tcPr>
          <w:p>
            <w:pPr>
              <w:pStyle w:val="Normal"/>
              <w:widowControl w:val="false"/>
              <w:rPr>
                <w:sz w:val="20"/>
                <w:szCs w:val="20"/>
              </w:rPr>
            </w:pPr>
            <w:r>
              <w:rPr>
                <w:sz w:val="20"/>
                <w:szCs w:val="20"/>
              </w:rPr>
            </w:r>
          </w:p>
        </w:tc>
        <w:tc>
          <w:tcPr>
            <w:tcW w:w="629" w:type="dxa"/>
            <w:tcBorders>
              <w:top w:val="single" w:sz="4" w:space="0" w:color="000000"/>
            </w:tcBorders>
            <w:vAlign w:val="bottom"/>
          </w:tcPr>
          <w:p>
            <w:pPr>
              <w:pStyle w:val="Normal"/>
              <w:widowControl w:val="false"/>
              <w:jc w:val="right"/>
              <w:rPr>
                <w:sz w:val="20"/>
                <w:szCs w:val="20"/>
              </w:rPr>
            </w:pPr>
            <w:r>
              <w:rPr>
                <w:sz w:val="20"/>
                <w:szCs w:val="20"/>
              </w:rPr>
            </w:r>
          </w:p>
        </w:tc>
        <w:tc>
          <w:tcPr>
            <w:tcW w:w="631" w:type="dxa"/>
            <w:tcBorders>
              <w:top w:val="single" w:sz="4" w:space="0" w:color="000000"/>
            </w:tcBorders>
            <w:vAlign w:val="bottom"/>
          </w:tcPr>
          <w:p>
            <w:pPr>
              <w:pStyle w:val="Normal"/>
              <w:widowControl w:val="false"/>
              <w:rPr>
                <w:sz w:val="20"/>
                <w:szCs w:val="20"/>
              </w:rPr>
            </w:pPr>
            <w:r>
              <w:rPr>
                <w:sz w:val="20"/>
                <w:szCs w:val="20"/>
              </w:rPr>
            </w:r>
          </w:p>
        </w:tc>
        <w:tc>
          <w:tcPr>
            <w:tcW w:w="628" w:type="dxa"/>
            <w:tcBorders>
              <w:top w:val="single" w:sz="4" w:space="0" w:color="000000"/>
            </w:tcBorders>
            <w:vAlign w:val="bottom"/>
          </w:tcPr>
          <w:p>
            <w:pPr>
              <w:pStyle w:val="Normal"/>
              <w:widowControl w:val="false"/>
              <w:jc w:val="right"/>
              <w:rPr>
                <w:sz w:val="20"/>
                <w:szCs w:val="20"/>
              </w:rPr>
            </w:pPr>
            <w:r>
              <w:rPr>
                <w:sz w:val="20"/>
                <w:szCs w:val="20"/>
              </w:rPr>
            </w:r>
          </w:p>
        </w:tc>
        <w:tc>
          <w:tcPr>
            <w:tcW w:w="680" w:type="dxa"/>
            <w:tcBorders>
              <w:top w:val="single" w:sz="4" w:space="0" w:color="000000"/>
            </w:tcBorders>
            <w:vAlign w:val="bottom"/>
          </w:tcPr>
          <w:p>
            <w:pPr>
              <w:pStyle w:val="Normal"/>
              <w:widowControl w:val="false"/>
              <w:jc w:val="right"/>
              <w:rPr>
                <w:sz w:val="20"/>
                <w:szCs w:val="20"/>
              </w:rPr>
            </w:pPr>
            <w:r>
              <w:rPr>
                <w:sz w:val="20"/>
                <w:szCs w:val="20"/>
              </w:rPr>
            </w:r>
          </w:p>
        </w:tc>
      </w:tr>
    </w:tbl>
    <w:p>
      <w:pPr>
        <w:pStyle w:val="Normal"/>
        <w:spacing w:lineRule="auto" w:line="480"/>
        <w:rPr>
          <w:sz w:val="24"/>
          <w:szCs w:val="24"/>
        </w:rPr>
      </w:pPr>
      <w:r>
        <w:rPr>
          <w:sz w:val="24"/>
          <w:szCs w:val="24"/>
        </w:rPr>
      </w:r>
    </w:p>
    <w:p>
      <w:pPr>
        <w:pStyle w:val="Normal"/>
        <w:spacing w:lineRule="auto" w:line="480"/>
        <w:rPr>
          <w:sz w:val="24"/>
          <w:szCs w:val="24"/>
        </w:rPr>
      </w:pPr>
      <w:r>
        <w:rPr/>
      </w:r>
    </w:p>
    <w:p>
      <w:pPr>
        <w:sectPr>
          <w:headerReference w:type="default" r:id="rId16"/>
          <w:footerReference w:type="default" r:id="rId17"/>
          <w:type w:val="nextPage"/>
          <w:pgSz w:orient="landscape" w:w="15840" w:h="12240"/>
          <w:pgMar w:left="864" w:right="2016" w:header="1440" w:top="1497" w:footer="0" w:bottom="1440" w:gutter="0"/>
          <w:lnNumType w:countBy="1" w:restart="continuous" w:distance="283"/>
          <w:pgNumType w:start="31" w:fmt="decimal"/>
          <w:formProt w:val="false"/>
          <w:textDirection w:val="lrTb"/>
          <w:docGrid w:type="default" w:linePitch="299" w:charSpace="45056"/>
        </w:sectPr>
        <w:pStyle w:val="Normal"/>
        <w:spacing w:lineRule="auto" w:line="480"/>
        <w:rPr>
          <w:sz w:val="24"/>
          <w:szCs w:val="24"/>
        </w:rPr>
      </w:pPr>
      <w:r>
        <w:rPr>
          <w:b/>
          <w:iCs/>
          <w:sz w:val="24"/>
          <w:szCs w:val="24"/>
        </w:rPr>
        <w:t>Table 4.</w:t>
      </w:r>
      <w:r>
        <w:rPr>
          <w:iCs/>
          <w:sz w:val="24"/>
          <w:szCs w:val="24"/>
        </w:rPr>
        <w:t xml:space="preserve"> ANOVA and likelihood ratio test statistics and probabilities for linear (mixed) models of block and treatment effects on annual basal area growth (m</w:t>
      </w:r>
      <w:r>
        <w:rPr>
          <w:iCs/>
          <w:sz w:val="24"/>
          <w:szCs w:val="24"/>
          <w:vertAlign w:val="superscript"/>
        </w:rPr>
        <w:t>2</w:t>
      </w:r>
      <w:r>
        <w:rPr>
          <w:iCs/>
          <w:sz w:val="24"/>
          <w:szCs w:val="24"/>
        </w:rPr>
        <w:t>ha</w:t>
      </w:r>
      <w:r>
        <w:rPr>
          <w:iCs/>
          <w:sz w:val="24"/>
          <w:szCs w:val="24"/>
          <w:vertAlign w:val="superscript"/>
        </w:rPr>
        <w:t>-1</w:t>
      </w:r>
      <w:r>
        <w:rPr>
          <w:iCs/>
          <w:sz w:val="24"/>
          <w:szCs w:val="24"/>
        </w:rPr>
        <w:t>year</w:t>
      </w:r>
      <w:r>
        <w:rPr>
          <w:iCs/>
          <w:sz w:val="24"/>
          <w:szCs w:val="24"/>
          <w:vertAlign w:val="superscript"/>
        </w:rPr>
        <w:t>-1</w:t>
      </w:r>
      <w:r>
        <w:rPr>
          <w:iCs/>
          <w:sz w:val="24"/>
          <w:szCs w:val="24"/>
        </w:rPr>
        <w:t>),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p>
    <w:p>
      <w:pPr>
        <w:pStyle w:val="Normal"/>
        <w:spacing w:lineRule="auto" w:line="480"/>
        <w:rPr>
          <w:b/>
          <w:b/>
          <w:sz w:val="28"/>
          <w:szCs w:val="28"/>
        </w:rPr>
      </w:pPr>
      <w:r>
        <w:rPr>
          <w:b/>
          <w:sz w:val="28"/>
          <w:szCs w:val="28"/>
        </w:rPr>
      </w:r>
    </w:p>
    <w:tbl>
      <w:tblPr>
        <w:tblW w:w="96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266"/>
        <w:gridCol w:w="432"/>
        <w:gridCol w:w="721"/>
        <w:gridCol w:w="719"/>
        <w:gridCol w:w="261"/>
        <w:gridCol w:w="489"/>
        <w:gridCol w:w="721"/>
        <w:gridCol w:w="719"/>
        <w:gridCol w:w="250"/>
        <w:gridCol w:w="434"/>
        <w:gridCol w:w="720"/>
        <w:gridCol w:w="720"/>
        <w:gridCol w:w="249"/>
        <w:gridCol w:w="490"/>
        <w:gridCol w:w="720"/>
        <w:gridCol w:w="717"/>
      </w:tblGrid>
      <w:tr>
        <w:trPr>
          <w:trHeight w:val="1050" w:hRule="atLeast"/>
        </w:trPr>
        <w:tc>
          <w:tcPr>
            <w:tcW w:w="1266" w:type="dxa"/>
            <w:tcBorders/>
            <w:shd w:color="auto" w:fill="auto" w:val="clear"/>
            <w:vAlign w:val="bottom"/>
          </w:tcPr>
          <w:p>
            <w:pPr>
              <w:pStyle w:val="Normal"/>
              <w:widowControl w:val="false"/>
              <w:suppressAutoHyphens w:val="false"/>
              <w:spacing w:lineRule="auto" w:line="24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tc>
        <w:tc>
          <w:tcPr>
            <w:tcW w:w="1872" w:type="dxa"/>
            <w:gridSpan w:val="3"/>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t>Annual BA       increment</w:t>
            </w:r>
          </w:p>
        </w:tc>
        <w:tc>
          <w:tcPr>
            <w:tcW w:w="261"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1929" w:type="dxa"/>
            <w:gridSpan w:val="3"/>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t>Annual total   mortality</w:t>
            </w:r>
          </w:p>
        </w:tc>
        <w:tc>
          <w:tcPr>
            <w:tcW w:w="250"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1874" w:type="dxa"/>
            <w:gridSpan w:val="3"/>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t>Annual LRR mortality</w:t>
            </w:r>
          </w:p>
        </w:tc>
        <w:tc>
          <w:tcPr>
            <w:tcW w:w="249"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1927" w:type="dxa"/>
            <w:gridSpan w:val="3"/>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t>Annual            suppression   mortality</w:t>
            </w:r>
          </w:p>
        </w:tc>
      </w:tr>
      <w:tr>
        <w:trPr>
          <w:trHeight w:val="290" w:hRule="atLeast"/>
        </w:trPr>
        <w:tc>
          <w:tcPr>
            <w:tcW w:w="1266" w:type="dxa"/>
            <w:tcBorders/>
            <w:shd w:color="auto" w:fill="auto" w:val="clear"/>
            <w:vAlign w:val="bottom"/>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432" w:type="dxa"/>
            <w:tcBorders/>
            <w:shd w:color="auto" w:fill="auto" w:val="clear"/>
            <w:vAlign w:val="bottom"/>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 </w:t>
            </w:r>
          </w:p>
        </w:tc>
        <w:tc>
          <w:tcPr>
            <w:tcW w:w="721"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Test</w:t>
            </w:r>
          </w:p>
        </w:tc>
        <w:tc>
          <w:tcPr>
            <w:tcW w:w="719"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261"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489"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1"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Test</w:t>
            </w:r>
          </w:p>
        </w:tc>
        <w:tc>
          <w:tcPr>
            <w:tcW w:w="719"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250"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34" w:type="dxa"/>
            <w:tcBorders/>
            <w:shd w:color="auto" w:fill="auto" w:val="clear"/>
            <w:vAlign w:val="bottom"/>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Test</w:t>
            </w:r>
          </w:p>
        </w:tc>
        <w:tc>
          <w:tcPr>
            <w:tcW w:w="720"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249"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90" w:type="dxa"/>
            <w:tcBorders/>
            <w:shd w:color="auto" w:fill="auto" w:val="clear"/>
            <w:vAlign w:val="bottom"/>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Test</w:t>
            </w:r>
          </w:p>
        </w:tc>
        <w:tc>
          <w:tcPr>
            <w:tcW w:w="717"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r>
      <w:tr>
        <w:trPr>
          <w:trHeight w:val="290" w:hRule="atLeast"/>
        </w:trPr>
        <w:tc>
          <w:tcPr>
            <w:tcW w:w="1266" w:type="dxa"/>
            <w:tcBorders>
              <w:bottom w:val="single" w:sz="4" w:space="0" w:color="000000"/>
            </w:tcBorders>
            <w:shd w:color="auto" w:fill="auto" w:val="clear"/>
            <w:vAlign w:val="bottom"/>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Source</w:t>
            </w:r>
          </w:p>
        </w:tc>
        <w:tc>
          <w:tcPr>
            <w:tcW w:w="432"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df</w:t>
            </w:r>
          </w:p>
        </w:tc>
        <w:tc>
          <w:tcPr>
            <w:tcW w:w="721"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stat*</w:t>
            </w:r>
          </w:p>
        </w:tc>
        <w:tc>
          <w:tcPr>
            <w:tcW w:w="719"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p</w:t>
            </w:r>
          </w:p>
        </w:tc>
        <w:tc>
          <w:tcPr>
            <w:tcW w:w="261"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489"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df</w:t>
            </w:r>
          </w:p>
        </w:tc>
        <w:tc>
          <w:tcPr>
            <w:tcW w:w="721"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stat*</w:t>
            </w:r>
          </w:p>
        </w:tc>
        <w:tc>
          <w:tcPr>
            <w:tcW w:w="719"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p</w:t>
            </w:r>
          </w:p>
        </w:tc>
        <w:tc>
          <w:tcPr>
            <w:tcW w:w="250" w:type="dxa"/>
            <w:tcBorders>
              <w:bottom w:val="single" w:sz="4" w:space="0" w:color="000000"/>
            </w:tcBorders>
            <w:shd w:color="auto" w:fill="auto" w:val="clear"/>
            <w:vAlign w:val="bottom"/>
          </w:tcPr>
          <w:p>
            <w:pPr>
              <w:pStyle w:val="Normal"/>
              <w:widowControl w:val="false"/>
              <w:suppressAutoHyphens w:val="false"/>
              <w:spacing w:lineRule="auto" w:line="240"/>
              <w:rPr>
                <w:rFonts w:ascii="Calibri" w:hAnsi="Calibri" w:eastAsia="Times New Roman" w:cs="Calibri"/>
                <w:color w:val="000000"/>
                <w:lang w:val="en-US"/>
              </w:rPr>
            </w:pPr>
            <w:r>
              <w:rPr>
                <w:rFonts w:eastAsia="Times New Roman" w:cs="Calibri" w:ascii="Calibri" w:hAnsi="Calibri"/>
                <w:color w:val="000000"/>
                <w:lang w:val="en-US"/>
              </w:rPr>
              <w:t> </w:t>
            </w:r>
          </w:p>
        </w:tc>
        <w:tc>
          <w:tcPr>
            <w:tcW w:w="434"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df</w:t>
            </w:r>
          </w:p>
        </w:tc>
        <w:tc>
          <w:tcPr>
            <w:tcW w:w="720"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stat*</w:t>
            </w:r>
          </w:p>
        </w:tc>
        <w:tc>
          <w:tcPr>
            <w:tcW w:w="720"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p</w:t>
            </w:r>
          </w:p>
        </w:tc>
        <w:tc>
          <w:tcPr>
            <w:tcW w:w="249" w:type="dxa"/>
            <w:tcBorders>
              <w:bottom w:val="single" w:sz="4" w:space="0" w:color="000000"/>
            </w:tcBorders>
            <w:shd w:color="auto" w:fill="auto" w:val="clear"/>
            <w:vAlign w:val="bottom"/>
          </w:tcPr>
          <w:p>
            <w:pPr>
              <w:pStyle w:val="Normal"/>
              <w:widowControl w:val="false"/>
              <w:suppressAutoHyphens w:val="false"/>
              <w:spacing w:lineRule="auto" w:line="240"/>
              <w:rPr>
                <w:rFonts w:ascii="Calibri" w:hAnsi="Calibri" w:eastAsia="Times New Roman" w:cs="Calibri"/>
                <w:color w:val="000000"/>
                <w:lang w:val="en-US"/>
              </w:rPr>
            </w:pPr>
            <w:r>
              <w:rPr>
                <w:rFonts w:eastAsia="Times New Roman" w:cs="Calibri" w:ascii="Calibri" w:hAnsi="Calibri"/>
                <w:color w:val="000000"/>
                <w:lang w:val="en-US"/>
              </w:rPr>
              <w:t> </w:t>
            </w:r>
          </w:p>
        </w:tc>
        <w:tc>
          <w:tcPr>
            <w:tcW w:w="490"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df</w:t>
            </w:r>
          </w:p>
        </w:tc>
        <w:tc>
          <w:tcPr>
            <w:tcW w:w="720"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stat*</w:t>
            </w:r>
          </w:p>
        </w:tc>
        <w:tc>
          <w:tcPr>
            <w:tcW w:w="717"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p</w:t>
            </w:r>
          </w:p>
        </w:tc>
      </w:tr>
      <w:tr>
        <w:trPr>
          <w:trHeight w:val="290" w:hRule="atLeast"/>
        </w:trPr>
        <w:tc>
          <w:tcPr>
            <w:tcW w:w="1266" w:type="dxa"/>
            <w:tcBorders/>
            <w:shd w:color="auto" w:fill="auto" w:val="clear"/>
            <w:vAlign w:val="bottom"/>
          </w:tcPr>
          <w:p>
            <w:pPr>
              <w:pStyle w:val="Normal"/>
              <w:widowControl w:val="false"/>
              <w:suppressAutoHyphens w:val="false"/>
              <w:spacing w:lineRule="auto" w:line="240"/>
              <w:rPr>
                <w:rFonts w:eastAsia="Times New Roman"/>
                <w:b/>
                <w:b/>
                <w:bCs/>
                <w:color w:val="000000"/>
                <w:lang w:val="en-US"/>
              </w:rPr>
            </w:pPr>
            <w:r>
              <w:rPr>
                <w:rFonts w:eastAsia="Times New Roman"/>
                <w:b/>
                <w:bCs/>
                <w:color w:val="000000"/>
                <w:lang w:val="en-US"/>
              </w:rPr>
              <w:t>EARLY</w:t>
            </w:r>
          </w:p>
        </w:tc>
        <w:tc>
          <w:tcPr>
            <w:tcW w:w="432" w:type="dxa"/>
            <w:tcBorders/>
            <w:shd w:color="auto" w:fill="auto" w:val="clear"/>
            <w:vAlign w:val="center"/>
          </w:tcPr>
          <w:p>
            <w:pPr>
              <w:pStyle w:val="Normal"/>
              <w:widowControl w:val="false"/>
              <w:suppressAutoHyphens w:val="false"/>
              <w:spacing w:lineRule="auto" w:line="240"/>
              <w:rPr>
                <w:rFonts w:eastAsia="Times New Roman"/>
                <w:b/>
                <w:b/>
                <w:bCs/>
                <w:color w:val="000000"/>
                <w:lang w:val="en-US"/>
              </w:rPr>
            </w:pPr>
            <w:r>
              <w:rPr>
                <w:rFonts w:eastAsia="Times New Roman"/>
                <w:b/>
                <w:bCs/>
                <w:color w:val="000000"/>
                <w:lang w:val="en-US"/>
              </w:rPr>
            </w:r>
          </w:p>
        </w:tc>
        <w:tc>
          <w:tcPr>
            <w:tcW w:w="72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6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8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50"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34" w:type="dxa"/>
            <w:tcBorders/>
            <w:shd w:color="auto" w:fill="auto" w:val="clear"/>
            <w:vAlign w:val="center"/>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49"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90" w:type="dxa"/>
            <w:tcBorders/>
            <w:shd w:color="auto" w:fill="auto" w:val="clear"/>
            <w:vAlign w:val="center"/>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7"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r>
      <w:tr>
        <w:trPr>
          <w:trHeight w:val="290" w:hRule="atLeast"/>
        </w:trPr>
        <w:tc>
          <w:tcPr>
            <w:tcW w:w="1266" w:type="dxa"/>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rPr>
              <w:t>Block</w:t>
            </w:r>
          </w:p>
        </w:tc>
        <w:tc>
          <w:tcPr>
            <w:tcW w:w="432"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w:t>
            </w:r>
          </w:p>
        </w:tc>
        <w:tc>
          <w:tcPr>
            <w:tcW w:w="72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1.112</w:t>
            </w:r>
          </w:p>
        </w:tc>
        <w:tc>
          <w:tcPr>
            <w:tcW w:w="71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0.292</w:t>
            </w:r>
          </w:p>
        </w:tc>
        <w:tc>
          <w:tcPr>
            <w:tcW w:w="26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48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c>
          <w:tcPr>
            <w:tcW w:w="72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c>
          <w:tcPr>
            <w:tcW w:w="71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c>
          <w:tcPr>
            <w:tcW w:w="250"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434"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6.492</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rPr>
              <w:t>0.011</w:t>
            </w:r>
          </w:p>
        </w:tc>
        <w:tc>
          <w:tcPr>
            <w:tcW w:w="249" w:type="dxa"/>
            <w:tcBorders/>
            <w:shd w:color="auto" w:fill="auto" w:val="clear"/>
            <w:vAlign w:val="bottom"/>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49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3.017</w:t>
            </w:r>
          </w:p>
        </w:tc>
        <w:tc>
          <w:tcPr>
            <w:tcW w:w="717"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0.082</w:t>
            </w:r>
          </w:p>
        </w:tc>
      </w:tr>
      <w:tr>
        <w:trPr>
          <w:trHeight w:val="290" w:hRule="atLeast"/>
        </w:trPr>
        <w:tc>
          <w:tcPr>
            <w:tcW w:w="1266" w:type="dxa"/>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Treatment</w:t>
            </w:r>
          </w:p>
        </w:tc>
        <w:tc>
          <w:tcPr>
            <w:tcW w:w="432" w:type="dxa"/>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r>
          </w:p>
        </w:tc>
        <w:tc>
          <w:tcPr>
            <w:tcW w:w="72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6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8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50"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34" w:type="dxa"/>
            <w:tcBorders/>
            <w:shd w:color="auto" w:fill="auto" w:val="clear"/>
            <w:vAlign w:val="center"/>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49"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90" w:type="dxa"/>
            <w:tcBorders/>
            <w:shd w:color="auto" w:fill="auto" w:val="clear"/>
            <w:vAlign w:val="center"/>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7"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r>
      <w:tr>
        <w:trPr>
          <w:trHeight w:val="290" w:hRule="atLeast"/>
        </w:trPr>
        <w:tc>
          <w:tcPr>
            <w:tcW w:w="1266" w:type="dxa"/>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(A, B, D, E)</w:t>
            </w:r>
          </w:p>
        </w:tc>
        <w:tc>
          <w:tcPr>
            <w:tcW w:w="432"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3</w:t>
            </w:r>
          </w:p>
        </w:tc>
        <w:tc>
          <w:tcPr>
            <w:tcW w:w="72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6.098</w:t>
            </w:r>
          </w:p>
        </w:tc>
        <w:tc>
          <w:tcPr>
            <w:tcW w:w="719"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rPr>
              <w:t>0.008</w:t>
            </w:r>
          </w:p>
        </w:tc>
        <w:tc>
          <w:tcPr>
            <w:tcW w:w="261"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48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3</w:t>
            </w:r>
          </w:p>
        </w:tc>
        <w:tc>
          <w:tcPr>
            <w:tcW w:w="72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3.71</w:t>
            </w:r>
          </w:p>
        </w:tc>
        <w:tc>
          <w:tcPr>
            <w:tcW w:w="719"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rPr>
              <w:t>0.037</w:t>
            </w:r>
          </w:p>
        </w:tc>
        <w:tc>
          <w:tcPr>
            <w:tcW w:w="250" w:type="dxa"/>
            <w:tcBorders/>
            <w:shd w:color="auto" w:fill="auto" w:val="clear"/>
            <w:vAlign w:val="bottom"/>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434"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3</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5.811</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rPr>
              <w:t>0.009</w:t>
            </w:r>
          </w:p>
        </w:tc>
        <w:tc>
          <w:tcPr>
            <w:tcW w:w="249" w:type="dxa"/>
            <w:tcBorders/>
            <w:shd w:color="auto" w:fill="auto" w:val="clear"/>
            <w:vAlign w:val="bottom"/>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49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3</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9.269</w:t>
            </w:r>
          </w:p>
        </w:tc>
        <w:tc>
          <w:tcPr>
            <w:tcW w:w="717"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rPr>
              <w:t>0.001</w:t>
            </w:r>
          </w:p>
        </w:tc>
      </w:tr>
      <w:tr>
        <w:trPr>
          <w:trHeight w:val="290" w:hRule="atLeast"/>
        </w:trPr>
        <w:tc>
          <w:tcPr>
            <w:tcW w:w="1266" w:type="dxa"/>
            <w:tcBorders>
              <w:bottom w:val="single" w:sz="4" w:space="0" w:color="000000"/>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Error</w:t>
            </w:r>
          </w:p>
        </w:tc>
        <w:tc>
          <w:tcPr>
            <w:tcW w:w="432"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13</w:t>
            </w:r>
          </w:p>
        </w:tc>
        <w:tc>
          <w:tcPr>
            <w:tcW w:w="721"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719"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261"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t> </w:t>
            </w:r>
          </w:p>
        </w:tc>
        <w:tc>
          <w:tcPr>
            <w:tcW w:w="489"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13</w:t>
            </w:r>
          </w:p>
        </w:tc>
        <w:tc>
          <w:tcPr>
            <w:tcW w:w="721"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719"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250" w:type="dxa"/>
            <w:tcBorders>
              <w:bottom w:val="single" w:sz="4" w:space="0" w:color="000000"/>
            </w:tcBorders>
            <w:shd w:color="auto" w:fill="auto" w:val="clear"/>
            <w:vAlign w:val="bottom"/>
          </w:tcPr>
          <w:p>
            <w:pPr>
              <w:pStyle w:val="Normal"/>
              <w:widowControl w:val="false"/>
              <w:suppressAutoHyphens w:val="false"/>
              <w:spacing w:lineRule="auto" w:line="240"/>
              <w:rPr>
                <w:rFonts w:ascii="Calibri" w:hAnsi="Calibri" w:eastAsia="Times New Roman" w:cs="Calibri"/>
                <w:color w:val="000000"/>
                <w:lang w:val="en-US"/>
              </w:rPr>
            </w:pPr>
            <w:r>
              <w:rPr>
                <w:rFonts w:eastAsia="Times New Roman" w:cs="Calibri" w:ascii="Calibri" w:hAnsi="Calibri"/>
                <w:color w:val="000000"/>
                <w:lang w:val="en-US"/>
              </w:rPr>
              <w:t> </w:t>
            </w:r>
          </w:p>
        </w:tc>
        <w:tc>
          <w:tcPr>
            <w:tcW w:w="434"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13</w:t>
            </w:r>
          </w:p>
        </w:tc>
        <w:tc>
          <w:tcPr>
            <w:tcW w:w="720"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720"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t> </w:t>
            </w:r>
          </w:p>
        </w:tc>
        <w:tc>
          <w:tcPr>
            <w:tcW w:w="249" w:type="dxa"/>
            <w:tcBorders>
              <w:bottom w:val="single" w:sz="4" w:space="0" w:color="000000"/>
            </w:tcBorders>
            <w:shd w:color="auto" w:fill="auto" w:val="clear"/>
            <w:vAlign w:val="bottom"/>
          </w:tcPr>
          <w:p>
            <w:pPr>
              <w:pStyle w:val="Normal"/>
              <w:widowControl w:val="false"/>
              <w:suppressAutoHyphens w:val="false"/>
              <w:spacing w:lineRule="auto" w:line="240"/>
              <w:rPr>
                <w:rFonts w:ascii="Calibri" w:hAnsi="Calibri" w:eastAsia="Times New Roman" w:cs="Calibri"/>
                <w:color w:val="000000"/>
                <w:lang w:val="en-US"/>
              </w:rPr>
            </w:pPr>
            <w:r>
              <w:rPr>
                <w:rFonts w:eastAsia="Times New Roman" w:cs="Calibri" w:ascii="Calibri" w:hAnsi="Calibri"/>
                <w:color w:val="000000"/>
                <w:lang w:val="en-US"/>
              </w:rPr>
              <w:t> </w:t>
            </w:r>
          </w:p>
        </w:tc>
        <w:tc>
          <w:tcPr>
            <w:tcW w:w="490"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13</w:t>
            </w:r>
          </w:p>
        </w:tc>
        <w:tc>
          <w:tcPr>
            <w:tcW w:w="720"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717"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r>
      <w:tr>
        <w:trPr>
          <w:trHeight w:val="290" w:hRule="atLeast"/>
        </w:trPr>
        <w:tc>
          <w:tcPr>
            <w:tcW w:w="1266" w:type="dxa"/>
            <w:tcBorders/>
            <w:shd w:color="auto" w:fill="auto" w:val="clear"/>
            <w:vAlign w:val="center"/>
          </w:tcPr>
          <w:p>
            <w:pPr>
              <w:pStyle w:val="Normal"/>
              <w:widowControl w:val="false"/>
              <w:suppressAutoHyphens w:val="false"/>
              <w:spacing w:lineRule="auto" w:line="240"/>
              <w:rPr>
                <w:rFonts w:eastAsia="Times New Roman"/>
                <w:b/>
                <w:b/>
                <w:bCs/>
                <w:color w:val="000000"/>
                <w:lang w:val="en-US"/>
              </w:rPr>
            </w:pPr>
            <w:r>
              <w:rPr>
                <w:rFonts w:eastAsia="Times New Roman"/>
                <w:b/>
                <w:bCs/>
                <w:color w:val="000000"/>
              </w:rPr>
              <w:t>MIDDLE</w:t>
            </w:r>
          </w:p>
        </w:tc>
        <w:tc>
          <w:tcPr>
            <w:tcW w:w="432" w:type="dxa"/>
            <w:tcBorders/>
            <w:shd w:color="auto" w:fill="auto" w:val="clear"/>
            <w:vAlign w:val="center"/>
          </w:tcPr>
          <w:p>
            <w:pPr>
              <w:pStyle w:val="Normal"/>
              <w:widowControl w:val="false"/>
              <w:suppressAutoHyphens w:val="false"/>
              <w:spacing w:lineRule="auto" w:line="240"/>
              <w:rPr>
                <w:rFonts w:eastAsia="Times New Roman"/>
                <w:b/>
                <w:b/>
                <w:bCs/>
                <w:color w:val="000000"/>
                <w:lang w:val="en-US"/>
              </w:rPr>
            </w:pPr>
            <w:r>
              <w:rPr>
                <w:rFonts w:eastAsia="Times New Roman"/>
                <w:b/>
                <w:bCs/>
                <w:color w:val="000000"/>
                <w:lang w:val="en-US"/>
              </w:rPr>
            </w:r>
          </w:p>
        </w:tc>
        <w:tc>
          <w:tcPr>
            <w:tcW w:w="72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6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8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50"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34" w:type="dxa"/>
            <w:tcBorders/>
            <w:shd w:color="auto" w:fill="auto" w:val="clear"/>
            <w:vAlign w:val="center"/>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49"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90" w:type="dxa"/>
            <w:tcBorders/>
            <w:shd w:color="auto" w:fill="auto" w:val="clear"/>
            <w:vAlign w:val="center"/>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7"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r>
      <w:tr>
        <w:trPr>
          <w:trHeight w:val="290" w:hRule="atLeast"/>
        </w:trPr>
        <w:tc>
          <w:tcPr>
            <w:tcW w:w="1266" w:type="dxa"/>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Block</w:t>
            </w:r>
          </w:p>
        </w:tc>
        <w:tc>
          <w:tcPr>
            <w:tcW w:w="432"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w:t>
            </w:r>
          </w:p>
        </w:tc>
        <w:tc>
          <w:tcPr>
            <w:tcW w:w="72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0.62</w:t>
            </w:r>
          </w:p>
        </w:tc>
        <w:tc>
          <w:tcPr>
            <w:tcW w:w="71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0.431</w:t>
            </w:r>
          </w:p>
        </w:tc>
        <w:tc>
          <w:tcPr>
            <w:tcW w:w="26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48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c>
          <w:tcPr>
            <w:tcW w:w="72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c>
          <w:tcPr>
            <w:tcW w:w="71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c>
          <w:tcPr>
            <w:tcW w:w="250"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434"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10.29</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rPr>
              <w:t>0.001</w:t>
            </w:r>
          </w:p>
        </w:tc>
        <w:tc>
          <w:tcPr>
            <w:tcW w:w="249" w:type="dxa"/>
            <w:tcBorders/>
            <w:shd w:color="auto" w:fill="auto" w:val="clear"/>
            <w:vAlign w:val="bottom"/>
          </w:tcPr>
          <w:p>
            <w:pPr>
              <w:pStyle w:val="Normal"/>
              <w:widowControl w:val="false"/>
              <w:suppressAutoHyphens w:val="false"/>
              <w:spacing w:lineRule="auto" w:line="240"/>
              <w:jc w:val="center"/>
              <w:rPr>
                <w:rFonts w:eastAsia="Times New Roman"/>
                <w:b/>
                <w:b/>
                <w:bCs/>
                <w:color w:val="000000"/>
                <w:lang w:val="en-US"/>
              </w:rPr>
            </w:pPr>
            <w:r>
              <w:rPr>
                <w:rFonts w:eastAsia="Times New Roman"/>
                <w:b/>
                <w:bCs/>
                <w:color w:val="000000"/>
                <w:lang w:val="en-US"/>
              </w:rPr>
            </w:r>
          </w:p>
        </w:tc>
        <w:tc>
          <w:tcPr>
            <w:tcW w:w="49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c>
          <w:tcPr>
            <w:tcW w:w="717"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NA</w:t>
            </w:r>
          </w:p>
        </w:tc>
      </w:tr>
      <w:tr>
        <w:trPr>
          <w:trHeight w:val="290" w:hRule="atLeast"/>
        </w:trPr>
        <w:tc>
          <w:tcPr>
            <w:tcW w:w="1266" w:type="dxa"/>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Treatment</w:t>
            </w:r>
          </w:p>
        </w:tc>
        <w:tc>
          <w:tcPr>
            <w:tcW w:w="432" w:type="dxa"/>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r>
          </w:p>
        </w:tc>
        <w:tc>
          <w:tcPr>
            <w:tcW w:w="72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6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8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1"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9"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50"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34" w:type="dxa"/>
            <w:tcBorders/>
            <w:shd w:color="auto" w:fill="auto" w:val="clear"/>
            <w:vAlign w:val="center"/>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49" w:type="dxa"/>
            <w:tcBorders/>
            <w:shd w:color="auto" w:fill="auto" w:val="clear"/>
            <w:vAlign w:val="bottom"/>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90" w:type="dxa"/>
            <w:tcBorders/>
            <w:shd w:color="auto" w:fill="auto" w:val="clear"/>
            <w:vAlign w:val="center"/>
          </w:tcPr>
          <w:p>
            <w:pPr>
              <w:pStyle w:val="Normal"/>
              <w:widowControl w:val="false"/>
              <w:suppressAutoHyphens w:val="false"/>
              <w:spacing w:lineRule="auto" w:line="24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20"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717" w:type="dxa"/>
            <w:tcBorders/>
            <w:shd w:color="auto" w:fill="auto" w:val="clear"/>
            <w:vAlign w:val="center"/>
          </w:tcPr>
          <w:p>
            <w:pPr>
              <w:pStyle w:val="Normal"/>
              <w:widowControl w:val="false"/>
              <w:suppressAutoHyphens w:val="false"/>
              <w:spacing w:lineRule="auto" w:line="240"/>
              <w:jc w:val="center"/>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r>
      <w:tr>
        <w:trPr>
          <w:trHeight w:val="290" w:hRule="atLeast"/>
        </w:trPr>
        <w:tc>
          <w:tcPr>
            <w:tcW w:w="1266" w:type="dxa"/>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(A, B, D, E)</w:t>
            </w:r>
          </w:p>
        </w:tc>
        <w:tc>
          <w:tcPr>
            <w:tcW w:w="432"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2</w:t>
            </w:r>
          </w:p>
        </w:tc>
        <w:tc>
          <w:tcPr>
            <w:tcW w:w="72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1.641</w:t>
            </w:r>
          </w:p>
        </w:tc>
        <w:tc>
          <w:tcPr>
            <w:tcW w:w="71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0.253</w:t>
            </w:r>
          </w:p>
        </w:tc>
        <w:tc>
          <w:tcPr>
            <w:tcW w:w="26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48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2</w:t>
            </w:r>
          </w:p>
        </w:tc>
        <w:tc>
          <w:tcPr>
            <w:tcW w:w="721"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2.113</w:t>
            </w:r>
          </w:p>
        </w:tc>
        <w:tc>
          <w:tcPr>
            <w:tcW w:w="719"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0.172</w:t>
            </w:r>
          </w:p>
        </w:tc>
        <w:tc>
          <w:tcPr>
            <w:tcW w:w="250"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434"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2</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1.969</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0.2</w:t>
            </w:r>
          </w:p>
        </w:tc>
        <w:tc>
          <w:tcPr>
            <w:tcW w:w="249" w:type="dxa"/>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r>
          </w:p>
        </w:tc>
        <w:tc>
          <w:tcPr>
            <w:tcW w:w="49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2</w:t>
            </w:r>
          </w:p>
        </w:tc>
        <w:tc>
          <w:tcPr>
            <w:tcW w:w="720"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2.107</w:t>
            </w:r>
          </w:p>
        </w:tc>
        <w:tc>
          <w:tcPr>
            <w:tcW w:w="717" w:type="dxa"/>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rPr>
              <w:t>0.172</w:t>
            </w:r>
          </w:p>
        </w:tc>
      </w:tr>
      <w:tr>
        <w:trPr>
          <w:trHeight w:val="290" w:hRule="atLeast"/>
        </w:trPr>
        <w:tc>
          <w:tcPr>
            <w:tcW w:w="1266" w:type="dxa"/>
            <w:tcBorders>
              <w:bottom w:val="single" w:sz="4" w:space="0" w:color="000000"/>
            </w:tcBorders>
            <w:shd w:color="auto" w:fill="auto" w:val="clear"/>
            <w:vAlign w:val="center"/>
          </w:tcPr>
          <w:p>
            <w:pPr>
              <w:pStyle w:val="Normal"/>
              <w:widowControl w:val="false"/>
              <w:suppressAutoHyphens w:val="false"/>
              <w:spacing w:lineRule="auto" w:line="240"/>
              <w:rPr>
                <w:rFonts w:eastAsia="Times New Roman"/>
                <w:color w:val="000000"/>
                <w:lang w:val="en-US"/>
              </w:rPr>
            </w:pPr>
            <w:r>
              <w:rPr>
                <w:rFonts w:eastAsia="Times New Roman"/>
                <w:color w:val="000000"/>
              </w:rPr>
              <w:t>Error</w:t>
            </w:r>
          </w:p>
        </w:tc>
        <w:tc>
          <w:tcPr>
            <w:tcW w:w="432"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8</w:t>
            </w:r>
          </w:p>
        </w:tc>
        <w:tc>
          <w:tcPr>
            <w:tcW w:w="721"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719"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261"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489"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10</w:t>
            </w:r>
          </w:p>
        </w:tc>
        <w:tc>
          <w:tcPr>
            <w:tcW w:w="721"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719"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250" w:type="dxa"/>
            <w:tcBorders>
              <w:bottom w:val="single" w:sz="4" w:space="0" w:color="000000"/>
            </w:tcBorders>
            <w:shd w:color="auto" w:fill="auto" w:val="clear"/>
            <w:vAlign w:val="bottom"/>
          </w:tcPr>
          <w:p>
            <w:pPr>
              <w:pStyle w:val="Normal"/>
              <w:widowControl w:val="false"/>
              <w:suppressAutoHyphens w:val="false"/>
              <w:spacing w:lineRule="auto" w:line="240"/>
              <w:rPr>
                <w:rFonts w:ascii="Calibri" w:hAnsi="Calibri" w:eastAsia="Times New Roman" w:cs="Calibri"/>
                <w:color w:val="000000"/>
                <w:lang w:val="en-US"/>
              </w:rPr>
            </w:pPr>
            <w:r>
              <w:rPr>
                <w:rFonts w:eastAsia="Times New Roman" w:cs="Calibri" w:ascii="Calibri" w:hAnsi="Calibri"/>
                <w:color w:val="000000"/>
                <w:lang w:val="en-US"/>
              </w:rPr>
              <w:t> </w:t>
            </w:r>
          </w:p>
        </w:tc>
        <w:tc>
          <w:tcPr>
            <w:tcW w:w="434" w:type="dxa"/>
            <w:tcBorders>
              <w:bottom w:val="single" w:sz="4" w:space="0" w:color="000000"/>
            </w:tcBorders>
            <w:shd w:color="auto" w:fill="auto" w:val="clear"/>
            <w:vAlign w:val="center"/>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8</w:t>
            </w:r>
          </w:p>
        </w:tc>
        <w:tc>
          <w:tcPr>
            <w:tcW w:w="720"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720"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 </w:t>
            </w:r>
          </w:p>
        </w:tc>
        <w:tc>
          <w:tcPr>
            <w:tcW w:w="249" w:type="dxa"/>
            <w:tcBorders>
              <w:bottom w:val="single" w:sz="4" w:space="0" w:color="000000"/>
            </w:tcBorders>
            <w:shd w:color="auto" w:fill="auto" w:val="clear"/>
            <w:vAlign w:val="bottom"/>
          </w:tcPr>
          <w:p>
            <w:pPr>
              <w:pStyle w:val="Normal"/>
              <w:widowControl w:val="false"/>
              <w:suppressAutoHyphens w:val="false"/>
              <w:spacing w:lineRule="auto" w:line="240"/>
              <w:rPr>
                <w:rFonts w:ascii="Calibri" w:hAnsi="Calibri" w:eastAsia="Times New Roman" w:cs="Calibri"/>
                <w:color w:val="000000"/>
                <w:lang w:val="en-US"/>
              </w:rPr>
            </w:pPr>
            <w:r>
              <w:rPr>
                <w:rFonts w:eastAsia="Times New Roman" w:cs="Calibri" w:ascii="Calibri" w:hAnsi="Calibri"/>
                <w:color w:val="000000"/>
                <w:lang w:val="en-US"/>
              </w:rPr>
              <w:t> </w:t>
            </w:r>
          </w:p>
        </w:tc>
        <w:tc>
          <w:tcPr>
            <w:tcW w:w="490" w:type="dxa"/>
            <w:tcBorders>
              <w:bottom w:val="single" w:sz="4" w:space="0" w:color="000000"/>
            </w:tcBorders>
            <w:shd w:color="auto" w:fill="auto" w:val="clear"/>
            <w:vAlign w:val="bottom"/>
          </w:tcPr>
          <w:p>
            <w:pPr>
              <w:pStyle w:val="Normal"/>
              <w:widowControl w:val="false"/>
              <w:suppressAutoHyphens w:val="false"/>
              <w:spacing w:lineRule="auto" w:line="240"/>
              <w:jc w:val="center"/>
              <w:rPr>
                <w:rFonts w:eastAsia="Times New Roman"/>
                <w:color w:val="000000"/>
                <w:lang w:val="en-US"/>
              </w:rPr>
            </w:pPr>
            <w:r>
              <w:rPr>
                <w:rFonts w:eastAsia="Times New Roman"/>
                <w:color w:val="000000"/>
                <w:lang w:val="en-US"/>
              </w:rPr>
              <w:t>10</w:t>
            </w:r>
          </w:p>
        </w:tc>
        <w:tc>
          <w:tcPr>
            <w:tcW w:w="720" w:type="dxa"/>
            <w:tcBorders>
              <w:bottom w:val="single" w:sz="4" w:space="0" w:color="000000"/>
            </w:tcBorders>
            <w:shd w:color="auto" w:fill="auto" w:val="clear"/>
            <w:vAlign w:val="bottom"/>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 </w:t>
            </w:r>
          </w:p>
        </w:tc>
        <w:tc>
          <w:tcPr>
            <w:tcW w:w="717" w:type="dxa"/>
            <w:tcBorders>
              <w:bottom w:val="single" w:sz="4" w:space="0" w:color="000000"/>
            </w:tcBorders>
            <w:shd w:color="auto" w:fill="auto" w:val="clear"/>
            <w:vAlign w:val="bottom"/>
          </w:tcPr>
          <w:p>
            <w:pPr>
              <w:pStyle w:val="Normal"/>
              <w:widowControl w:val="false"/>
              <w:suppressAutoHyphens w:val="false"/>
              <w:spacing w:lineRule="auto" w:line="240"/>
              <w:rPr>
                <w:rFonts w:eastAsia="Times New Roman"/>
                <w:color w:val="000000"/>
                <w:lang w:val="en-US"/>
              </w:rPr>
            </w:pPr>
            <w:r>
              <w:rPr>
                <w:rFonts w:eastAsia="Times New Roman"/>
                <w:color w:val="000000"/>
                <w:lang w:val="en-US"/>
              </w:rPr>
              <w:t> </w:t>
            </w:r>
          </w:p>
        </w:tc>
      </w:tr>
    </w:tbl>
    <w:p>
      <w:pPr>
        <w:pStyle w:val="Normal"/>
        <w:spacing w:lineRule="auto" w:line="480"/>
        <w:rPr>
          <w:b/>
          <w:b/>
          <w:sz w:val="28"/>
          <w:szCs w:val="28"/>
          <w:del w:id="1003" w:author="Shawn McMurtrey" w:date="2022-11-15T20:28:00Z"/>
        </w:rPr>
      </w:pPr>
      <w:del w:id="1002" w:author="Shawn McMurtrey" w:date="2022-11-15T20:28:00Z">
        <w:r>
          <w:rPr>
            <w:b/>
            <w:sz w:val="28"/>
            <w:szCs w:val="28"/>
          </w:rPr>
        </w:r>
      </w:del>
    </w:p>
    <w:p>
      <w:pPr>
        <w:pStyle w:val="Normal"/>
        <w:spacing w:lineRule="auto" w:line="480"/>
        <w:rPr>
          <w:b/>
          <w:b/>
          <w:sz w:val="28"/>
          <w:szCs w:val="28"/>
          <w:del w:id="1005" w:author="Shawn McMurtrey" w:date="2022-11-15T20:28:00Z"/>
        </w:rPr>
      </w:pPr>
      <w:del w:id="1004" w:author="Shawn McMurtrey" w:date="2022-11-15T20:28:00Z">
        <w:r>
          <w:rPr>
            <w:b/>
            <w:sz w:val="28"/>
            <w:szCs w:val="28"/>
          </w:rPr>
        </w:r>
      </w:del>
    </w:p>
    <w:p>
      <w:pPr>
        <w:pStyle w:val="Normal"/>
        <w:spacing w:lineRule="auto" w:line="480"/>
        <w:rPr>
          <w:b/>
          <w:b/>
          <w:sz w:val="28"/>
          <w:szCs w:val="28"/>
        </w:rPr>
      </w:pPr>
      <w:r>
        <w:rPr>
          <w:b/>
          <w:sz w:val="28"/>
          <w:szCs w:val="28"/>
        </w:rPr>
      </w:r>
    </w:p>
    <w:p>
      <w:pPr>
        <w:pStyle w:val="Normal"/>
        <w:spacing w:lineRule="auto" w:line="480"/>
        <w:rPr>
          <w:sz w:val="24"/>
          <w:szCs w:val="24"/>
        </w:rPr>
      </w:pPr>
      <w:r>
        <w:rPr>
          <w:b/>
          <w:sz w:val="24"/>
          <w:szCs w:val="24"/>
        </w:rPr>
        <w:t xml:space="preserve">4. Conclusions and discussion </w:t>
      </w:r>
    </w:p>
    <w:p>
      <w:pPr>
        <w:pStyle w:val="Normal"/>
        <w:spacing w:lineRule="auto" w:line="480"/>
        <w:ind w:hanging="0"/>
        <w:rPr>
          <w:sz w:val="24"/>
          <w:szCs w:val="24"/>
        </w:rPr>
      </w:pPr>
      <w:r>
        <w:rPr>
          <w:sz w:val="24"/>
          <w:szCs w:val="24"/>
        </w:rPr>
        <w:t>Five</w:t>
      </w:r>
      <w:r>
        <w:rPr>
          <w:sz w:val="24"/>
          <w:szCs w:val="24"/>
        </w:rPr>
        <w:t xml:space="preserve"> important conclusions can be drawn from these two studies: (i.) thinning </w:t>
      </w:r>
      <w:r>
        <w:rPr>
          <w:sz w:val="24"/>
          <w:szCs w:val="24"/>
        </w:rPr>
        <w:t xml:space="preserve">treatments </w:t>
      </w:r>
      <w:r>
        <w:rPr>
          <w:sz w:val="24"/>
          <w:szCs w:val="24"/>
        </w:rPr>
        <w:t xml:space="preserve">did not have a statistically significant </w:t>
      </w:r>
      <w:r>
        <w:rPr>
          <w:sz w:val="24"/>
          <w:szCs w:val="24"/>
        </w:rPr>
        <w:t>effect</w:t>
      </w:r>
      <w:r>
        <w:rPr>
          <w:sz w:val="24"/>
          <w:szCs w:val="24"/>
        </w:rPr>
        <w:t xml:space="preserve"> w</w:t>
      </w:r>
      <w:r>
        <w:rPr>
          <w:sz w:val="24"/>
          <w:szCs w:val="24"/>
        </w:rPr>
        <w:t>on</w:t>
      </w:r>
      <w:r>
        <w:rPr>
          <w:sz w:val="24"/>
          <w:szCs w:val="24"/>
        </w:rPr>
        <w:t xml:space="preserve"> tree mortality caused by </w:t>
      </w:r>
      <w:r>
        <w:rPr>
          <w:i/>
          <w:iCs/>
          <w:sz w:val="24"/>
          <w:szCs w:val="24"/>
        </w:rPr>
        <w:t>C. sulphurascens</w:t>
      </w:r>
      <w:r>
        <w:rPr>
          <w:sz w:val="24"/>
          <w:szCs w:val="24"/>
        </w:rPr>
        <w:t xml:space="preserve">; (ii.) </w:t>
      </w:r>
      <w:del w:id="1006" w:author="Shawn McMurtrey" w:date="2022-11-15T20:36:00Z">
        <w:r>
          <w:rPr>
            <w:sz w:val="24"/>
            <w:szCs w:val="24"/>
          </w:rPr>
          <w:delText xml:space="preserve">increased </w:delText>
        </w:r>
      </w:del>
      <w:r>
        <w:rPr>
          <w:sz w:val="24"/>
          <w:szCs w:val="24"/>
        </w:rPr>
        <w:t>thinning treatment did not have a statistically significant effect on annual basal area increment</w:t>
      </w:r>
      <w:r>
        <w:rPr>
          <w:sz w:val="24"/>
          <w:szCs w:val="24"/>
        </w:rPr>
        <w:t xml:space="preserve">; (iii.) the use of non-host rotations did not have a statistically significant effect on tree mortality caused by </w:t>
      </w:r>
      <w:r>
        <w:rPr>
          <w:i/>
          <w:iCs/>
          <w:sz w:val="24"/>
          <w:szCs w:val="24"/>
        </w:rPr>
        <w:t>C. sulphurascens</w:t>
      </w:r>
      <w:r>
        <w:rPr>
          <w:sz w:val="24"/>
          <w:szCs w:val="24"/>
        </w:rPr>
        <w:t xml:space="preserve"> (iv.) alternate host rotations w</w:t>
      </w:r>
      <w:ins w:id="1007" w:author="Shawn McMurtrey" w:date="2022-11-15T20:37:00Z">
        <w:r>
          <w:rPr>
            <w:sz w:val="24"/>
            <w:szCs w:val="24"/>
          </w:rPr>
          <w:t>ere</w:t>
        </w:r>
      </w:ins>
      <w:del w:id="1008" w:author="Shawn McMurtrey" w:date="2022-11-15T20:37:00Z">
        <w:r>
          <w:rPr>
            <w:sz w:val="24"/>
            <w:szCs w:val="24"/>
          </w:rPr>
          <w:delText>as</w:delText>
        </w:r>
      </w:del>
      <w:r>
        <w:rPr>
          <w:sz w:val="24"/>
          <w:szCs w:val="24"/>
        </w:rPr>
        <w:t xml:space="preserve"> not found to have a statistically significant effect on </w:t>
      </w:r>
      <w:del w:id="1009" w:author="Shawn McMurtrey" w:date="2022-11-15T20:38:00Z">
        <w:r>
          <w:rPr>
            <w:sz w:val="24"/>
            <w:szCs w:val="24"/>
          </w:rPr>
          <w:delText xml:space="preserve">increased </w:delText>
        </w:r>
      </w:del>
      <w:r>
        <w:rPr>
          <w:sz w:val="24"/>
          <w:szCs w:val="24"/>
        </w:rPr>
        <w:t>annual basal area increment; (v.) The western root disease model extension of the forest vegetation simiulator accurately models the effects of laminated root rot in mature forests with histories of high LRR incidence</w:t>
      </w:r>
      <w:r>
        <w:rPr>
          <w:sz w:val="24"/>
          <w:szCs w:val="24"/>
        </w:rPr>
        <w:t xml:space="preserve">. The results of these two studies suggest that thinning treatments or alternate host rotations </w:t>
      </w:r>
      <w:r>
        <w:rPr>
          <w:sz w:val="24"/>
          <w:szCs w:val="24"/>
        </w:rPr>
        <w:t xml:space="preserve">used for other silvicultural objectives may not have a strong impact on LRR disease progression at the time-scales measured in this study. </w:t>
      </w:r>
    </w:p>
    <w:p>
      <w:pPr>
        <w:pStyle w:val="Normal"/>
        <w:spacing w:lineRule="auto" w:line="480"/>
        <w:rPr>
          <w:b/>
          <w:b/>
          <w:sz w:val="24"/>
          <w:szCs w:val="24"/>
        </w:rPr>
      </w:pPr>
      <w:r>
        <w:rPr>
          <w:b/>
          <w:sz w:val="24"/>
          <w:szCs w:val="24"/>
        </w:rPr>
      </w:r>
    </w:p>
    <w:p>
      <w:pPr>
        <w:pStyle w:val="Normal"/>
        <w:spacing w:lineRule="auto" w:line="480"/>
        <w:rPr>
          <w:b/>
          <w:b/>
          <w:sz w:val="24"/>
          <w:szCs w:val="24"/>
        </w:rPr>
      </w:pPr>
      <w:r>
        <w:rPr>
          <w:b/>
          <w:sz w:val="24"/>
          <w:szCs w:val="24"/>
        </w:rPr>
        <w:t>4.1 Thinning study, cumulative proportional mortality to LRR</w:t>
      </w:r>
    </w:p>
    <w:p>
      <w:pPr>
        <w:pStyle w:val="Normal"/>
        <w:spacing w:lineRule="auto" w:line="480"/>
        <w:ind w:hanging="0"/>
        <w:rPr>
          <w:sz w:val="24"/>
          <w:szCs w:val="24"/>
        </w:rPr>
      </w:pPr>
      <w:r>
        <w:rPr>
          <w:sz w:val="24"/>
          <w:szCs w:val="24"/>
        </w:rPr>
        <w:t xml:space="preserve">The one-way analysis of variance showed no significant of effect of treatment on (arcsine square root transformed) proportion of mortality (F2,12 = 0.484, p = 0.628). There was also no significance found when the two thinned treatment areas were combined and compared against the control stands (F1,13 = 0.295, p = 0.596). Within the two-way analysis of variance, no significant was found from tree mortality induced by C. sulphurascens across treatment areas (Table 2). </w:t>
      </w:r>
    </w:p>
    <w:p>
      <w:pPr>
        <w:pStyle w:val="Normal"/>
        <w:spacing w:lineRule="auto" w:line="480"/>
        <w:ind w:firstLine="720"/>
        <w:rPr>
          <w:sz w:val="24"/>
          <w:szCs w:val="24"/>
        </w:rPr>
      </w:pPr>
      <w:r>
        <w:rPr>
          <w:sz w:val="24"/>
          <w:szCs w:val="24"/>
        </w:rPr>
        <w:t xml:space="preserve">The results of the Woods Creek study showed that the </w:t>
      </w:r>
      <w:r>
        <w:rPr>
          <w:bCs/>
          <w:sz w:val="24"/>
          <w:szCs w:val="24"/>
        </w:rPr>
        <w:t>cumulative</w:t>
      </w:r>
      <w:r>
        <w:rPr>
          <w:b/>
          <w:sz w:val="24"/>
          <w:szCs w:val="24"/>
        </w:rPr>
        <w:t xml:space="preserve"> </w:t>
      </w:r>
      <w:r>
        <w:rPr>
          <w:bCs/>
          <w:sz w:val="24"/>
          <w:szCs w:val="24"/>
        </w:rPr>
        <w:t xml:space="preserve">proportion </w:t>
      </w:r>
      <w:r>
        <w:rPr>
          <w:sz w:val="24"/>
          <w:szCs w:val="24"/>
        </w:rPr>
        <w:t xml:space="preserve">of mortality from </w:t>
      </w:r>
      <w:r>
        <w:rPr>
          <w:i/>
          <w:iCs/>
          <w:sz w:val="24"/>
          <w:szCs w:val="24"/>
        </w:rPr>
        <w:t>C. sulphurascens</w:t>
      </w:r>
      <w:r>
        <w:rPr>
          <w:sz w:val="24"/>
          <w:szCs w:val="24"/>
        </w:rPr>
        <w:t xml:space="preserve"> was found to be higher in thinned stands when compared to stands where no thinning occurred. This is consistent with other studies that have shown</w:t>
      </w:r>
      <w:r>
        <w:rPr>
          <w:rFonts w:ascii="Roboto" w:hAnsi="Roboto"/>
          <w:color w:val="000000"/>
          <w:sz w:val="21"/>
          <w:szCs w:val="21"/>
          <w:shd w:fill="FFFFFF" w:val="clear"/>
        </w:rPr>
        <w:t> </w:t>
      </w:r>
      <w:r>
        <w:rPr>
          <w:sz w:val="24"/>
          <w:szCs w:val="24"/>
        </w:rPr>
        <w:t xml:space="preserve">that </w:t>
      </w:r>
      <w:r>
        <w:rPr>
          <w:color w:val="000000"/>
          <w:sz w:val="24"/>
          <w:szCs w:val="24"/>
          <w:shd w:fill="FFFFFF" w:val="clear"/>
        </w:rPr>
        <w:t>c</w:t>
      </w:r>
      <w:r>
        <w:rPr>
          <w:sz w:val="24"/>
          <w:szCs w:val="24"/>
        </w:rPr>
        <w:t>hanges within forest structure from timber harvesting often increases root disease activity (</w:t>
      </w:r>
      <w:r>
        <w:rPr>
          <w:rFonts w:eastAsia="Times New Roman"/>
          <w:sz w:val="24"/>
          <w:szCs w:val="24"/>
        </w:rPr>
        <w:t>Cleary et al.2013; Fairweather et al.2006; Morrison et al.1991</w:t>
      </w:r>
      <w:r>
        <w:rPr>
          <w:sz w:val="24"/>
          <w:szCs w:val="24"/>
        </w:rPr>
        <w:t>). Additionally, s</w:t>
      </w:r>
      <w:r>
        <w:rPr>
          <w:color w:val="000000"/>
          <w:sz w:val="24"/>
          <w:szCs w:val="24"/>
          <w:shd w:fill="FFFFFF" w:val="clear"/>
        </w:rPr>
        <w:t xml:space="preserve">elective logging and changes in forest landscapes that have occurred from fire suppression efforts, often lead to an increase in host tree species that are more prone to root disease </w:t>
      </w:r>
      <w:r>
        <w:rPr>
          <w:sz w:val="24"/>
          <w:szCs w:val="24"/>
        </w:rPr>
        <w:t>(</w:t>
      </w:r>
      <w:r>
        <w:rPr>
          <w:rFonts w:eastAsia="Times New Roman"/>
          <w:sz w:val="24"/>
          <w:szCs w:val="24"/>
        </w:rPr>
        <w:t>Fairweather et al. 2006</w:t>
      </w:r>
      <w:r>
        <w:rPr>
          <w:sz w:val="24"/>
          <w:szCs w:val="24"/>
        </w:rPr>
        <w:t xml:space="preserve">). </w:t>
      </w:r>
    </w:p>
    <w:p>
      <w:pPr>
        <w:pStyle w:val="Normal"/>
        <w:spacing w:lineRule="auto" w:line="480"/>
        <w:ind w:hanging="0"/>
        <w:rPr>
          <w:sz w:val="24"/>
          <w:szCs w:val="24"/>
        </w:rPr>
      </w:pPr>
      <w:r>
        <w:rPr>
          <w:sz w:val="24"/>
          <w:szCs w:val="24"/>
        </w:rPr>
        <w:tab/>
        <w:t xml:space="preserve">At the beginning of the study Douglas-fir trees accounted for 82% of all live trees. By the conclusion of the study this percentage had been reduced to 77% (Table X). Of the ~20% of species that were not Douglas-fir, there were seven trees that were recorded as having mortality from LRR. This included six western hemlock and 1 western red cedar. The reported western red cedar is a curious result as western red cedar has been shown to be resistant to </w:t>
      </w:r>
      <w:r>
        <w:rPr>
          <w:i/>
          <w:iCs/>
          <w:sz w:val="24"/>
          <w:szCs w:val="24"/>
        </w:rPr>
        <w:t>C. sulphurascens</w:t>
      </w:r>
      <w:r>
        <w:rPr>
          <w:sz w:val="24"/>
          <w:szCs w:val="24"/>
        </w:rPr>
        <w:t xml:space="preserve"> (Lim et al.2005). Western red cedar is however highly susceptible to the closely related </w:t>
      </w:r>
      <w:r>
        <w:rPr>
          <w:i/>
          <w:iCs/>
          <w:sz w:val="24"/>
          <w:szCs w:val="24"/>
        </w:rPr>
        <w:t>Coniferiporia weirii</w:t>
      </w:r>
      <w:r>
        <w:rPr>
          <w:sz w:val="24"/>
          <w:szCs w:val="24"/>
        </w:rPr>
        <w:t xml:space="preserve"> (McMurtrey et al. 2022; Lim et al. 2005). The Woods Creek study area is beyond the range that </w:t>
      </w:r>
      <w:r>
        <w:rPr>
          <w:i/>
          <w:iCs/>
          <w:sz w:val="24"/>
          <w:szCs w:val="24"/>
        </w:rPr>
        <w:t>C. weirii</w:t>
      </w:r>
      <w:r>
        <w:rPr>
          <w:sz w:val="24"/>
          <w:szCs w:val="24"/>
        </w:rPr>
        <w:t xml:space="preserve"> has been reported at, despite the main host species being present and the habitat being suitable for </w:t>
      </w:r>
      <w:r>
        <w:rPr>
          <w:i/>
          <w:iCs/>
          <w:sz w:val="24"/>
          <w:szCs w:val="24"/>
        </w:rPr>
        <w:t>C. weirii</w:t>
      </w:r>
      <w:r>
        <w:rPr>
          <w:sz w:val="24"/>
          <w:szCs w:val="24"/>
        </w:rPr>
        <w:t xml:space="preserve"> survival.  </w:t>
      </w:r>
    </w:p>
    <w:p>
      <w:pPr>
        <w:pStyle w:val="Normal"/>
        <w:spacing w:lineRule="auto" w:line="480"/>
        <w:ind w:firstLine="720"/>
        <w:rPr>
          <w:sz w:val="24"/>
          <w:szCs w:val="24"/>
        </w:rPr>
      </w:pPr>
      <w:r>
        <w:rPr>
          <w:sz w:val="24"/>
          <w:szCs w:val="24"/>
        </w:rPr>
        <w:t xml:space="preserve">The impact that </w:t>
      </w:r>
      <w:r>
        <w:rPr>
          <w:i/>
          <w:iCs/>
          <w:sz w:val="24"/>
          <w:szCs w:val="24"/>
        </w:rPr>
        <w:t xml:space="preserve">C. sulphurascens </w:t>
      </w:r>
      <w:r>
        <w:rPr>
          <w:sz w:val="24"/>
          <w:szCs w:val="24"/>
        </w:rPr>
        <w:t>had on overall growth and yield could not be reliably concluded without records of the salvage operations. If the thinning treatment was a commercial thin, it likely would have resulted in higher overall timber production. Timber would be harvest between 1985 and 1990 and the thinned areas had a higher percentage of growth and yield by 2020 when compared to the control.</w:t>
      </w:r>
    </w:p>
    <w:p>
      <w:pPr>
        <w:pStyle w:val="Normal"/>
        <w:spacing w:lineRule="auto" w:line="480"/>
        <w:ind w:hanging="0"/>
        <w:rPr>
          <w:sz w:val="24"/>
          <w:szCs w:val="24"/>
        </w:rPr>
      </w:pPr>
      <w:r>
        <w:rPr>
          <w:sz w:val="24"/>
          <w:szCs w:val="24"/>
        </w:rPr>
      </w:r>
    </w:p>
    <w:p>
      <w:pPr>
        <w:pStyle w:val="Normal"/>
        <w:spacing w:lineRule="auto" w:line="480"/>
        <w:ind w:hanging="0"/>
        <w:rPr>
          <w:b/>
          <w:b/>
          <w:sz w:val="24"/>
          <w:szCs w:val="24"/>
        </w:rPr>
      </w:pPr>
      <w:r>
        <w:rPr>
          <w:b/>
          <w:sz w:val="24"/>
          <w:szCs w:val="24"/>
        </w:rPr>
        <w:t>4.</w:t>
      </w:r>
      <w:r>
        <w:rPr>
          <w:b/>
          <w:sz w:val="24"/>
          <w:szCs w:val="24"/>
        </w:rPr>
        <w:t>2</w:t>
      </w:r>
      <w:r>
        <w:rPr>
          <w:b/>
          <w:sz w:val="24"/>
          <w:szCs w:val="24"/>
        </w:rPr>
        <w:t xml:space="preserve"> Thinning study, </w:t>
      </w:r>
      <w:r>
        <w:rPr>
          <w:b/>
          <w:sz w:val="24"/>
          <w:szCs w:val="24"/>
        </w:rPr>
        <w:t>basal area and basal area increment</w:t>
      </w:r>
    </w:p>
    <w:p>
      <w:pPr>
        <w:pStyle w:val="Normal"/>
        <w:spacing w:lineRule="auto" w:line="480"/>
        <w:ind w:hanging="0"/>
        <w:rPr>
          <w:sz w:val="24"/>
          <w:szCs w:val="24"/>
        </w:rPr>
      </w:pPr>
      <w:r>
        <w:rPr>
          <w:sz w:val="24"/>
          <w:szCs w:val="24"/>
        </w:rPr>
        <w:t xml:space="preserve">The thinning treatments appear to be fundamentally different in regards to the size of the trees that were removed as well as the total basal area remaining. Due to lack of salvage records or detailed information about the nature of the thinning, it is difficult to explain the lack of an expected thinning effect on basal area increment. It is possible that differences in stand age structure and spatial distribution of trees altered the dynamics of growth in the stands, indedpendent of effects on laminated root rot incidence and mortality. </w:t>
      </w:r>
      <w:r>
        <w:rPr>
          <w:sz w:val="24"/>
          <w:szCs w:val="24"/>
        </w:rPr>
        <w:t xml:space="preserve">The block-to-block variation in total basal area, trees per acre, and QMD was very high for the “light thin” treatment., while it was more consistent for the “unthinned” and “thin” treatments. </w:t>
      </w:r>
      <w:r>
        <w:rPr>
          <w:sz w:val="24"/>
          <w:szCs w:val="24"/>
        </w:rPr>
        <w:t xml:space="preserve">When looking at all stands together, the expected negative relationship between starting basal area and basal area increment was observed.  </w:t>
      </w:r>
      <w:r>
        <w:rPr>
          <w:sz w:val="24"/>
          <w:szCs w:val="24"/>
        </w:rPr>
        <w:t xml:space="preserve">Overall we found no evidence to support that thinning decreased incidence or mortatily of LRR. We did not observe the expected positive basal area growth impact of thinning seen in other studies </w:t>
      </w:r>
      <w:r>
        <w:rPr>
          <w:sz w:val="24"/>
          <w:szCs w:val="24"/>
        </w:rPr>
        <w:t>(Berg 1978, Lawson 1983)</w:t>
      </w:r>
      <w:r>
        <w:rPr>
          <w:sz w:val="24"/>
          <w:szCs w:val="24"/>
        </w:rPr>
        <w:t>.</w:t>
      </w:r>
    </w:p>
    <w:p>
      <w:pPr>
        <w:pStyle w:val="Normal"/>
        <w:spacing w:lineRule="auto" w:line="480"/>
        <w:ind w:firstLine="720"/>
        <w:rPr>
          <w:sz w:val="24"/>
          <w:szCs w:val="24"/>
        </w:rPr>
      </w:pPr>
      <w:r>
        <w:rPr>
          <w:sz w:val="24"/>
          <w:szCs w:val="24"/>
        </w:rPr>
      </w:r>
    </w:p>
    <w:p>
      <w:pPr>
        <w:pStyle w:val="Normal"/>
        <w:spacing w:lineRule="auto" w:line="480"/>
        <w:rPr>
          <w:b/>
          <w:b/>
          <w:sz w:val="24"/>
          <w:szCs w:val="24"/>
        </w:rPr>
      </w:pPr>
      <w:r>
        <w:rPr>
          <w:b/>
          <w:sz w:val="24"/>
          <w:szCs w:val="24"/>
        </w:rPr>
        <w:t>4.</w:t>
      </w:r>
      <w:r>
        <w:rPr>
          <w:b/>
          <w:sz w:val="24"/>
          <w:szCs w:val="24"/>
        </w:rPr>
        <w:t>3</w:t>
      </w:r>
      <w:r>
        <w:rPr>
          <w:b/>
          <w:sz w:val="24"/>
          <w:szCs w:val="24"/>
        </w:rPr>
        <w:t xml:space="preserve"> Alternate host Study, Cumulative proportional mortality to LRR</w:t>
      </w:r>
    </w:p>
    <w:p>
      <w:pPr>
        <w:pStyle w:val="Normal"/>
        <w:spacing w:lineRule="auto" w:line="480"/>
        <w:ind w:hanging="0"/>
        <w:rPr>
          <w:sz w:val="24"/>
          <w:szCs w:val="24"/>
        </w:rPr>
      </w:pPr>
      <w:r>
        <w:rPr>
          <w:sz w:val="24"/>
          <w:szCs w:val="24"/>
        </w:rPr>
        <w:t xml:space="preserve">The Apiary hardwood rotation study illustrated a challenge associated with forest management, which is potential tradeoffs between effectiveness and cost of interventions. Several plots of the hardwood rotation treatments experience high levels of hardwood resprouting following harvest and establishment of Douglas-fir seedlings.  Periodic mechanical and chemical removal of these resprouts was required and even these interventions did not completely control all suppressive effects of the hardwood resprouts.  So, while hardwood rotation sometimes resulted in modest reduction of Douglas-fir mortality caused by laminated root rot in this study, it was accompanied by Douglas-fir mortality resulting from suppression. Additionally, trees that are most resistance to </w:t>
      </w:r>
      <w:r>
        <w:rPr>
          <w:i/>
          <w:iCs/>
          <w:sz w:val="24"/>
          <w:szCs w:val="24"/>
        </w:rPr>
        <w:t>C. sulphurascens</w:t>
      </w:r>
      <w:r>
        <w:rPr>
          <w:sz w:val="24"/>
          <w:szCs w:val="24"/>
        </w:rPr>
        <w:t xml:space="preserve"> such as hardwoods, pines, and western redcedar are often not viable alternatives for stands in this region in terms of adaptability and value (Trappe 1972).</w:t>
      </w:r>
    </w:p>
    <w:p>
      <w:pPr>
        <w:pStyle w:val="Normal"/>
        <w:spacing w:lineRule="auto" w:line="480"/>
        <w:ind w:firstLine="720"/>
        <w:rPr>
          <w:sz w:val="24"/>
          <w:szCs w:val="24"/>
        </w:rPr>
      </w:pPr>
      <w:r>
        <w:rPr>
          <w:sz w:val="24"/>
          <w:szCs w:val="24"/>
        </w:rPr>
        <w:t>In the late measurement period of this study (36–45-year-old Douglas-fir) the rates of mortality and basal area were diverging across blocks, with the highest initial incidence blocks suffering the greatest losses. Also, the rotation treatments were not allowed to reach this level of maturity. It is possible that rotation effects on basal area and LRR mortality may have been more pronounced if the slow-developing disease had been observed for a longer time. Together, these observations suggest that hardwood rotations for short rotation forestry (&lt;40 years) may not be recommended, given potential costs associated with vegetation management, and the delayed expression of the disease. This comes with the caveat that the effect of heart and but rot on merchantable timber in this study could not be determined and may be significant.</w:t>
      </w:r>
    </w:p>
    <w:p>
      <w:pPr>
        <w:pStyle w:val="Normal"/>
        <w:spacing w:lineRule="auto" w:line="480"/>
        <w:ind w:firstLine="720"/>
        <w:rPr>
          <w:sz w:val="24"/>
          <w:szCs w:val="24"/>
        </w:rPr>
      </w:pPr>
      <w:r>
        <w:rPr>
          <w:sz w:val="24"/>
          <w:szCs w:val="24"/>
        </w:rPr>
      </w:r>
    </w:p>
    <w:p>
      <w:pPr>
        <w:pStyle w:val="Normal"/>
        <w:spacing w:lineRule="auto" w:line="480"/>
        <w:rPr>
          <w:sz w:val="24"/>
          <w:szCs w:val="24"/>
          <w:vertAlign w:val="subscript"/>
        </w:rPr>
      </w:pPr>
      <w:r>
        <w:rPr>
          <w:b/>
          <w:sz w:val="24"/>
          <w:szCs w:val="24"/>
        </w:rPr>
        <w:t>4.</w:t>
      </w:r>
      <w:r>
        <w:rPr>
          <w:b/>
          <w:sz w:val="24"/>
          <w:szCs w:val="24"/>
        </w:rPr>
        <w:t>4</w:t>
      </w:r>
      <w:r>
        <w:rPr>
          <w:b/>
          <w:sz w:val="24"/>
          <w:szCs w:val="24"/>
        </w:rPr>
        <w:t xml:space="preserve"> Forest vegetation simulator </w:t>
      </w:r>
    </w:p>
    <w:p>
      <w:pPr>
        <w:pStyle w:val="Normal"/>
        <w:spacing w:lineRule="auto" w:line="480"/>
        <w:ind w:hanging="0"/>
        <w:rPr>
          <w:sz w:val="24"/>
          <w:szCs w:val="24"/>
        </w:rPr>
      </w:pPr>
      <w:r>
        <w:rPr>
          <w:sz w:val="24"/>
          <w:szCs w:val="24"/>
        </w:rPr>
        <w:t>Woods Creek modelled predictions</w:t>
      </w:r>
      <w:r>
        <w:rPr/>
        <w:t xml:space="preserve"> were more highly correlated with the measured changes when the </w:t>
      </w:r>
      <w:r>
        <w:rPr>
          <w:sz w:val="24"/>
          <w:szCs w:val="24"/>
        </w:rPr>
        <w:t>WRDM was used along with the FVS model. Using the FVS model alone tended to underpredict the impact of LRR. This in turn caused an overprediction of growth and yield for the stands. This finding was consistent with the findings from Maffei et al.2008.</w:t>
      </w:r>
      <w:r>
        <w:rPr>
          <w:rFonts w:eastAsia="Times New Roman"/>
          <w:sz w:val="24"/>
          <w:szCs w:val="24"/>
        </w:rPr>
        <w:t xml:space="preserve"> It</w:t>
      </w:r>
      <w:r>
        <w:rPr/>
        <w:t xml:space="preserve"> </w:t>
      </w:r>
      <w:r>
        <w:rPr>
          <w:sz w:val="24"/>
          <w:szCs w:val="24"/>
        </w:rPr>
        <w:t>is worth noting that accuracy would likely continue to decrease over longer time periods. The time span of 30 years is arguably a relatively short time in terms of a timber rotations and forest ecosystems. Varying results are also expected to occur dependent upon more or less stringent root disease settings used to initialize the WRDM (i.e., hectares of root disease area or number of infected trees). It should also be taken into consideration that larger stand sizes might decrease the accuracy of the models.</w:t>
      </w:r>
    </w:p>
    <w:p>
      <w:pPr>
        <w:pStyle w:val="Normal"/>
        <w:tabs>
          <w:tab w:val="clear" w:pos="720"/>
          <w:tab w:val="left" w:pos="2520" w:leader="none"/>
        </w:tabs>
        <w:spacing w:lineRule="auto" w:line="480"/>
        <w:ind w:firstLine="720"/>
        <w:rPr>
          <w:sz w:val="24"/>
          <w:szCs w:val="24"/>
        </w:rPr>
      </w:pPr>
      <w:r>
        <w:rPr>
          <w:sz w:val="24"/>
          <w:szCs w:val="24"/>
        </w:rPr>
        <w:t xml:space="preserve">The results from the WRDM within the Woods Creek study produced the most optimistic results. There have been other studies conducted that have analyzed different forest models that have similarly predicted relatively optimistic trends (Canavan and Ramm 2000; Woods and Watts 2019). The Apiary modelled forecasts did not show a strong correlation with measured changes. It should be noted that the seed source was unknown for the Apiary site and that this could have influenced growth and yield at the site. Additionally, models don’t always account for amounts of inoculum within the soil, rate of disease spread, or expected tree loss. There are also many alternate compounding variables that influence forest health, disease spread, such as temperature, soil moisture, and pH levels (Lattin 1998; Angwin 1985; Hansen et al.1983). These variables have not been adequately accounted for within this study. Further reproducible studies are needed to better understand FVS and WRDM calibrations, and to assist with refining parameterization and initializing the models for similar forest stands (Maffei et al.2008).  </w:t>
      </w:r>
    </w:p>
    <w:p>
      <w:pPr>
        <w:pStyle w:val="Normal"/>
        <w:tabs>
          <w:tab w:val="clear" w:pos="720"/>
          <w:tab w:val="left" w:pos="2520" w:leader="none"/>
        </w:tabs>
        <w:spacing w:lineRule="auto" w:line="480"/>
        <w:ind w:firstLine="720"/>
        <w:rPr>
          <w:sz w:val="24"/>
          <w:szCs w:val="24"/>
        </w:rPr>
      </w:pPr>
      <w:r>
        <w:rPr>
          <w:sz w:val="24"/>
          <w:szCs w:val="24"/>
        </w:rPr>
      </w:r>
    </w:p>
    <w:p>
      <w:pPr>
        <w:pStyle w:val="Normal"/>
        <w:tabs>
          <w:tab w:val="clear" w:pos="720"/>
          <w:tab w:val="left" w:pos="2520" w:leader="none"/>
        </w:tabs>
        <w:spacing w:lineRule="auto" w:line="480"/>
        <w:rPr>
          <w:b/>
          <w:b/>
          <w:bCs/>
          <w:sz w:val="24"/>
          <w:szCs w:val="24"/>
        </w:rPr>
      </w:pPr>
      <w:r>
        <w:rPr>
          <w:b/>
          <w:bCs/>
          <w:sz w:val="24"/>
          <w:szCs w:val="24"/>
        </w:rPr>
        <w:t>4.</w:t>
      </w:r>
      <w:r>
        <w:rPr>
          <w:b/>
          <w:bCs/>
          <w:sz w:val="24"/>
          <w:szCs w:val="24"/>
        </w:rPr>
        <w:t>5</w:t>
      </w:r>
      <w:r>
        <w:rPr>
          <w:b/>
          <w:bCs/>
          <w:sz w:val="24"/>
          <w:szCs w:val="24"/>
        </w:rPr>
        <w:t xml:space="preserve"> Management Strategies for LRR</w:t>
      </w:r>
    </w:p>
    <w:p>
      <w:pPr>
        <w:pStyle w:val="Normal"/>
        <w:spacing w:lineRule="auto" w:line="480"/>
        <w:ind w:hanging="0"/>
        <w:rPr>
          <w:sz w:val="24"/>
          <w:szCs w:val="24"/>
        </w:rPr>
      </w:pPr>
      <w:r>
        <w:rPr>
          <w:sz w:val="24"/>
          <w:szCs w:val="24"/>
        </w:rPr>
        <w:t>Managing for LRR has been a long-standing dilemma that has frustrated land managers and forest pathologists for many decades. This disease can be hard to detect and monitor as it primarily occurs under the ground. Mechanical management options such as thinning, trenching, or removing stumps from the soil are time consuming and costly.</w:t>
      </w:r>
      <w:ins w:id="1010" w:author="Sarah Hoffman" w:date="2022-11-07T21:19:00Z">
        <w:r>
          <w:rPr>
            <w:sz w:val="24"/>
            <w:szCs w:val="24"/>
          </w:rPr>
          <w:t xml:space="preserve"> </w:t>
        </w:r>
      </w:ins>
      <w:del w:id="1011" w:author="Sarah Hoffman" w:date="2022-11-07T21:19:00Z">
        <w:r>
          <w:rPr>
            <w:sz w:val="24"/>
            <w:szCs w:val="24"/>
          </w:rPr>
          <w:delText xml:space="preserve"> Removing all of the inoculum source from the soil </w:delText>
        </w:r>
      </w:del>
      <w:del w:id="1012" w:author="Sarah Hoffman" w:date="2022-11-07T21:17:00Z">
        <w:r>
          <w:rPr>
            <w:sz w:val="24"/>
            <w:szCs w:val="24"/>
          </w:rPr>
          <w:delText>of a stie is going to be nearly impossible</w:delText>
        </w:r>
      </w:del>
      <w:del w:id="1013" w:author="Sarah Hoffman" w:date="2022-11-07T21:19:00Z">
        <w:r>
          <w:rPr>
            <w:sz w:val="24"/>
            <w:szCs w:val="24"/>
          </w:rPr>
          <w:delText xml:space="preserve">. </w:delText>
        </w:r>
      </w:del>
      <w:r>
        <w:rPr>
          <w:sz w:val="24"/>
          <w:szCs w:val="24"/>
        </w:rPr>
        <w:t xml:space="preserve">Harvesting Douglas-fir and planting alternate hosts might not be effective or economically feasible in some areas. </w:t>
      </w:r>
      <w:ins w:id="1014" w:author="Shawn McMurtrey" w:date="2022-11-13T10:04:00Z">
        <w:r>
          <w:rPr>
            <w:sz w:val="24"/>
            <w:szCs w:val="24"/>
          </w:rPr>
          <w:t xml:space="preserve">Selective breeding </w:t>
        </w:r>
      </w:ins>
      <w:ins w:id="1015" w:author="Shawn McMurtrey" w:date="2022-11-13T10:08:00Z">
        <w:r>
          <w:rPr>
            <w:sz w:val="24"/>
            <w:szCs w:val="24"/>
          </w:rPr>
          <w:t>for desired genotypes within</w:t>
        </w:r>
      </w:ins>
      <w:ins w:id="1016" w:author="Shawn McMurtrey" w:date="2022-11-13T10:05:00Z">
        <w:r>
          <w:rPr>
            <w:sz w:val="24"/>
            <w:szCs w:val="24"/>
          </w:rPr>
          <w:t xml:space="preserve"> conifers</w:t>
        </w:r>
      </w:ins>
      <w:ins w:id="1017" w:author="Shawn McMurtrey" w:date="2022-11-13T10:06:00Z">
        <w:r>
          <w:rPr>
            <w:sz w:val="24"/>
            <w:szCs w:val="24"/>
          </w:rPr>
          <w:t xml:space="preserve"> takes many years. </w:t>
        </w:r>
      </w:ins>
      <w:ins w:id="1018" w:author="Shawn McMurtrey" w:date="2022-11-13T10:07:00Z">
        <w:r>
          <w:rPr>
            <w:sz w:val="24"/>
            <w:szCs w:val="24"/>
          </w:rPr>
          <w:t>In contrast to annuals and horticulture crops, where the molecular controls of pathogen defense and resistance are well understood, the response in trees (both angiosperms and gymnosperms) is still largely unknown (</w:t>
        </w:r>
      </w:ins>
      <w:ins w:id="1019" w:author="Shawn McMurtrey" w:date="2022-11-13T10:14:00Z">
        <w:r>
          <w:rPr>
            <w:rFonts w:eastAsia="Times New Roman"/>
            <w:sz w:val="24"/>
            <w:szCs w:val="24"/>
          </w:rPr>
          <w:t>Veluthakkal and Dasgupta</w:t>
        </w:r>
      </w:ins>
      <w:ins w:id="1020" w:author="Shawn McMurtrey" w:date="2022-11-13T10:14:00Z">
        <w:r>
          <w:rPr>
            <w:sz w:val="24"/>
            <w:szCs w:val="24"/>
          </w:rPr>
          <w:t xml:space="preserve"> 2010, </w:t>
        </w:r>
      </w:ins>
      <w:ins w:id="1021" w:author="Shawn McMurtrey" w:date="2022-11-13T10:07:00Z">
        <w:r>
          <w:rPr>
            <w:sz w:val="24"/>
            <w:szCs w:val="24"/>
          </w:rPr>
          <w:t>Franceschi et al. 2005)</w:t>
        </w:r>
      </w:ins>
      <w:ins w:id="1022" w:author="Shawn McMurtrey" w:date="2022-11-13T10:08:00Z">
        <w:r>
          <w:rPr>
            <w:sz w:val="24"/>
            <w:szCs w:val="24"/>
          </w:rPr>
          <w:t>.</w:t>
        </w:r>
      </w:ins>
      <w:ins w:id="1023" w:author="Shawn McMurtrey" w:date="2022-11-13T10:09:00Z">
        <w:r>
          <w:rPr>
            <w:sz w:val="24"/>
            <w:szCs w:val="24"/>
          </w:rPr>
          <w:t xml:space="preserve"> </w:t>
        </w:r>
      </w:ins>
      <w:r>
        <w:rPr>
          <w:sz w:val="24"/>
          <w:szCs w:val="24"/>
        </w:rPr>
        <w:t>From the results of this paper, mechanical thinning and alternate host rotations do not seem to be viable management options for LRR. Potential future</w:t>
      </w:r>
      <w:ins w:id="1024" w:author="Sarah Hoffman" w:date="2022-11-07T15:17:00Z">
        <w:r>
          <w:rPr>
            <w:sz w:val="24"/>
            <w:szCs w:val="24"/>
          </w:rPr>
          <w:t xml:space="preserve"> management</w:t>
        </w:r>
      </w:ins>
      <w:r>
        <w:rPr>
          <w:sz w:val="24"/>
          <w:szCs w:val="24"/>
        </w:rPr>
        <w:t xml:space="preserve"> solutions</w:t>
      </w:r>
      <w:ins w:id="1025" w:author="Sarah Hoffman" w:date="2022-11-07T15:17:00Z">
        <w:r>
          <w:rPr>
            <w:sz w:val="24"/>
            <w:szCs w:val="24"/>
          </w:rPr>
          <w:t xml:space="preserve"> for LRR</w:t>
        </w:r>
      </w:ins>
      <w:r>
        <w:rPr>
          <w:sz w:val="24"/>
          <w:szCs w:val="24"/>
        </w:rPr>
        <w:t xml:space="preserve"> might </w:t>
      </w:r>
      <w:ins w:id="1026" w:author="Shawn McMurtrey" w:date="2022-11-13T10:15:00Z">
        <w:r>
          <w:rPr>
            <w:sz w:val="24"/>
            <w:szCs w:val="24"/>
          </w:rPr>
          <w:t>involve</w:t>
        </w:r>
      </w:ins>
      <w:del w:id="1027" w:author="Shawn McMurtrey" w:date="2022-11-13T10:15:00Z">
        <w:r>
          <w:rPr>
            <w:sz w:val="24"/>
            <w:szCs w:val="24"/>
          </w:rPr>
          <w:delText>be</w:delText>
        </w:r>
      </w:del>
      <w:ins w:id="1028" w:author="Sarah Hoffman" w:date="2022-11-07T15:22:00Z">
        <w:r>
          <w:rPr>
            <w:sz w:val="24"/>
            <w:szCs w:val="24"/>
          </w:rPr>
          <w:t xml:space="preserve"> selective breeding for </w:t>
        </w:r>
      </w:ins>
      <w:ins w:id="1029" w:author="Shawn McMurtrey" w:date="2022-11-13T10:03:00Z">
        <w:r>
          <w:rPr>
            <w:sz w:val="24"/>
            <w:szCs w:val="24"/>
          </w:rPr>
          <w:t xml:space="preserve">resistance </w:t>
        </w:r>
      </w:ins>
      <w:del w:id="1030" w:author="Shawn McMurtrey" w:date="2022-11-13T10:02:00Z">
        <w:r>
          <w:rPr>
            <w:sz w:val="24"/>
            <w:szCs w:val="24"/>
          </w:rPr>
          <w:delText>a desired genotype</w:delText>
        </w:r>
      </w:del>
      <w:ins w:id="1031" w:author="Sarah Hoffman" w:date="2022-11-07T15:24:00Z">
        <w:r>
          <w:rPr>
            <w:sz w:val="24"/>
            <w:szCs w:val="24"/>
          </w:rPr>
          <w:t>,</w:t>
        </w:r>
      </w:ins>
      <w:ins w:id="1032" w:author="Sarah Hoffman" w:date="2022-11-07T15:22:00Z">
        <w:r>
          <w:rPr>
            <w:sz w:val="24"/>
            <w:szCs w:val="24"/>
          </w:rPr>
          <w:t xml:space="preserve"> with the</w:t>
        </w:r>
      </w:ins>
      <w:ins w:id="1033" w:author="Sarah Hoffman" w:date="2022-11-07T15:19:00Z">
        <w:r>
          <w:rPr>
            <w:sz w:val="24"/>
            <w:szCs w:val="24"/>
          </w:rPr>
          <w:t xml:space="preserve"> identification of</w:t>
        </w:r>
      </w:ins>
      <w:ins w:id="1034" w:author="Sarah Hoffman" w:date="2022-11-07T15:21:00Z">
        <w:r>
          <w:rPr>
            <w:sz w:val="24"/>
            <w:szCs w:val="24"/>
          </w:rPr>
          <w:t xml:space="preserve"> genetic markers through SNPs or single sequence repeats (SSRs)</w:t>
        </w:r>
      </w:ins>
      <w:ins w:id="1035" w:author="Sarah Hoffman" w:date="2022-11-07T15:19:00Z">
        <w:r>
          <w:rPr>
            <w:sz w:val="24"/>
            <w:szCs w:val="24"/>
          </w:rPr>
          <w:t xml:space="preserve"> </w:t>
        </w:r>
      </w:ins>
      <w:ins w:id="1036" w:author="Sarah Hoffman" w:date="2022-11-07T15:23:00Z">
        <w:r>
          <w:rPr>
            <w:sz w:val="24"/>
            <w:szCs w:val="24"/>
          </w:rPr>
          <w:t xml:space="preserve">or </w:t>
        </w:r>
      </w:ins>
      <w:del w:id="1037" w:author="Sarah Hoffman" w:date="2022-11-07T15:23:00Z">
        <w:r>
          <w:rPr>
            <w:sz w:val="24"/>
            <w:szCs w:val="24"/>
          </w:rPr>
          <w:delText xml:space="preserve"> </w:delText>
        </w:r>
      </w:del>
      <w:r>
        <w:rPr>
          <w:sz w:val="24"/>
          <w:szCs w:val="24"/>
        </w:rPr>
        <w:t>modifying the genome of Douglas-fir through a customized transcription activator-like effector (TALE) protein</w:t>
      </w:r>
      <w:ins w:id="1038" w:author="Sarah Hoffman" w:date="2022-11-07T15:23:00Z">
        <w:r>
          <w:rPr>
            <w:sz w:val="24"/>
            <w:szCs w:val="24"/>
          </w:rPr>
          <w:t xml:space="preserve">. Both methods have </w:t>
        </w:r>
      </w:ins>
      <w:del w:id="1039" w:author="Sarah Hoffman" w:date="2022-11-07T15:23:00Z">
        <w:r>
          <w:rPr>
            <w:sz w:val="24"/>
            <w:szCs w:val="24"/>
          </w:rPr>
          <w:delText xml:space="preserve"> that has </w:delText>
        </w:r>
      </w:del>
      <w:r>
        <w:rPr>
          <w:sz w:val="24"/>
          <w:szCs w:val="24"/>
        </w:rPr>
        <w:t xml:space="preserve">been used with success for resistance in crops and livestock (Cook et al.2013). </w:t>
      </w:r>
      <w:ins w:id="1040" w:author="Shawn McMurtrey" w:date="2022-11-11T14:03:00Z">
        <w:r>
          <w:rPr>
            <w:sz w:val="24"/>
            <w:szCs w:val="24"/>
          </w:rPr>
          <w:t xml:space="preserve">Another molecular </w:t>
        </w:r>
      </w:ins>
      <w:ins w:id="1041" w:author="Shawn McMurtrey" w:date="2022-11-11T14:06:00Z">
        <w:r>
          <w:rPr>
            <w:sz w:val="24"/>
            <w:szCs w:val="24"/>
          </w:rPr>
          <w:t>finding</w:t>
        </w:r>
      </w:ins>
      <w:ins w:id="1042" w:author="Shawn McMurtrey" w:date="2022-11-11T14:03:00Z">
        <w:r>
          <w:rPr>
            <w:sz w:val="24"/>
            <w:szCs w:val="24"/>
          </w:rPr>
          <w:t xml:space="preserve"> worth </w:t>
        </w:r>
      </w:ins>
      <w:ins w:id="1043" w:author="Shawn McMurtrey" w:date="2022-11-11T14:06:00Z">
        <w:r>
          <w:rPr>
            <w:sz w:val="24"/>
            <w:szCs w:val="24"/>
          </w:rPr>
          <w:t xml:space="preserve">further </w:t>
        </w:r>
      </w:ins>
      <w:ins w:id="1044" w:author="Shawn McMurtrey" w:date="2022-11-11T14:03:00Z">
        <w:r>
          <w:rPr>
            <w:sz w:val="24"/>
            <w:szCs w:val="24"/>
          </w:rPr>
          <w:t xml:space="preserve">investigating </w:t>
        </w:r>
      </w:ins>
      <w:ins w:id="1045" w:author="Shawn McMurtrey" w:date="2022-11-11T14:04:00Z">
        <w:r>
          <w:rPr>
            <w:sz w:val="24"/>
            <w:szCs w:val="24"/>
          </w:rPr>
          <w:t>is the r</w:t>
        </w:r>
      </w:ins>
      <w:ins w:id="1046" w:author="Shawn McMurtrey" w:date="2022-11-11T14:02:00Z">
        <w:r>
          <w:rPr>
            <w:sz w:val="24"/>
            <w:szCs w:val="24"/>
          </w:rPr>
          <w:t xml:space="preserve">ecombinant protein PmPR-10 from western white pine </w:t>
        </w:r>
      </w:ins>
      <w:ins w:id="1047" w:author="Shawn McMurtrey" w:date="2022-11-11T14:04:00Z">
        <w:r>
          <w:rPr>
            <w:sz w:val="24"/>
            <w:szCs w:val="24"/>
          </w:rPr>
          <w:t>which has</w:t>
        </w:r>
      </w:ins>
      <w:ins w:id="1048" w:author="Shawn McMurtrey" w:date="2022-11-11T14:02:00Z">
        <w:r>
          <w:rPr>
            <w:sz w:val="24"/>
            <w:szCs w:val="24"/>
          </w:rPr>
          <w:t xml:space="preserve"> been reported as </w:t>
        </w:r>
      </w:ins>
      <w:ins w:id="1049" w:author="Shawn McMurtrey" w:date="2022-11-11T14:03:00Z">
        <w:r>
          <w:rPr>
            <w:sz w:val="24"/>
            <w:szCs w:val="24"/>
          </w:rPr>
          <w:t xml:space="preserve">inhibiting growth of </w:t>
        </w:r>
      </w:ins>
      <w:ins w:id="1050" w:author="Shawn McMurtrey" w:date="2022-11-15T21:21:00Z">
        <w:r>
          <w:rPr>
            <w:i/>
            <w:iCs/>
            <w:sz w:val="24"/>
            <w:szCs w:val="24"/>
          </w:rPr>
          <w:t xml:space="preserve">Coniferiporia </w:t>
        </w:r>
      </w:ins>
      <w:ins w:id="1051" w:author="Shawn McMurtrey" w:date="2022-11-11T14:02:00Z">
        <w:r>
          <w:rPr>
            <w:i/>
            <w:iCs/>
            <w:sz w:val="24"/>
            <w:szCs w:val="24"/>
          </w:rPr>
          <w:t>sulphurascens</w:t>
        </w:r>
      </w:ins>
      <w:ins w:id="1052" w:author="Shawn McMurtrey" w:date="2022-11-11T14:04:00Z">
        <w:r>
          <w:rPr>
            <w:sz w:val="24"/>
            <w:szCs w:val="24"/>
          </w:rPr>
          <w:t xml:space="preserve"> (</w:t>
        </w:r>
      </w:ins>
      <w:ins w:id="1053" w:author="Shawn McMurtrey" w:date="2022-11-11T14:05:00Z">
        <w:r>
          <w:rPr>
            <w:sz w:val="24"/>
            <w:szCs w:val="24"/>
          </w:rPr>
          <w:t>Williams et al. 2014).</w:t>
        </w:r>
      </w:ins>
      <w:ins w:id="1054" w:author="Shawn McMurtrey" w:date="2022-11-11T14:04:00Z">
        <w:r>
          <w:rPr>
            <w:sz w:val="24"/>
            <w:szCs w:val="24"/>
          </w:rPr>
          <w:t xml:space="preserve"> </w:t>
        </w:r>
      </w:ins>
      <w:r>
        <w:rPr>
          <w:sz w:val="24"/>
          <w:szCs w:val="24"/>
        </w:rPr>
        <w:t xml:space="preserve">More high-resolution genomic data from both </w:t>
      </w:r>
      <w:r>
        <w:rPr>
          <w:i/>
          <w:iCs/>
          <w:sz w:val="24"/>
          <w:szCs w:val="24"/>
        </w:rPr>
        <w:t>C. sulphurascens</w:t>
      </w:r>
      <w:r>
        <w:rPr>
          <w:sz w:val="24"/>
          <w:szCs w:val="24"/>
        </w:rPr>
        <w:t xml:space="preserve"> and the Douglas-fir will allow for better understanding of the interactions and infection mechanisms. Until the breeding or development of Douglas-fir resistance to </w:t>
      </w:r>
      <w:r>
        <w:rPr>
          <w:i/>
          <w:iCs/>
          <w:sz w:val="24"/>
          <w:szCs w:val="24"/>
        </w:rPr>
        <w:t>C. sulphurascens</w:t>
      </w:r>
      <w:r>
        <w:rPr>
          <w:sz w:val="24"/>
          <w:szCs w:val="24"/>
        </w:rPr>
        <w:t xml:space="preserve">, </w:t>
      </w:r>
      <w:ins w:id="1055" w:author="Sarah Hoffman" w:date="2022-11-07T21:21:00Z">
        <w:r>
          <w:rPr>
            <w:sz w:val="24"/>
            <w:szCs w:val="24"/>
          </w:rPr>
          <w:t xml:space="preserve">cutting Douglas-fir and </w:t>
        </w:r>
      </w:ins>
      <w:r>
        <w:rPr>
          <w:sz w:val="24"/>
          <w:szCs w:val="24"/>
        </w:rPr>
        <w:t>repla</w:t>
      </w:r>
      <w:ins w:id="1056" w:author="Sarah Hoffman" w:date="2022-11-07T21:21:00Z">
        <w:r>
          <w:rPr>
            <w:sz w:val="24"/>
            <w:szCs w:val="24"/>
          </w:rPr>
          <w:t>nting</w:t>
        </w:r>
      </w:ins>
      <w:del w:id="1057" w:author="Sarah Hoffman" w:date="2022-11-07T21:21:00Z">
        <w:r>
          <w:rPr>
            <w:sz w:val="24"/>
            <w:szCs w:val="24"/>
          </w:rPr>
          <w:delText>cing</w:delText>
        </w:r>
      </w:del>
      <w:r>
        <w:rPr>
          <w:sz w:val="24"/>
          <w:szCs w:val="24"/>
        </w:rPr>
        <w:t xml:space="preserve"> infected sites with </w:t>
      </w:r>
      <w:del w:id="1058" w:author="Sarah Hoffman" w:date="2022-11-07T21:21:00Z">
        <w:r>
          <w:rPr>
            <w:sz w:val="24"/>
            <w:szCs w:val="24"/>
          </w:rPr>
          <w:delText xml:space="preserve">only </w:delText>
        </w:r>
      </w:del>
      <w:r>
        <w:rPr>
          <w:sz w:val="24"/>
          <w:szCs w:val="24"/>
        </w:rPr>
        <w:t xml:space="preserve">Douglas-fir </w:t>
      </w:r>
      <w:del w:id="1059" w:author="Sarah Hoffman" w:date="2022-11-07T21:20:00Z">
        <w:r>
          <w:rPr>
            <w:sz w:val="24"/>
            <w:szCs w:val="24"/>
          </w:rPr>
          <w:delText>is going to</w:delText>
        </w:r>
      </w:del>
      <w:ins w:id="1060" w:author="Sarah Hoffman" w:date="2022-11-07T21:20:00Z">
        <w:r>
          <w:rPr>
            <w:sz w:val="24"/>
            <w:szCs w:val="24"/>
          </w:rPr>
          <w:t>will likely</w:t>
        </w:r>
      </w:ins>
      <w:r>
        <w:rPr>
          <w:sz w:val="24"/>
          <w:szCs w:val="24"/>
        </w:rPr>
        <w:t xml:space="preserve"> continue the cycle of mortality</w:t>
      </w:r>
      <w:ins w:id="1061" w:author="Sarah Hoffman" w:date="2022-11-07T21:21:00Z">
        <w:r>
          <w:rPr>
            <w:sz w:val="24"/>
            <w:szCs w:val="24"/>
          </w:rPr>
          <w:t xml:space="preserve"> and </w:t>
        </w:r>
      </w:ins>
      <w:del w:id="1062" w:author="Sarah Hoffman" w:date="2022-11-07T21:21:00Z">
        <w:r>
          <w:rPr>
            <w:sz w:val="24"/>
            <w:szCs w:val="24"/>
          </w:rPr>
          <w:delText xml:space="preserve"> from LRR and </w:delText>
        </w:r>
      </w:del>
      <w:r>
        <w:rPr>
          <w:sz w:val="24"/>
          <w:szCs w:val="24"/>
        </w:rPr>
        <w:t>reduced yields</w:t>
      </w:r>
      <w:ins w:id="1063" w:author="Sarah Hoffman" w:date="2022-11-07T21:22:00Z">
        <w:r>
          <w:rPr>
            <w:sz w:val="24"/>
            <w:szCs w:val="24"/>
          </w:rPr>
          <w:t xml:space="preserve"> from LRR.</w:t>
        </w:r>
      </w:ins>
      <w:del w:id="1064" w:author="Sarah Hoffman" w:date="2022-11-07T21:22:00Z">
        <w:r>
          <w:rPr>
            <w:sz w:val="24"/>
            <w:szCs w:val="24"/>
          </w:rPr>
          <w:delText xml:space="preserve">. </w:delText>
        </w:r>
      </w:del>
    </w:p>
    <w:p>
      <w:pPr>
        <w:pStyle w:val="Normal"/>
        <w:spacing w:lineRule="auto" w:line="480"/>
        <w:ind w:firstLine="720"/>
        <w:rPr>
          <w:sz w:val="24"/>
          <w:szCs w:val="24"/>
        </w:rPr>
      </w:pPr>
      <w:r>
        <w:rPr>
          <w:sz w:val="24"/>
          <w:szCs w:val="24"/>
        </w:rPr>
        <w:t>There is much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Additional</w:t>
      </w:r>
      <w:del w:id="1065" w:author="Shawn McMurtrey" w:date="2022-11-15T20:27:00Z">
        <w:r>
          <w:rPr>
            <w:sz w:val="24"/>
            <w:szCs w:val="24"/>
          </w:rPr>
          <w:delText>ly</w:delText>
        </w:r>
      </w:del>
      <w:r>
        <w:rPr>
          <w:sz w:val="24"/>
          <w:szCs w:val="24"/>
        </w:rPr>
        <w:t xml:space="preserve">, </w:t>
      </w:r>
      <w:ins w:id="1066" w:author="Shawn McMurtrey" w:date="2022-11-15T20:27:00Z">
        <w:r>
          <w:rPr>
            <w:sz w:val="24"/>
            <w:szCs w:val="24"/>
          </w:rPr>
          <w:t xml:space="preserve">thinning and </w:t>
        </w:r>
      </w:ins>
      <w:r>
        <w:rPr>
          <w:sz w:val="24"/>
          <w:szCs w:val="24"/>
        </w:rPr>
        <w:t>alternate host rotation studies are further needed to better understand different forest management strategies for areas with a high presence of forest pathogens. More information on current distribution of accurately identified pathogens is also critically needed (Klopfenstein et al. 2009). This is imperative within a rapidly changing climate as the host/pathogen interactions will need to be observed and monitored. Adaptations will also need to be made to deviations of what was once considered more consistent management.</w:t>
      </w:r>
    </w:p>
    <w:p>
      <w:pPr>
        <w:pStyle w:val="Normal"/>
        <w:spacing w:lineRule="auto" w:line="480"/>
        <w:ind w:firstLine="720"/>
        <w:rPr>
          <w:sz w:val="24"/>
          <w:szCs w:val="24"/>
        </w:rPr>
      </w:pPr>
      <w:r>
        <w:rPr>
          <w:sz w:val="24"/>
          <w:szCs w:val="24"/>
          <w:highlight w:val="white"/>
        </w:rPr>
        <w:t>Guidelines drawn up from publications can serve as a basis for facilitating better management of infected stands.</w:t>
      </w:r>
      <w:r>
        <w:rPr>
          <w:sz w:val="24"/>
          <w:szCs w:val="24"/>
        </w:rPr>
        <w:t xml:space="preserve"> Better understanding of management systems surrounding LRR can help to increase land expectation value and reduce the risk of fire. Through this study, new insight was gained on LRR incidence with respect to thinning </w:t>
      </w:r>
      <w:del w:id="1067" w:author="Shawn McMurtrey" w:date="2022-11-15T21:24:00Z">
        <w:r>
          <w:rPr>
            <w:sz w:val="24"/>
            <w:szCs w:val="24"/>
          </w:rPr>
          <w:delText xml:space="preserve">for drought and fire suppression. An increased knowledge was also gained concerning </w:delText>
        </w:r>
      </w:del>
      <w:ins w:id="1068" w:author="Shawn McMurtrey" w:date="2022-11-15T21:24:00Z">
        <w:r>
          <w:rPr>
            <w:sz w:val="24"/>
            <w:szCs w:val="24"/>
          </w:rPr>
          <w:t xml:space="preserve">and </w:t>
        </w:r>
      </w:ins>
      <w:r>
        <w:rPr>
          <w:sz w:val="24"/>
          <w:szCs w:val="24"/>
        </w:rPr>
        <w:t>alternate host rotation</w:t>
      </w:r>
      <w:del w:id="1069" w:author="Shawn McMurtrey" w:date="2022-11-15T21:24:00Z">
        <w:r>
          <w:rPr>
            <w:sz w:val="24"/>
            <w:szCs w:val="24"/>
          </w:rPr>
          <w:delText>s for forest</w:delText>
        </w:r>
      </w:del>
      <w:r>
        <w:rPr>
          <w:sz w:val="24"/>
          <w:szCs w:val="24"/>
        </w:rPr>
        <w:t xml:space="preserve"> management strategies.  </w:t>
      </w:r>
    </w:p>
    <w:p>
      <w:pPr>
        <w:pStyle w:val="Normal"/>
        <w:spacing w:lineRule="auto" w:line="480"/>
        <w:rPr>
          <w:sz w:val="24"/>
          <w:szCs w:val="24"/>
        </w:rPr>
      </w:pPr>
      <w:r>
        <w:rPr>
          <w:sz w:val="24"/>
          <w:szCs w:val="24"/>
        </w:rPr>
      </w:r>
    </w:p>
    <w:p>
      <w:pPr>
        <w:pStyle w:val="Normal"/>
        <w:spacing w:lineRule="auto" w:line="480"/>
        <w:rPr>
          <w:b/>
          <w:b/>
          <w:sz w:val="28"/>
          <w:szCs w:val="28"/>
        </w:rPr>
      </w:pPr>
      <w:r>
        <w:rPr>
          <w:b/>
          <w:sz w:val="28"/>
          <w:szCs w:val="28"/>
        </w:rPr>
        <w:t>Data Availability Statement</w:t>
      </w:r>
    </w:p>
    <w:p>
      <w:pPr>
        <w:pStyle w:val="Normal"/>
        <w:spacing w:lineRule="auto" w:line="480"/>
        <w:rPr>
          <w:sz w:val="24"/>
          <w:szCs w:val="24"/>
        </w:rPr>
      </w:pPr>
      <w:r>
        <w:rPr>
          <w:sz w:val="24"/>
          <w:szCs w:val="24"/>
        </w:rPr>
        <w:t>Raw data files</w:t>
      </w:r>
      <w:ins w:id="1070" w:author="Shawn McMurtrey" w:date="2022-11-13T10:18:00Z">
        <w:r>
          <w:rPr>
            <w:sz w:val="24"/>
            <w:szCs w:val="24"/>
          </w:rPr>
          <w:t>,</w:t>
        </w:r>
      </w:ins>
      <w:r>
        <w:rPr>
          <w:sz w:val="24"/>
          <w:szCs w:val="24"/>
        </w:rPr>
        <w:t xml:space="preserve"> cleaned data files, and detailed data cleaning methods for the Woods Creek study can be found at the following Github repository: </w:t>
      </w:r>
      <w:hyperlink r:id="rId18">
        <w:r>
          <w:rPr>
            <w:rStyle w:val="InternetLink"/>
            <w:sz w:val="24"/>
            <w:szCs w:val="24"/>
          </w:rPr>
          <w:t>https://github.com/mcmurtrs/WoodsCreek</w:t>
        </w:r>
      </w:hyperlink>
      <w:r>
        <w:rPr>
          <w:sz w:val="24"/>
          <w:szCs w:val="24"/>
        </w:rPr>
        <w:t xml:space="preserve">. All details and files used for FVS and WRDM (parameters used, input files, output files, and log files) can be found at the same Github repository. Additional data will be made available upon request.   </w:t>
      </w:r>
    </w:p>
    <w:p>
      <w:pPr>
        <w:pStyle w:val="Normal"/>
        <w:spacing w:lineRule="auto" w:line="480"/>
        <w:rPr>
          <w:sz w:val="24"/>
          <w:szCs w:val="24"/>
        </w:rPr>
      </w:pPr>
      <w:r>
        <w:rPr>
          <w:sz w:val="24"/>
          <w:szCs w:val="24"/>
        </w:rPr>
      </w:r>
    </w:p>
    <w:p>
      <w:pPr>
        <w:pStyle w:val="Normal"/>
        <w:spacing w:lineRule="auto" w:line="480"/>
        <w:rPr>
          <w:sz w:val="24"/>
          <w:szCs w:val="24"/>
        </w:rPr>
      </w:pPr>
      <w:r>
        <w:rPr>
          <w:b/>
          <w:sz w:val="28"/>
          <w:szCs w:val="28"/>
        </w:rPr>
        <w:t>Acknowledgements</w:t>
        <w:br/>
      </w:r>
      <w:r>
        <w:rPr/>
        <w:t xml:space="preserve">Funding </w:t>
      </w:r>
      <w:ins w:id="1071" w:author="Sarah Hoffman" w:date="2022-11-05T22:43:00Z">
        <w:r>
          <w:rPr/>
          <w:t>for</w:t>
        </w:r>
      </w:ins>
      <w:r>
        <w:rPr/>
        <w:t xml:space="preserve"> these two studies was provided by the Agricultural Research Foundation at Oregon State University. Logging, regeneration, and funding was provided by the International Paper Co..</w:t>
      </w:r>
      <w:ins w:id="1072" w:author="Sarah Hoffman" w:date="2022-11-05T22:43:00Z">
        <w:r>
          <w:rPr/>
          <w:t xml:space="preserve"> Funding was also provided by the Crown Zellerbach Corp..</w:t>
        </w:r>
      </w:ins>
      <w:r>
        <w:rPr/>
        <w:t xml:space="preserve"> The Weyerhaeuser Co. provided logging and access to the land. </w:t>
      </w:r>
      <w:del w:id="1073" w:author="Shawn McMurtrey" w:date="2022-11-10T18:38:00Z">
        <w:r>
          <w:rPr/>
          <w:delText xml:space="preserve"> </w:delText>
        </w:r>
      </w:del>
      <w:r>
        <w:rPr/>
        <w:t xml:space="preserve">The authors would like to thank Wendy Sutton, Paul Reeser, and all others responsible for establishing the plot networks and helping to collect data over the years. We also would like to thank Katherine Tallan and James Molyneux for statistical recommendations and consultation. The authors also extend their gratitude to Patrick Bennett, Lance David, and the FVS staff for guidance on FVS and WRDM modeling.   </w:t>
      </w:r>
    </w:p>
    <w:p>
      <w:pPr>
        <w:pStyle w:val="Normal"/>
        <w:spacing w:lineRule="auto" w:line="480"/>
        <w:rPr>
          <w:b/>
          <w:b/>
          <w:sz w:val="28"/>
          <w:szCs w:val="28"/>
        </w:rPr>
      </w:pPr>
      <w:r>
        <w:rPr>
          <w:b/>
          <w:sz w:val="28"/>
          <w:szCs w:val="28"/>
        </w:rPr>
      </w:r>
    </w:p>
    <w:p>
      <w:pPr>
        <w:pStyle w:val="Normal"/>
        <w:spacing w:lineRule="auto" w:line="480"/>
        <w:rPr>
          <w:sz w:val="24"/>
          <w:szCs w:val="24"/>
        </w:rPr>
      </w:pPr>
      <w:r>
        <w:rPr>
          <w:b/>
          <w:sz w:val="28"/>
          <w:szCs w:val="28"/>
        </w:rPr>
        <w:t>References</w:t>
      </w:r>
    </w:p>
    <w:p>
      <w:pPr>
        <w:pStyle w:val="Normal"/>
        <w:spacing w:lineRule="auto" w:line="480"/>
        <w:ind w:left="720" w:hanging="720"/>
        <w:rPr>
          <w:sz w:val="24"/>
          <w:szCs w:val="24"/>
        </w:rPr>
      </w:pPr>
      <w:r>
        <w:fldChar w:fldCharType="begin"/>
      </w:r>
      <w:r>
        <w:rPr>
          <w:sz w:val="24"/>
          <w:szCs w:val="24"/>
          <w:rFonts w:eastAsia="Times New Roman"/>
        </w:rPr>
        <w:instrText> HYPERLINK "https://www.sciencedirect.com/science/article/pii/S0378112717321321" \l "bb0010"</w:instrText>
      </w:r>
      <w:r>
        <w:rPr>
          <w:sz w:val="24"/>
          <w:szCs w:val="24"/>
          <w:rFonts w:eastAsia="Times New Roman"/>
        </w:rPr>
        <w:fldChar w:fldCharType="separate"/>
      </w:r>
      <w:r>
        <w:rPr>
          <w:rFonts w:eastAsia="Times New Roman"/>
          <w:sz w:val="24"/>
          <w:szCs w:val="24"/>
        </w:rPr>
        <w:t>Agee J.K, and Skinner C.N. (2005</w:t>
      </w:r>
      <w:r>
        <w:rPr>
          <w:sz w:val="24"/>
          <w:szCs w:val="24"/>
          <w:rFonts w:eastAsia="Times New Roman"/>
        </w:rPr>
        <w:fldChar w:fldCharType="end"/>
      </w:r>
      <w:r>
        <w:rPr>
          <w:rFonts w:eastAsia="Times New Roman"/>
          <w:sz w:val="24"/>
          <w:szCs w:val="24"/>
        </w:rPr>
        <w:t xml:space="preserve">). Basic principles of forest fuel reduction treatments. </w:t>
        <w:br/>
        <w:t xml:space="preserve">For. Ecol. Manage., 211 (1) , pp. 83-96. </w:t>
      </w:r>
      <w:hyperlink r:id="rId19" w:tgtFrame="Persistent link using digital object identifier">
        <w:r>
          <w:rPr>
            <w:rStyle w:val="InternetLink"/>
            <w:color w:val="000000"/>
            <w:sz w:val="24"/>
            <w:szCs w:val="24"/>
            <w:shd w:fill="FFFFFF" w:val="clear"/>
          </w:rPr>
          <w:t>https://doi.org/10.1016/j.foreco.2005.01.034</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Style w:val="InternetLink"/>
          <w:color w:val="000000"/>
          <w:ins w:id="1074" w:author="Shawn McMurtrey" w:date="2022-11-15T22:05:00Z"/>
          <w:sz w:val="24"/>
          <w:szCs w:val="24"/>
          <w:shd w:fill="FFFFFF" w:val="clear"/>
        </w:rPr>
      </w:pPr>
      <w:r>
        <w:rPr>
          <w:rFonts w:eastAsia="Times New Roman"/>
          <w:sz w:val="24"/>
          <w:szCs w:val="24"/>
        </w:rPr>
        <w:t xml:space="preserve">Angwin, P. A. (1985). Environmental factors influencing the rate of spread of Phellinus weirii(Murr.) Gilbertson in young-growth Douglas-fir. Oregon State University, Corvallis, Oregon, master’s thesis. 107 p., </w:t>
      </w:r>
      <w:hyperlink r:id="rId20">
        <w:r>
          <w:rPr>
            <w:rStyle w:val="InternetLink"/>
            <w:color w:val="000000"/>
            <w:sz w:val="24"/>
            <w:szCs w:val="24"/>
            <w:shd w:fill="FFFFFF" w:val="clear"/>
          </w:rPr>
          <w:t>https://ir.library.oregonstate.edu/concern/graduate_thesis_or_dissertations/k930c098s</w:t>
        </w:r>
      </w:hyperlink>
    </w:p>
    <w:p>
      <w:pPr>
        <w:pStyle w:val="Normal"/>
        <w:spacing w:lineRule="auto" w:line="480"/>
        <w:ind w:left="720" w:hanging="720"/>
        <w:rPr>
          <w:rStyle w:val="InternetLink"/>
          <w:color w:val="000000"/>
          <w:ins w:id="1076" w:author="Shawn McMurtrey" w:date="2022-11-15T22:05:00Z"/>
          <w:sz w:val="24"/>
          <w:szCs w:val="24"/>
          <w:shd w:fill="FFFFFF" w:val="clear"/>
        </w:rPr>
      </w:pPr>
      <w:ins w:id="1075" w:author="Shawn McMurtrey" w:date="2022-11-15T22:05:00Z">
        <w:r>
          <w:rPr>
            <w:color w:val="000000"/>
            <w:sz w:val="24"/>
            <w:szCs w:val="24"/>
            <w:shd w:fill="FFFFFF" w:val="clear"/>
          </w:rPr>
        </w:r>
      </w:ins>
    </w:p>
    <w:p>
      <w:pPr>
        <w:pStyle w:val="Normal"/>
        <w:spacing w:lineRule="auto" w:line="480"/>
        <w:ind w:left="720" w:hanging="720"/>
        <w:rPr>
          <w:sz w:val="24"/>
          <w:szCs w:val="24"/>
          <w:ins w:id="1078" w:author="Shawn McMurtrey" w:date="2022-11-15T22:05:00Z"/>
        </w:rPr>
      </w:pPr>
      <w:ins w:id="1077" w:author="Shawn McMurtrey" w:date="2022-11-15T22:05:00Z">
        <w:r>
          <w:rPr>
            <w:sz w:val="24"/>
            <w:szCs w:val="24"/>
          </w:rPr>
          <w:t xml:space="preserve">Atkinson, A. C. (1981). Two graphical displays for outlying and influential observations in regression. Biometrika 68:13–20. </w:t>
        </w:r>
      </w:ins>
    </w:p>
    <w:p>
      <w:pPr>
        <w:pStyle w:val="Normal"/>
        <w:spacing w:lineRule="auto" w:line="480"/>
        <w:ind w:left="720" w:hanging="720"/>
        <w:rPr>
          <w:sz w:val="24"/>
          <w:szCs w:val="24"/>
          <w:ins w:id="1080" w:author="Shawn McMurtrey" w:date="2022-11-15T22:05:00Z"/>
        </w:rPr>
      </w:pPr>
      <w:ins w:id="1079" w:author="Shawn McMurtrey" w:date="2022-11-15T22:05:00Z">
        <w:r>
          <w:rPr>
            <w:sz w:val="24"/>
            <w:szCs w:val="24"/>
          </w:rPr>
        </w:r>
      </w:ins>
    </w:p>
    <w:p>
      <w:pPr>
        <w:pStyle w:val="Normal"/>
        <w:spacing w:lineRule="auto" w:line="480"/>
        <w:ind w:left="720" w:hanging="720"/>
        <w:rPr>
          <w:sz w:val="24"/>
          <w:szCs w:val="24"/>
        </w:rPr>
      </w:pPr>
      <w:ins w:id="1081" w:author="Shawn McMurtrey" w:date="2022-11-15T22:05:00Z">
        <w:r>
          <w:rPr>
            <w:sz w:val="24"/>
            <w:szCs w:val="24"/>
          </w:rPr>
          <w:t>Atkinson, A. C. (1985). Plots, Transformations and Regression. Oxford: Oxford University Press.</w:t>
        </w:r>
      </w:ins>
    </w:p>
    <w:p>
      <w:pPr>
        <w:pStyle w:val="Normal"/>
        <w:spacing w:lineRule="auto" w:line="480"/>
        <w:ind w:left="720" w:hanging="720"/>
        <w:rPr>
          <w:b/>
          <w:b/>
          <w:sz w:val="24"/>
          <w:szCs w:val="24"/>
        </w:rPr>
      </w:pPr>
      <w:r>
        <w:rPr>
          <w:b/>
          <w:sz w:val="24"/>
          <w:szCs w:val="24"/>
        </w:rPr>
      </w:r>
    </w:p>
    <w:p>
      <w:pPr>
        <w:pStyle w:val="Normal"/>
        <w:spacing w:lineRule="auto" w:line="480"/>
        <w:ind w:left="720" w:hanging="720"/>
        <w:rPr>
          <w:sz w:val="24"/>
          <w:szCs w:val="24"/>
        </w:rPr>
      </w:pPr>
      <w:r>
        <w:rPr>
          <w:rFonts w:eastAsia="Times New Roman"/>
          <w:sz w:val="24"/>
          <w:szCs w:val="24"/>
        </w:rPr>
        <w:t xml:space="preserve">  </w:t>
      </w:r>
      <w:r>
        <w:rPr>
          <w:rFonts w:eastAsia="Times New Roman"/>
          <w:sz w:val="24"/>
          <w:szCs w:val="24"/>
        </w:rPr>
        <w:t>Douglas Bates, Martin Maechler, Ben Bolker, Steve Walker (2015). Fitting Linear Mixed-Effects Models Using lme4. Journal of</w:t>
      </w:r>
      <w:r>
        <w:rPr>
          <w:sz w:val="24"/>
          <w:szCs w:val="24"/>
        </w:rPr>
        <w:t xml:space="preserve"> </w:t>
      </w:r>
      <w:r>
        <w:rPr>
          <w:rFonts w:eastAsia="Times New Roman"/>
          <w:sz w:val="24"/>
          <w:szCs w:val="24"/>
        </w:rPr>
        <w:t xml:space="preserve">Statistical Software, 67(1), 1-48. </w:t>
      </w:r>
      <w:ins w:id="1082" w:author="Sarah Hoffman" w:date="2022-11-07T19:29:00Z">
        <w:r>
          <w:rPr>
            <w:rFonts w:ascii="Roboto" w:hAnsi="Roboto"/>
            <w:color w:val="4D5156"/>
            <w:sz w:val="21"/>
            <w:szCs w:val="21"/>
            <w:shd w:fill="FFFFFF" w:val="clear"/>
          </w:rPr>
          <w:t>http://dx.doi.org/</w:t>
        </w:r>
      </w:ins>
      <w:ins w:id="1083" w:author="Sarah Hoffman" w:date="2022-11-07T19:29:00Z">
        <w:r>
          <w:rPr>
            <w:rStyle w:val="Emphasis"/>
            <w:rFonts w:ascii="Roboto" w:hAnsi="Roboto"/>
            <w:b/>
            <w:bCs/>
            <w:i w:val="false"/>
            <w:iCs w:val="false"/>
            <w:color w:val="5F6368"/>
            <w:sz w:val="21"/>
            <w:szCs w:val="21"/>
            <w:shd w:fill="FFFFFF" w:val="clear"/>
          </w:rPr>
          <w:t>10.18637</w:t>
        </w:r>
      </w:ins>
      <w:ins w:id="1084" w:author="Sarah Hoffman" w:date="2022-11-07T19:29:00Z">
        <w:r>
          <w:rPr>
            <w:rFonts w:ascii="Roboto" w:hAnsi="Roboto"/>
            <w:color w:val="4D5156"/>
            <w:sz w:val="21"/>
            <w:szCs w:val="21"/>
            <w:shd w:fill="FFFFFF" w:val="clear"/>
          </w:rPr>
          <w:t>/</w:t>
        </w:r>
      </w:ins>
      <w:ins w:id="1085" w:author="Sarah Hoffman" w:date="2022-11-07T19:29:00Z">
        <w:r>
          <w:rPr>
            <w:rStyle w:val="Emphasis"/>
            <w:rFonts w:ascii="Roboto" w:hAnsi="Roboto"/>
            <w:b/>
            <w:bCs/>
            <w:i w:val="false"/>
            <w:iCs w:val="false"/>
            <w:color w:val="5F6368"/>
            <w:sz w:val="21"/>
            <w:szCs w:val="21"/>
            <w:shd w:fill="FFFFFF" w:val="clear"/>
          </w:rPr>
          <w:t>jss</w:t>
        </w:r>
      </w:ins>
      <w:ins w:id="1086" w:author="Sarah Hoffman" w:date="2022-11-07T19:29:00Z">
        <w:r>
          <w:rPr>
            <w:rFonts w:ascii="Roboto" w:hAnsi="Roboto"/>
            <w:color w:val="4D5156"/>
            <w:sz w:val="21"/>
            <w:szCs w:val="21"/>
            <w:shd w:fill="FFFFFF" w:val="clear"/>
          </w:rPr>
          <w:t>.</w:t>
        </w:r>
      </w:ins>
      <w:ins w:id="1087" w:author="Sarah Hoffman" w:date="2022-11-07T19:29:00Z">
        <w:r>
          <w:rPr>
            <w:rStyle w:val="Emphasis"/>
            <w:rFonts w:ascii="Roboto" w:hAnsi="Roboto"/>
            <w:b/>
            <w:bCs/>
            <w:i w:val="false"/>
            <w:iCs w:val="false"/>
            <w:color w:val="5F6368"/>
            <w:sz w:val="21"/>
            <w:szCs w:val="21"/>
            <w:shd w:fill="FFFFFF" w:val="clear"/>
          </w:rPr>
          <w:t>v067</w:t>
        </w:r>
      </w:ins>
      <w:ins w:id="1088" w:author="Sarah Hoffman" w:date="2022-11-07T19:29:00Z">
        <w:r>
          <w:rPr>
            <w:rFonts w:ascii="Roboto" w:hAnsi="Roboto"/>
            <w:color w:val="4D5156"/>
            <w:sz w:val="21"/>
            <w:szCs w:val="21"/>
            <w:shd w:fill="FFFFFF" w:val="clear"/>
          </w:rPr>
          <w:t>.</w:t>
        </w:r>
      </w:ins>
      <w:ins w:id="1089" w:author="Sarah Hoffman" w:date="2022-11-07T19:29:00Z">
        <w:r>
          <w:rPr>
            <w:rStyle w:val="Emphasis"/>
            <w:rFonts w:ascii="Roboto" w:hAnsi="Roboto"/>
            <w:b/>
            <w:bCs/>
            <w:i w:val="false"/>
            <w:iCs w:val="false"/>
            <w:color w:val="5F6368"/>
            <w:sz w:val="21"/>
            <w:szCs w:val="21"/>
            <w:shd w:fill="FFFFFF" w:val="clear"/>
          </w:rPr>
          <w:t>i01</w:t>
        </w:r>
      </w:ins>
    </w:p>
    <w:p>
      <w:pPr>
        <w:pStyle w:val="Normal"/>
        <w:spacing w:lineRule="auto" w:line="480"/>
        <w:ind w:left="720" w:hanging="720"/>
        <w:rPr>
          <w:sz w:val="24"/>
          <w:szCs w:val="24"/>
        </w:rPr>
      </w:pPr>
      <w:r>
        <w:rPr>
          <w:sz w:val="24"/>
          <w:szCs w:val="24"/>
        </w:rPr>
      </w:r>
    </w:p>
    <w:p>
      <w:pPr>
        <w:pStyle w:val="Normal"/>
        <w:spacing w:lineRule="auto" w:line="480"/>
        <w:ind w:left="720" w:hanging="720"/>
        <w:rPr>
          <w:rStyle w:val="InternetLink"/>
          <w:color w:val="000000"/>
          <w:sz w:val="24"/>
          <w:szCs w:val="24"/>
          <w:shd w:fill="FFFFFF" w:val="clear"/>
        </w:rPr>
      </w:pPr>
      <w:r>
        <w:rPr>
          <w:rFonts w:eastAsia="Times New Roman"/>
          <w:sz w:val="24"/>
          <w:szCs w:val="24"/>
        </w:rPr>
        <w:t xml:space="preserve">Bennett, P.I., Tabima, J.F., Leon A.L., Browning J., Wingfield M.J. and LeBoldus J.M. (2021). Spatial Genetic Structure of the Insect-Vectored Conifer Pathogen Leptographium wageneri Suggests Long Distance Gene Flow Among Douglas-fir Plantations in Western Oregon. Front. For. Glob. Change 4:695981. </w:t>
      </w:r>
      <w:hyperlink r:id="rId21">
        <w:r>
          <w:rPr>
            <w:rStyle w:val="InternetLink"/>
            <w:color w:val="000000"/>
            <w:sz w:val="24"/>
            <w:szCs w:val="24"/>
            <w:shd w:fill="FFFFFF" w:val="clear"/>
          </w:rPr>
          <w:t>https://doi.org/10.3389/ffgc.2021.695981</w:t>
        </w:r>
      </w:hyperlink>
    </w:p>
    <w:p>
      <w:pPr>
        <w:pStyle w:val="Normal"/>
        <w:spacing w:lineRule="auto" w:line="480"/>
        <w:ind w:left="720" w:hanging="720"/>
        <w:rPr>
          <w:rStyle w:val="InternetLink"/>
          <w:color w:val="000000"/>
          <w:sz w:val="24"/>
          <w:szCs w:val="24"/>
          <w:shd w:fill="FFFFFF" w:val="clear"/>
        </w:rPr>
      </w:pPr>
      <w:r>
        <w:rPr>
          <w:color w:val="000000"/>
          <w:sz w:val="24"/>
          <w:szCs w:val="24"/>
          <w:shd w:fill="FFFFFF" w:val="clear"/>
        </w:rPr>
      </w:r>
    </w:p>
    <w:p>
      <w:pPr>
        <w:pStyle w:val="Normal"/>
        <w:spacing w:lineRule="auto" w:line="480"/>
        <w:ind w:left="720" w:hanging="720"/>
        <w:rPr>
          <w:sz w:val="24"/>
          <w:szCs w:val="24"/>
        </w:rPr>
      </w:pPr>
      <w:r>
        <w:rPr>
          <w:sz w:val="24"/>
          <w:szCs w:val="24"/>
        </w:rPr>
        <w:t xml:space="preserve">Berg, </w:t>
      </w:r>
      <w:r>
        <w:rPr>
          <w:sz w:val="24"/>
          <w:szCs w:val="24"/>
        </w:rPr>
        <w:t>A. B. (</w:t>
      </w:r>
      <w:r>
        <w:rPr>
          <w:sz w:val="24"/>
          <w:szCs w:val="24"/>
        </w:rPr>
        <w:t>1978</w:t>
      </w:r>
      <w:r>
        <w:rPr>
          <w:sz w:val="24"/>
          <w:szCs w:val="24"/>
        </w:rPr>
        <w:t>). Net production for selected plots at Black Rock. Unpublished file copy. 1 p.</w:t>
      </w:r>
    </w:p>
    <w:p>
      <w:pPr>
        <w:pStyle w:val="Normal"/>
        <w:spacing w:lineRule="auto" w:line="480"/>
        <w:ind w:left="720" w:hanging="720"/>
        <w:rPr>
          <w:sz w:val="24"/>
          <w:szCs w:val="24"/>
        </w:rPr>
      </w:pPr>
      <w:r>
        <w:rPr>
          <w:sz w:val="24"/>
          <w:szCs w:val="24"/>
        </w:rPr>
      </w:r>
    </w:p>
    <w:p>
      <w:pPr>
        <w:pStyle w:val="Normal"/>
        <w:spacing w:lineRule="auto" w:line="480"/>
        <w:ind w:left="720" w:hanging="720"/>
        <w:rPr>
          <w:sz w:val="24"/>
          <w:szCs w:val="24"/>
        </w:rPr>
      </w:pPr>
      <w:r>
        <w:rPr>
          <w:sz w:val="24"/>
          <w:szCs w:val="24"/>
        </w:rPr>
        <w:t>Blanchette, R. A. 1980: Wood decomposition by Phellinus (Fomes) pini: a scanning electron microscopy study. Can. J. Bot. 58: 1496–1503</w:t>
      </w:r>
    </w:p>
    <w:p>
      <w:pPr>
        <w:pStyle w:val="Normal"/>
        <w:spacing w:lineRule="auto" w:line="480"/>
        <w:ind w:left="720" w:hanging="720"/>
        <w:rPr>
          <w:sz w:val="24"/>
          <w:szCs w:val="24"/>
        </w:rPr>
      </w:pPr>
      <w:r>
        <w:rPr>
          <w:b/>
          <w:sz w:val="24"/>
          <w:szCs w:val="24"/>
        </w:rPr>
      </w:r>
    </w:p>
    <w:p>
      <w:pPr>
        <w:pStyle w:val="Normal"/>
        <w:spacing w:lineRule="auto" w:line="480"/>
        <w:ind w:left="720" w:hanging="720"/>
        <w:rPr>
          <w:rFonts w:eastAsia="Times New Roman"/>
          <w:sz w:val="24"/>
          <w:szCs w:val="24"/>
        </w:rPr>
      </w:pPr>
      <w:r>
        <w:rPr>
          <w:rFonts w:eastAsia="Times New Roman"/>
          <w:sz w:val="24"/>
          <w:szCs w:val="24"/>
        </w:rPr>
        <w:t>Bloomberg, W. J., Cumberbirch, P. M., and Wallis, G. W. (1980). A ground survey method for estimating loss caused by Phellinus weirii root rot, Can. For. Serv. Pacific For. Res. Cent., Victoria, B C. (BC-R-3; BC-R-4).</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color w:val="24292F"/>
          <w:sz w:val="24"/>
          <w:szCs w:val="24"/>
          <w:shd w:fill="FFFFFF" w:val="clear"/>
        </w:rPr>
      </w:pPr>
      <w:r>
        <w:rPr>
          <w:color w:val="24292F"/>
          <w:sz w:val="24"/>
          <w:szCs w:val="24"/>
          <w:shd w:fill="FFFFFF" w:val="clear"/>
        </w:rPr>
        <w:t>Bloomberg, W. J., &amp; Reynolds, G. (1985). Growth loss and mortality in laminated root rot infection centers in second-growth P. menziesii on Vancouver Island. Forest science, 31(2), 497-508.</w:t>
      </w:r>
    </w:p>
    <w:p>
      <w:pPr>
        <w:pStyle w:val="Normal"/>
        <w:spacing w:lineRule="auto" w:line="480"/>
        <w:ind w:left="720" w:hanging="720"/>
        <w:rPr>
          <w:color w:val="24292F"/>
          <w:sz w:val="24"/>
          <w:szCs w:val="24"/>
          <w:shd w:fill="FFFFFF" w:val="clear"/>
        </w:rPr>
      </w:pPr>
      <w:r>
        <w:rPr>
          <w:color w:val="24292F"/>
          <w:sz w:val="24"/>
          <w:szCs w:val="24"/>
          <w:shd w:fill="FFFFFF" w:val="clear"/>
        </w:rPr>
      </w:r>
    </w:p>
    <w:p>
      <w:pPr>
        <w:pStyle w:val="Normal"/>
        <w:spacing w:lineRule="auto" w:line="480"/>
        <w:ind w:left="720" w:hanging="720"/>
        <w:rPr>
          <w:color w:val="24292F"/>
          <w:sz w:val="24"/>
          <w:szCs w:val="24"/>
          <w:shd w:fill="FFFFFF" w:val="clear"/>
        </w:rPr>
      </w:pPr>
      <w:r>
        <w:rPr>
          <w:color w:val="24292F"/>
          <w:sz w:val="24"/>
          <w:szCs w:val="24"/>
          <w:shd w:fill="FFFFFF" w:val="clear"/>
        </w:rPr>
        <w:t>Boyce JS, Wagg JWB. 1953. Conk rot of old-growth Douglas-fir in western Oregon. OR. For. Prod. Lab. Bull. 4. 96 pp.</w:t>
      </w:r>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Canavan, S. J., &amp; Ramm, C. W. (2000). Accuracy and precision of 10 year predictions for Forest Vegetation Simulator—Lake States. Northern Journal of Applied Forestry, 17(2), 62-70 pp.</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Childs TW. 1970. Laminated root rot of Douglas-fir in western Oregon and Washington. USDA For. Serv. Res. Pap. PNW-102. 27 pp.</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Cleary, M. R., Arhipova, N., Morrison, D. J., Thomsen, I. M., Sturrock, R. N., Vasaitis, R., ... and Stenlid, J. (2013). Stump removal to control root disease in Canada and Scandinavia: A synthesis of results from long-term trials. Forest Ecology and Management, 290, 5-14 pp. </w:t>
      </w:r>
      <w:hyperlink r:id="rId22" w:tgtFrame="Persistent link using digital object identifier">
        <w:r>
          <w:rPr>
            <w:rStyle w:val="InternetLink"/>
            <w:color w:val="000000"/>
            <w:sz w:val="24"/>
            <w:szCs w:val="24"/>
            <w:shd w:fill="FFFFFF" w:val="clear"/>
          </w:rPr>
          <w:t>https://doi.org/10.1016/j.foreco.2012.05.040</w:t>
        </w:r>
      </w:hyperlink>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rStyle w:val="InternetLink"/>
          <w:color w:val="000000"/>
          <w:sz w:val="24"/>
          <w:szCs w:val="24"/>
          <w:shd w:fill="FFFFFF" w:val="clear"/>
        </w:rPr>
      </w:pPr>
      <w:r>
        <w:rPr>
          <w:rFonts w:eastAsia="Times New Roman"/>
          <w:sz w:val="24"/>
          <w:szCs w:val="24"/>
        </w:rPr>
        <w:t xml:space="preserve">Cook, R. J., Edmonds, R. L., Klopfenstein, N. B., Littke, W., McDonald, G., Omdahl, D., ... and Zambino, P.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hyperlink r:id="rId23">
        <w:r>
          <w:rPr>
            <w:rStyle w:val="InternetLink"/>
            <w:color w:val="000000"/>
            <w:sz w:val="24"/>
            <w:szCs w:val="24"/>
            <w:shd w:fill="FFFFFF" w:val="clear"/>
          </w:rPr>
          <w:t>https://www.fs.usda.gov/treesearch/pubs/46886</w:t>
        </w:r>
      </w:hyperlink>
    </w:p>
    <w:p>
      <w:pPr>
        <w:pStyle w:val="Normal"/>
        <w:spacing w:lineRule="auto" w:line="480"/>
        <w:ind w:left="720" w:hanging="720"/>
        <w:rPr>
          <w:rStyle w:val="InternetLink"/>
          <w:color w:val="000000"/>
          <w:sz w:val="24"/>
          <w:szCs w:val="24"/>
          <w:shd w:fill="FFFFFF" w:val="clear"/>
        </w:rPr>
      </w:pPr>
      <w:r>
        <w:rPr>
          <w:color w:val="000000"/>
          <w:sz w:val="24"/>
          <w:szCs w:val="24"/>
          <w:shd w:fill="FFFFFF" w:val="clear"/>
        </w:rPr>
      </w:r>
    </w:p>
    <w:p>
      <w:pPr>
        <w:pStyle w:val="Normal"/>
        <w:spacing w:lineRule="auto" w:line="480"/>
        <w:ind w:left="720" w:hanging="720"/>
        <w:rPr>
          <w:rFonts w:eastAsia="Times New Roman"/>
          <w:sz w:val="24"/>
          <w:szCs w:val="24"/>
        </w:rPr>
      </w:pPr>
      <w:r>
        <w:rPr>
          <w:rFonts w:eastAsia="Times New Roman"/>
          <w:sz w:val="24"/>
          <w:szCs w:val="24"/>
        </w:rPr>
        <w:t xml:space="preserve">David, L. R. (2018). User Friendly User’s Guide To the Western Root Disease Model Version 3.0. Forest management Service Center. Fort Collins, CO. 29-30 pp.  </w:t>
      </w:r>
      <w:hyperlink r:id="rId24">
        <w:r>
          <w:rPr>
            <w:rStyle w:val="InternetLink"/>
            <w:sz w:val="24"/>
            <w:szCs w:val="24"/>
            <w:shd w:fill="FFFFFF" w:val="clear"/>
          </w:rPr>
          <w:t>https://www.fs.fed.us/foresthealth/technology/pdfs/WesternRootDiseaseModelV3-0UserGuide2018.pdf</w:t>
        </w:r>
      </w:hyperlink>
      <w:r>
        <w:rPr>
          <w:rFonts w:eastAsia="Times New Roman"/>
          <w:sz w:val="24"/>
          <w:szCs w:val="24"/>
        </w:rPr>
        <w:t xml:space="preserve"> </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sz w:val="24"/>
          <w:szCs w:val="24"/>
        </w:rPr>
        <w:t>Dickman, A. (1992) Plant pathogens and long-term ecosystem changes. The Fungal Community: Its Organization and Role in the Ecosystem Mycology Series V 9 (ed. by G. C. Carroll and D. T. Wicklow), pp. 499 – 520. Marcel Dekker, New York, New York.</w:t>
      </w:r>
    </w:p>
    <w:p>
      <w:pPr>
        <w:pStyle w:val="Normal"/>
        <w:spacing w:lineRule="auto" w:line="480"/>
        <w:ind w:left="720" w:hanging="720"/>
        <w:rPr>
          <w:sz w:val="24"/>
          <w:szCs w:val="24"/>
        </w:rPr>
      </w:pPr>
      <w:r>
        <w:rPr>
          <w:sz w:val="24"/>
          <w:szCs w:val="24"/>
        </w:rPr>
      </w:r>
    </w:p>
    <w:p>
      <w:pPr>
        <w:pStyle w:val="Normal"/>
        <w:spacing w:lineRule="auto" w:line="480"/>
        <w:ind w:left="720" w:hanging="720"/>
        <w:rPr>
          <w:sz w:val="24"/>
          <w:szCs w:val="24"/>
        </w:rPr>
      </w:pPr>
      <w:r>
        <w:rPr>
          <w:sz w:val="24"/>
          <w:szCs w:val="24"/>
        </w:rPr>
        <w:t>Dickman, A. &amp; Cook, S. (1989) Fire and fungus in a mountain hemlock forest. Canadian Journal of Botany, 67, 2005 – 16</w:t>
      </w:r>
    </w:p>
    <w:p>
      <w:pPr>
        <w:pStyle w:val="Normal"/>
        <w:spacing w:lineRule="auto" w:line="480"/>
        <w:rPr>
          <w:sz w:val="24"/>
          <w:szCs w:val="24"/>
        </w:rPr>
      </w:pPr>
      <w:r>
        <w:rPr>
          <w:sz w:val="24"/>
          <w:szCs w:val="24"/>
        </w:rPr>
      </w:r>
    </w:p>
    <w:p>
      <w:pPr>
        <w:pStyle w:val="Normal"/>
        <w:spacing w:lineRule="auto" w:line="480"/>
        <w:ind w:left="720" w:hanging="720"/>
        <w:rPr>
          <w:sz w:val="24"/>
          <w:szCs w:val="24"/>
        </w:rPr>
      </w:pPr>
      <w:r>
        <w:rPr>
          <w:rFonts w:eastAsia="Times New Roman"/>
          <w:sz w:val="24"/>
          <w:szCs w:val="24"/>
        </w:rPr>
        <w:t xml:space="preserve">ESRI (2011) ArcGIS desktop: version 2.8.0 [computer software]. Environme91ntal Systems Research Institute, Redlands, California. </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Style w:val="InternetLink"/>
          <w:color w:val="000000"/>
          <w:ins w:id="1090" w:author="Shawn McMurtrey" w:date="2022-11-13T10:10:00Z"/>
          <w:sz w:val="24"/>
          <w:szCs w:val="24"/>
          <w:shd w:fill="FFFFFF" w:val="clear"/>
        </w:rPr>
      </w:pPr>
      <w:r>
        <w:rPr>
          <w:rFonts w:eastAsia="Times New Roman"/>
          <w:sz w:val="24"/>
          <w:szCs w:val="24"/>
        </w:rPr>
        <w:t xml:space="preserve">Fairweather, M. L., McMillin, J., Rogers, T., Conklin, D., Fitzgibbon, B. (2006). Field guide to insects and diseases of Arizona and New Mexico forests. USDA Forest Service, Southwestern Region. </w:t>
      </w:r>
      <w:hyperlink r:id="rId25">
        <w:r>
          <w:rPr>
            <w:rStyle w:val="InternetLink"/>
            <w:sz w:val="24"/>
            <w:szCs w:val="24"/>
            <w:shd w:fill="FFFFFF" w:val="clear"/>
          </w:rPr>
          <w:t>https://www.fs.usda.gov/Internet/FSE_DOCUMENTS/fsbdev3_020984.pdf</w:t>
        </w:r>
      </w:hyperlink>
    </w:p>
    <w:p>
      <w:pPr>
        <w:pStyle w:val="Normal"/>
        <w:spacing w:lineRule="auto" w:line="480"/>
        <w:ind w:left="720" w:hanging="720"/>
        <w:rPr>
          <w:rStyle w:val="InternetLink"/>
          <w:color w:val="000000"/>
          <w:ins w:id="1092" w:author="Shawn McMurtrey" w:date="2022-11-13T10:10:00Z"/>
          <w:sz w:val="24"/>
          <w:szCs w:val="24"/>
          <w:shd w:fill="FFFFFF" w:val="clear"/>
        </w:rPr>
      </w:pPr>
      <w:ins w:id="1091" w:author="Shawn McMurtrey" w:date="2022-11-13T10:10:00Z">
        <w:r>
          <w:rPr>
            <w:color w:val="000000"/>
            <w:sz w:val="24"/>
            <w:szCs w:val="24"/>
            <w:shd w:fill="FFFFFF" w:val="clear"/>
          </w:rPr>
        </w:r>
      </w:ins>
    </w:p>
    <w:p>
      <w:pPr>
        <w:pStyle w:val="Normal"/>
        <w:spacing w:lineRule="auto" w:line="480"/>
        <w:ind w:left="720" w:hanging="720"/>
        <w:rPr>
          <w:rFonts w:eastAsia="Times New Roman"/>
          <w:sz w:val="24"/>
          <w:szCs w:val="24"/>
        </w:rPr>
      </w:pPr>
      <w:ins w:id="1093" w:author="Shawn McMurtrey" w:date="2022-11-13T10:10:00Z">
        <w:r>
          <w:rPr>
            <w:rFonts w:eastAsia="Times New Roman"/>
            <w:sz w:val="24"/>
            <w:szCs w:val="24"/>
          </w:rPr>
          <w:t>Franceschi, V. R., Krokene, P., Christiansen, E., &amp; Krekling, T. (2005). Anatomical and chemical defenses of conifer bark against bark beetles and other pests. New phytologist, 167(2), 353-376.</w:t>
        </w:r>
      </w:ins>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Style w:val="InternetLink"/>
          <w:color w:val="000000"/>
          <w:sz w:val="24"/>
          <w:szCs w:val="24"/>
          <w:shd w:fill="FFFFFF" w:val="clear"/>
        </w:rPr>
      </w:pPr>
      <w:r>
        <w:rPr>
          <w:rFonts w:eastAsia="Times New Roman"/>
          <w:sz w:val="24"/>
          <w:szCs w:val="24"/>
        </w:rPr>
        <w:t xml:space="preserve">Frankel, S. J., technical coordinator. (1998). User’s guide to the Western Root Disease Model, version 3.0. Gen. Tech. Rep. PSW-GTR-165. Albany, CA: Pacific Southwest Research Station, Forest Service, U.S. Department of Agriculture. 166 p. </w:t>
      </w:r>
      <w:hyperlink r:id="rId26">
        <w:r>
          <w:rPr>
            <w:rStyle w:val="InternetLink"/>
            <w:color w:val="000000"/>
            <w:sz w:val="24"/>
            <w:szCs w:val="24"/>
            <w:shd w:fill="FFFFFF" w:val="clear"/>
          </w:rPr>
          <w:t>https://doi.org/10.2737/PSW-GTR-165</w:t>
        </w:r>
      </w:hyperlink>
    </w:p>
    <w:p>
      <w:pPr>
        <w:pStyle w:val="Normal"/>
        <w:spacing w:lineRule="auto" w:line="480"/>
        <w:ind w:left="720" w:hanging="720"/>
        <w:rPr>
          <w:rStyle w:val="InternetLink"/>
          <w:color w:val="000000"/>
          <w:sz w:val="24"/>
          <w:szCs w:val="24"/>
          <w:shd w:fill="FFFFFF" w:val="clear"/>
        </w:rPr>
      </w:pPr>
      <w:r>
        <w:rPr>
          <w:color w:val="000000"/>
          <w:sz w:val="24"/>
          <w:szCs w:val="24"/>
          <w:shd w:fill="FFFFFF" w:val="clear"/>
        </w:rPr>
      </w:r>
    </w:p>
    <w:p>
      <w:pPr>
        <w:pStyle w:val="Normal"/>
        <w:spacing w:lineRule="auto" w:line="480"/>
        <w:ind w:left="720" w:hanging="720"/>
        <w:rPr>
          <w:rFonts w:eastAsia="Times New Roman"/>
          <w:sz w:val="24"/>
          <w:szCs w:val="24"/>
        </w:rPr>
      </w:pPr>
      <w:r>
        <w:rPr>
          <w:rFonts w:eastAsia="Times New Roman"/>
          <w:sz w:val="24"/>
          <w:szCs w:val="24"/>
        </w:rPr>
        <w:t>Frankel, S.J.; Wilson, L.J.; Slaughter, G. 1998. A comparison between western root disease model predictions and real data. In: Frankel, S.J., ed. User’s guide to the Western Root Disease Model, Version 3.0 Gen. Tech. Rep. PSW-GTR-165. Albany, CA: U.S. Department of Agriculture, Forest Service, Pacific Southwest Research Station: 131–138</w:t>
      </w:r>
    </w:p>
    <w:p>
      <w:pPr>
        <w:pStyle w:val="Normal"/>
        <w:spacing w:lineRule="auto" w:line="480"/>
        <w:ind w:left="720" w:hanging="720"/>
        <w:rPr>
          <w:sz w:val="24"/>
          <w:szCs w:val="24"/>
          <w:shd w:fill="FFFFFF" w:val="clear"/>
        </w:rPr>
      </w:pPr>
      <w:r>
        <w:rPr>
          <w:sz w:val="24"/>
          <w:szCs w:val="24"/>
          <w:shd w:fill="FFFFFF" w:val="clear"/>
        </w:rPr>
      </w:r>
    </w:p>
    <w:p>
      <w:pPr>
        <w:pStyle w:val="Normal"/>
        <w:spacing w:lineRule="auto" w:line="480"/>
        <w:ind w:left="720" w:hanging="720"/>
        <w:rPr>
          <w:sz w:val="24"/>
          <w:szCs w:val="24"/>
        </w:rPr>
      </w:pPr>
      <w:r>
        <w:fldChar w:fldCharType="begin"/>
      </w:r>
      <w:r>
        <w:rPr>
          <w:sz w:val="24"/>
          <w:szCs w:val="24"/>
          <w:rFonts w:eastAsia="Times New Roman"/>
        </w:rPr>
        <w:instrText> HYPERLINK "https://www.sciencedirect.com/science/article/pii/S0378112717321321" \l "bb0120"</w:instrText>
      </w:r>
      <w:r>
        <w:rPr>
          <w:sz w:val="24"/>
          <w:szCs w:val="24"/>
          <w:rFonts w:eastAsia="Times New Roman"/>
        </w:rPr>
        <w:fldChar w:fldCharType="separate"/>
      </w:r>
      <w:r>
        <w:rPr>
          <w:rFonts w:eastAsia="Times New Roman"/>
          <w:sz w:val="24"/>
          <w:szCs w:val="24"/>
        </w:rPr>
        <w:t>Franklin J.F. and Johnson K.N. (2012</w:t>
      </w:r>
      <w:r>
        <w:rPr>
          <w:sz w:val="24"/>
          <w:szCs w:val="24"/>
          <w:rFonts w:eastAsia="Times New Roman"/>
        </w:rPr>
        <w:fldChar w:fldCharType="end"/>
      </w:r>
      <w:r>
        <w:rPr>
          <w:rFonts w:eastAsia="Times New Roman"/>
          <w:sz w:val="24"/>
          <w:szCs w:val="24"/>
        </w:rPr>
        <w:t xml:space="preserve">). A restoration framework for federal forests in the Pacific Northwest. J. Forest., 110 (2012), pp. 429-439. </w:t>
      </w:r>
      <w:hyperlink r:id="rId27">
        <w:r>
          <w:rPr>
            <w:rStyle w:val="InternetLink"/>
            <w:color w:val="000000"/>
            <w:sz w:val="24"/>
            <w:szCs w:val="24"/>
            <w:shd w:fill="FFFFFF" w:val="clear"/>
          </w:rPr>
          <w:t>https://doi.org/10.5849/jof.10-006</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Furniss, M. M. and Kegley, S. J. (2014). Forest Insect and Disease Leaflet 5. US Department of Agriculture, Forest Service.</w:t>
      </w:r>
    </w:p>
    <w:p>
      <w:pPr>
        <w:pStyle w:val="Normal"/>
        <w:spacing w:lineRule="auto" w:line="480"/>
        <w:rPr>
          <w:sz w:val="24"/>
          <w:szCs w:val="24"/>
          <w:shd w:fill="FFFFFF" w:val="clear"/>
        </w:rPr>
      </w:pPr>
      <w:r>
        <w:rPr>
          <w:sz w:val="24"/>
          <w:szCs w:val="24"/>
          <w:shd w:fill="FFFFFF" w:val="clear"/>
        </w:rPr>
      </w:r>
    </w:p>
    <w:p>
      <w:pPr>
        <w:pStyle w:val="Normal"/>
        <w:spacing w:lineRule="auto" w:line="480"/>
        <w:ind w:left="720" w:hanging="720"/>
        <w:rPr>
          <w:sz w:val="24"/>
          <w:szCs w:val="24"/>
        </w:rPr>
      </w:pPr>
      <w:r>
        <w:rPr>
          <w:rFonts w:eastAsia="Times New Roman"/>
          <w:sz w:val="24"/>
          <w:szCs w:val="24"/>
        </w:rPr>
        <w:t xml:space="preserve">Goheen, D. J., and Otrosina, W. J. (1998). Characteristics and consequences of root diseases in forests of western North America. In: Frankel, Susan J., tech. coord. User’s guide to the western root disease model, version 3.0. Gen. Tech. Rep. PSW-GTR 165. Albany, CA: US Department of Agriculture, Forest Service, Pacific Southwest Station: 3-8 p. </w:t>
      </w:r>
      <w:r>
        <w:rPr>
          <w:rStyle w:val="InternetLink"/>
          <w:color w:val="000000"/>
          <w:sz w:val="24"/>
          <w:szCs w:val="24"/>
          <w:shd w:fill="FFFFFF" w:val="clear"/>
        </w:rPr>
        <w:t>https://www.fs.usda.gov/treesearch/pubs/1087</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Hadfield, J. S., and Region., (1985). Laminated root rot : a guide for reducing and preventing losses in Oregon and Washington forests (Vol. 1985). [Portland, Or.] : U.S. Dept. of Agriculture, Forest Service, Pacific Northwest Region. 13 p. </w:t>
      </w:r>
      <w:hyperlink r:id="rId28">
        <w:r>
          <w:rPr>
            <w:rStyle w:val="InternetLink"/>
            <w:color w:val="000000"/>
            <w:sz w:val="24"/>
            <w:szCs w:val="24"/>
            <w:shd w:fill="FFFFFF" w:val="clear"/>
          </w:rPr>
          <w:t>https://www.biodiversitylibrary.org/bibliography/178892</w:t>
        </w:r>
      </w:hyperlink>
      <w:r>
        <w:rPr>
          <w:rStyle w:val="InternetLink"/>
          <w:color w:val="000000"/>
          <w:sz w:val="24"/>
          <w:szCs w:val="24"/>
          <w:shd w:fill="FFFFFF" w:val="clear"/>
        </w:rPr>
        <w:br/>
      </w:r>
    </w:p>
    <w:p>
      <w:pPr>
        <w:pStyle w:val="Normal"/>
        <w:spacing w:lineRule="auto" w:line="480"/>
        <w:ind w:left="720" w:hanging="720"/>
        <w:rPr>
          <w:sz w:val="24"/>
          <w:szCs w:val="24"/>
        </w:rPr>
      </w:pPr>
      <w:r>
        <w:rPr>
          <w:rFonts w:eastAsia="Times New Roman"/>
          <w:sz w:val="24"/>
          <w:szCs w:val="24"/>
        </w:rPr>
        <w:t xml:space="preserve">Hadfield, J. S., Goheen, D. J., Filip, G. M., Schmitt, C. L., Harvey, R.D., (1986). Root diseases in Oregon and Washington conifers. Portland, OR: USDA Forest Service, Pacific Northwest Region. 27 p. </w:t>
      </w:r>
      <w:r>
        <w:rPr>
          <w:rStyle w:val="InternetLink"/>
          <w:color w:val="000000"/>
          <w:sz w:val="24"/>
          <w:szCs w:val="24"/>
          <w:shd w:fill="FFFFFF" w:val="clear"/>
        </w:rPr>
        <w:t>https://www.fs.usda.gov/detail/r6/forest-grasslandhealth/?cid=fsbdev2_027376</w:t>
        <w:br/>
      </w:r>
    </w:p>
    <w:p>
      <w:pPr>
        <w:pStyle w:val="Normal"/>
        <w:spacing w:lineRule="auto" w:line="480"/>
        <w:ind w:left="720" w:hanging="720"/>
        <w:rPr>
          <w:sz w:val="24"/>
          <w:szCs w:val="24"/>
        </w:rPr>
      </w:pPr>
      <w:r>
        <w:rPr>
          <w:rFonts w:eastAsia="Times New Roman"/>
          <w:sz w:val="24"/>
          <w:szCs w:val="24"/>
          <w:lang w:val="fr-FR"/>
          <w:rPrChange w:id="0" w:author="Sarah Hoffman" w:date="2022-11-04T19:18:00Z"/>
        </w:rPr>
        <w:t xml:space="preserve">Hagle, S. K., Tunnock, S. T., Gibson, K. E., Gilligan, C. J., (1987). </w:t>
      </w:r>
      <w:r>
        <w:rPr>
          <w:rFonts w:eastAsia="Times New Roman"/>
          <w:sz w:val="24"/>
          <w:szCs w:val="24"/>
        </w:rPr>
        <w:t>Field Guide to Diseases and Insect Pests of Idaho and Montana Forests. United States: U.S. Department of Agriculture, Forest Service, State and Private Forestry, Northern Region. 123 p.</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Hanna, J., Warwell, M. V., Maffei, H., Fairweather, M. L., Blodgett, J. T., Zambino, P. J., ... and Klopfenstein, N. (2016). Bioclimatic modeling predicts potential distribution of Armillaria solidipes and Pseudotsuga menziesii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Logan, UT: Utah State University, Quinney College of Natural Resources. p. 117-123. </w:t>
      </w:r>
      <w:r>
        <w:rPr>
          <w:rStyle w:val="InternetLink"/>
          <w:color w:val="000000"/>
          <w:sz w:val="24"/>
          <w:szCs w:val="24"/>
          <w:shd w:fill="FFFFFF" w:val="clear"/>
        </w:rPr>
        <w:t>https://www.fs.usda.gov/treesearch/pubs/52098</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Hansen, E. M. (1979). Survival of Phellinusweirii in Douglas-fir stumps after logging. Canadian Journal of Forest Research. 9(4): 484-488. </w:t>
      </w:r>
      <w:hyperlink r:id="rId29">
        <w:r>
          <w:rPr>
            <w:rStyle w:val="InternetLink"/>
            <w:color w:val="000000"/>
            <w:sz w:val="24"/>
            <w:szCs w:val="24"/>
            <w:shd w:fill="FFFFFF" w:val="clear"/>
          </w:rPr>
          <w:t>https://doi.org/10.1139/x79-078</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Hansen, E. M., Reynolds K., Angwin P., (1983). Factors influencing the spread of Phellinus weirii in Douglas-fir. Proc. 6th mt. Conf. On Root and Butt Rots in Forest Trees. Melbourne, Victoria, Gympie, Australia. </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Style w:val="InternetLink"/>
          <w:sz w:val="24"/>
          <w:szCs w:val="24"/>
          <w:shd w:fill="FFFFFF" w:val="clear"/>
        </w:rPr>
      </w:pPr>
      <w:r>
        <w:rPr>
          <w:rFonts w:eastAsia="Times New Roman"/>
          <w:sz w:val="24"/>
          <w:szCs w:val="24"/>
        </w:rPr>
        <w:t xml:space="preserve">Hansen, E. M., and Goheen, E. M. (2000). Phellinus weirii and other native root pathogens as determinants of forest structure and process in western North America. Annual review of phytopathology, 38(1), 515-539. </w:t>
      </w:r>
      <w:hyperlink r:id="rId30">
        <w:r>
          <w:rPr>
            <w:rStyle w:val="InternetLink"/>
            <w:sz w:val="24"/>
            <w:szCs w:val="24"/>
            <w:shd w:fill="FFFFFF" w:val="clear"/>
          </w:rPr>
          <w:t>http://dx.doi.org/10.1146/annurev.phyto.38.1.515</w:t>
        </w:r>
      </w:hyperlink>
    </w:p>
    <w:p>
      <w:pPr>
        <w:pStyle w:val="Normal"/>
        <w:spacing w:lineRule="auto" w:line="480"/>
        <w:rPr>
          <w:rStyle w:val="InternetLink"/>
          <w:color w:val="000000"/>
          <w:sz w:val="24"/>
          <w:szCs w:val="24"/>
          <w:u w:val="none"/>
          <w:shd w:fill="FFFFFF" w:val="clear"/>
        </w:rPr>
      </w:pPr>
      <w:r>
        <w:rPr>
          <w:color w:val="000000"/>
          <w:sz w:val="24"/>
          <w:szCs w:val="24"/>
          <w:u w:val="none"/>
          <w:shd w:fill="FFFFFF" w:val="clear"/>
        </w:rPr>
      </w:r>
    </w:p>
    <w:p>
      <w:pPr>
        <w:pStyle w:val="Normal"/>
        <w:spacing w:lineRule="auto" w:line="480"/>
        <w:ind w:left="720" w:hanging="720"/>
        <w:rPr>
          <w:color w:val="000000"/>
          <w:sz w:val="24"/>
          <w:szCs w:val="24"/>
          <w:shd w:fill="FFFFFF" w:val="clear"/>
        </w:rPr>
      </w:pPr>
      <w:r>
        <w:rPr>
          <w:rStyle w:val="InternetLink"/>
          <w:color w:val="000000"/>
          <w:sz w:val="24"/>
          <w:szCs w:val="24"/>
          <w:u w:val="none"/>
          <w:shd w:fill="FFFFFF" w:val="clear"/>
        </w:rPr>
        <w:t>Harrington, C. A. (2006). Biology and ecology of red alder. United States Department of Agriculture Forest Service General Technical Report PNW, 669, 21.</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Healey, S. P., Raymond, C. L., Lockman, I. B., Hernandez, A. J., Garrard, C., and Huang, C. (2016). Root disease can rival fire and harvest in reducing forest carbon storage. Ecosphere, 7(11), e01569. </w:t>
      </w:r>
      <w:hyperlink r:id="rId31">
        <w:r>
          <w:rPr>
            <w:rStyle w:val="InternetLink"/>
            <w:color w:val="000000"/>
            <w:sz w:val="24"/>
            <w:szCs w:val="24"/>
            <w:shd w:fill="FFFFFF" w:val="clear"/>
          </w:rPr>
          <w:t>https://doi.org/10.1002/ecs2.1569</w:t>
        </w:r>
      </w:hyperlink>
    </w:p>
    <w:p>
      <w:pPr>
        <w:pStyle w:val="Normal"/>
        <w:spacing w:lineRule="auto" w:line="480"/>
        <w:ind w:left="720" w:hanging="720"/>
        <w:rPr>
          <w:sz w:val="24"/>
          <w:szCs w:val="24"/>
          <w:shd w:fill="FFFFFF" w:val="clear"/>
        </w:rPr>
      </w:pPr>
      <w:r>
        <w:rPr>
          <w:sz w:val="24"/>
          <w:szCs w:val="24"/>
          <w:shd w:fill="FFFFFF" w:val="clear"/>
        </w:rPr>
      </w:r>
    </w:p>
    <w:p>
      <w:pPr>
        <w:pStyle w:val="Normal"/>
        <w:spacing w:lineRule="auto" w:line="480"/>
        <w:ind w:left="720" w:hanging="720"/>
        <w:rPr>
          <w:sz w:val="24"/>
          <w:szCs w:val="24"/>
        </w:rPr>
      </w:pPr>
      <w:r>
        <w:rPr>
          <w:rFonts w:eastAsia="Times New Roman"/>
          <w:sz w:val="24"/>
          <w:szCs w:val="24"/>
        </w:rPr>
        <w:t xml:space="preserve">Klopfenstein, N. B., Kim, M.-S.; Hanna, J. W.; Richardson, B. A.; Lundquist, J. E. (2009). Approaches to predicting potential impacts of climate change on forest disease: an example with Armillaria root disease. Res. Pap. RMRS- RP-76. Fort Collins, CO: U.S. Department of Agriculture , Forest Service, Rocky Mountain Research Station . 10 p. </w:t>
      </w:r>
      <w:r>
        <w:rPr>
          <w:rStyle w:val="InternetLink"/>
          <w:color w:val="000000"/>
          <w:sz w:val="24"/>
          <w:szCs w:val="24"/>
          <w:shd w:fill="FFFFFF" w:val="clear"/>
        </w:rPr>
        <w:t>https://www.fs.fed.us/rm/pubs/rmrs_rp076.pdf</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Style w:val="InternetLink"/>
          <w:color w:val="000000"/>
          <w:sz w:val="24"/>
          <w:szCs w:val="24"/>
          <w:shd w:fill="FFFFFF" w:val="clear"/>
        </w:rPr>
      </w:pPr>
      <w:r>
        <w:rPr>
          <w:rFonts w:eastAsia="Times New Roman"/>
          <w:sz w:val="24"/>
          <w:szCs w:val="24"/>
        </w:rPr>
        <w:t xml:space="preserve">Lan, Y. H., Shaw, D. C., Beedlow, P. A., Lee, E. H., and Waschmann, R. S. (2019). Severity of Swiss needle cast in young and mature Douglas-fir forests in western Oregon, USA. Forest ecology and management, 442, 79-95 p. </w:t>
      </w:r>
      <w:hyperlink r:id="rId32" w:tgtFrame="Persistent link using digital object identifier">
        <w:r>
          <w:rPr>
            <w:rStyle w:val="InternetLink"/>
            <w:color w:val="000000"/>
            <w:sz w:val="24"/>
            <w:szCs w:val="24"/>
            <w:shd w:fill="FFFFFF" w:val="clear"/>
          </w:rPr>
          <w:t>https://doi.org/10.1016/j.foreco.2019.03.063</w:t>
        </w:r>
      </w:hyperlink>
    </w:p>
    <w:p>
      <w:pPr>
        <w:pStyle w:val="Normal"/>
        <w:spacing w:lineRule="auto" w:line="480"/>
        <w:ind w:left="720" w:hanging="720"/>
        <w:rPr>
          <w:rStyle w:val="InternetLink"/>
          <w:color w:val="000000"/>
          <w:sz w:val="24"/>
          <w:szCs w:val="24"/>
          <w:shd w:fill="FFFFFF" w:val="clear"/>
        </w:rPr>
      </w:pPr>
      <w:r>
        <w:rPr>
          <w:color w:val="000000"/>
          <w:sz w:val="24"/>
          <w:szCs w:val="24"/>
          <w:shd w:fill="FFFFFF" w:val="clear"/>
        </w:rPr>
      </w:r>
    </w:p>
    <w:p>
      <w:pPr>
        <w:pStyle w:val="Normal"/>
        <w:spacing w:lineRule="auto" w:line="480"/>
        <w:ind w:left="720" w:hanging="720"/>
        <w:rPr>
          <w:rFonts w:eastAsia="Times New Roman"/>
          <w:sz w:val="24"/>
          <w:szCs w:val="24"/>
          <w:lang w:val="es-ES"/>
        </w:rPr>
      </w:pPr>
      <w:r>
        <w:rPr>
          <w:rFonts w:eastAsia="Times New Roman"/>
          <w:sz w:val="24"/>
          <w:szCs w:val="24"/>
        </w:rPr>
        <w:t xml:space="preserve">Langridge, R.W., 1987. Soil survey of Linn County Area, Oregon. </w:t>
      </w:r>
      <w:r>
        <w:rPr>
          <w:rFonts w:eastAsia="Times New Roman"/>
          <w:sz w:val="24"/>
          <w:szCs w:val="24"/>
          <w:lang w:val="es-ES"/>
          <w:rPrChange w:id="0" w:author="Sarah Hoffman" w:date="2022-11-04T19:18:00Z"/>
        </w:rPr>
        <w:t>USDA Soil Con. Ser., Washington, DC.</w:t>
      </w:r>
    </w:p>
    <w:p>
      <w:pPr>
        <w:pStyle w:val="Normal"/>
        <w:spacing w:lineRule="auto" w:line="480"/>
        <w:ind w:left="720" w:hanging="720"/>
        <w:rPr>
          <w:rFonts w:eastAsia="Times New Roman"/>
          <w:sz w:val="24"/>
          <w:szCs w:val="24"/>
          <w:lang w:val="es-ES"/>
        </w:rPr>
      </w:pPr>
      <w:r>
        <w:rPr>
          <w:rFonts w:eastAsia="Times New Roman"/>
          <w:sz w:val="24"/>
          <w:szCs w:val="24"/>
          <w:lang w:val="es-ES"/>
        </w:rPr>
      </w:r>
    </w:p>
    <w:p>
      <w:pPr>
        <w:pStyle w:val="Normal"/>
        <w:spacing w:lineRule="auto" w:line="480"/>
        <w:ind w:left="720" w:hanging="720"/>
        <w:rPr>
          <w:sz w:val="24"/>
          <w:szCs w:val="24"/>
        </w:rPr>
      </w:pPr>
      <w:r>
        <w:rPr>
          <w:rFonts w:eastAsia="Times New Roman"/>
          <w:sz w:val="24"/>
          <w:szCs w:val="24"/>
        </w:rPr>
        <w:t xml:space="preserve">Lattin, P.D. 1998. Spatial analysis of Phellinus wierii infection centers in the Central Cascades of Oregon: Inferring ecological processes from patterns. M.S. Thesis Oregon State University. </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Law, B. E., Hudiburg, T. W., and Luyssaert, S. (2013). Thinning effects on forest productivity: consequences of preserving old forests and mitigating impacts of fire and drought. Plant Ecology and Diversity, 6(1), 73-85. </w:t>
      </w:r>
      <w:hyperlink r:id="rId33">
        <w:r>
          <w:rPr>
            <w:rStyle w:val="InternetLink"/>
            <w:color w:val="000000"/>
            <w:sz w:val="24"/>
            <w:szCs w:val="24"/>
            <w:shd w:fill="FFFFFF" w:val="clear"/>
          </w:rPr>
          <w:t>https://doi.org/10.1080/17550874.2012.679013</w:t>
        </w:r>
      </w:hyperlink>
    </w:p>
    <w:p>
      <w:pPr>
        <w:pStyle w:val="Normal"/>
        <w:spacing w:lineRule="auto" w:line="480"/>
        <w:rPr>
          <w:sz w:val="24"/>
          <w:szCs w:val="24"/>
        </w:rPr>
      </w:pPr>
      <w:r>
        <w:rPr>
          <w:sz w:val="24"/>
          <w:szCs w:val="24"/>
        </w:rPr>
      </w:r>
    </w:p>
    <w:p>
      <w:pPr>
        <w:pStyle w:val="Normal"/>
        <w:spacing w:lineRule="auto" w:line="480"/>
        <w:ind w:left="720" w:hanging="720"/>
        <w:rPr>
          <w:rFonts w:eastAsia="Times New Roman"/>
          <w:sz w:val="24"/>
          <w:szCs w:val="24"/>
        </w:rPr>
      </w:pPr>
      <w:r>
        <w:rPr>
          <w:rFonts w:eastAsia="Times New Roman"/>
          <w:sz w:val="24"/>
          <w:szCs w:val="24"/>
        </w:rPr>
        <w:t>Lawson, T. T. (1979). Some silvicultural impacts of Phellinus weirii on a managed forest in the interior Coast Range of Oregon (Master’s thesis). Oregon State University, Corvallis, OR.</w:t>
      </w:r>
    </w:p>
    <w:p>
      <w:pPr>
        <w:pStyle w:val="Normal"/>
        <w:spacing w:lineRule="auto" w:line="480"/>
        <w:rPr>
          <w:sz w:val="24"/>
          <w:szCs w:val="24"/>
          <w:shd w:fill="FFFFFF" w:val="clear"/>
        </w:rPr>
      </w:pPr>
      <w:r>
        <w:rPr>
          <w:sz w:val="24"/>
          <w:szCs w:val="24"/>
          <w:shd w:fill="FFFFFF" w:val="clear"/>
        </w:rPr>
      </w:r>
    </w:p>
    <w:p>
      <w:pPr>
        <w:pStyle w:val="Normal"/>
        <w:spacing w:lineRule="auto" w:line="480"/>
        <w:ind w:left="720" w:hanging="720"/>
        <w:rPr>
          <w:rFonts w:eastAsia="Times New Roman"/>
          <w:sz w:val="24"/>
          <w:szCs w:val="24"/>
        </w:rPr>
      </w:pPr>
      <w:r>
        <w:rPr>
          <w:rFonts w:eastAsia="Times New Roman"/>
          <w:sz w:val="24"/>
          <w:szCs w:val="24"/>
        </w:rPr>
        <w:t xml:space="preserve">Lawson, T. T., Berg, A. B., &amp; Hansen, E. M. (1983). Damage from laminated root rot at the Black Rock Forest Management Research Area in western Oregon. (Res. Note 75). Corvallis, OR: Oregon State University, Forest Research Laboratory </w:t>
      </w:r>
    </w:p>
    <w:p>
      <w:pPr>
        <w:pStyle w:val="Normal"/>
        <w:spacing w:lineRule="auto" w:line="480"/>
        <w:ind w:left="720" w:hanging="720"/>
        <w:rPr>
          <w:rFonts w:eastAsia="Times New Roman"/>
          <w:sz w:val="24"/>
          <w:szCs w:val="24"/>
        </w:rPr>
      </w:pPr>
      <w:r>
        <w:rPr/>
      </w:r>
    </w:p>
    <w:p>
      <w:pPr>
        <w:pStyle w:val="Normal"/>
        <w:spacing w:lineRule="auto" w:line="480"/>
        <w:ind w:left="720" w:hanging="720"/>
        <w:rPr>
          <w:rFonts w:eastAsia="Times New Roman"/>
          <w:sz w:val="24"/>
          <w:szCs w:val="24"/>
        </w:rPr>
      </w:pPr>
      <w:r>
        <w:rPr>
          <w:rFonts w:eastAsia="Times New Roman"/>
          <w:sz w:val="24"/>
          <w:szCs w:val="24"/>
        </w:rPr>
        <w:t>Leal I., Bergeron, M. J., Feau, N., Tsui, C. K. M., Foord, B., Pellow, K., ... and Sturrock, R. N. (2019). Cryptic Speciation in Western North America and Eastern Eurasia of the Pathogens Responsible for Laminated Root Rot. Phytopathology, 109(3), 456-468.</w:t>
      </w:r>
    </w:p>
    <w:p>
      <w:pPr>
        <w:pStyle w:val="Normal"/>
        <w:spacing w:lineRule="auto" w:line="480"/>
        <w:ind w:left="720" w:hanging="720"/>
        <w:rPr>
          <w:sz w:val="24"/>
          <w:szCs w:val="24"/>
        </w:rPr>
      </w:pPr>
      <w:r>
        <w:rPr>
          <w:sz w:val="24"/>
          <w:szCs w:val="24"/>
        </w:rPr>
      </w:r>
    </w:p>
    <w:p>
      <w:pPr>
        <w:pStyle w:val="Normal"/>
        <w:spacing w:lineRule="auto" w:line="480"/>
        <w:ind w:left="720" w:hanging="720"/>
        <w:rPr>
          <w:sz w:val="24"/>
          <w:szCs w:val="24"/>
        </w:rPr>
      </w:pPr>
      <w:r>
        <w:rPr>
          <w:sz w:val="24"/>
          <w:szCs w:val="24"/>
        </w:rPr>
        <w:t xml:space="preserve">Lewis, K. J. (2013). Laminated and tomentosus root rots. Infectious forest diseases. </w:t>
      </w:r>
    </w:p>
    <w:p>
      <w:pPr>
        <w:pStyle w:val="Normal"/>
        <w:spacing w:lineRule="auto" w:line="480"/>
        <w:ind w:left="720" w:hanging="0"/>
        <w:rPr>
          <w:sz w:val="24"/>
          <w:szCs w:val="24"/>
        </w:rPr>
      </w:pPr>
      <w:r>
        <w:rPr>
          <w:sz w:val="24"/>
          <w:szCs w:val="24"/>
        </w:rPr>
        <w:t>Wallingford: CAB International, 178-196.</w:t>
      </w:r>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rFonts w:eastAsia="Times New Roman"/>
          <w:ins w:id="1096" w:author="Shawn McMurtrey" w:date="2022-11-08T08:41:00Z"/>
          <w:sz w:val="24"/>
          <w:szCs w:val="24"/>
        </w:rPr>
      </w:pPr>
      <w:r>
        <w:rPr>
          <w:rFonts w:eastAsia="Times New Roman"/>
          <w:sz w:val="24"/>
          <w:szCs w:val="24"/>
        </w:rPr>
        <w:t xml:space="preserve">Lim, Y. W., Yeung, Y. C. A., Sturrock, R., Leal, I., &amp; Breuil, C. (2005). Differentiating the two closely related species, Phellinus weirii and P. sulphurascens. Forest Pathology, 35(4), 305–314. doi:10.1111/j.1439-0329.2005.00410.x </w:t>
      </w:r>
    </w:p>
    <w:p>
      <w:pPr>
        <w:pStyle w:val="Normal"/>
        <w:spacing w:lineRule="auto" w:line="480"/>
        <w:ind w:left="720" w:hanging="720"/>
        <w:rPr>
          <w:rFonts w:eastAsia="Times New Roman"/>
          <w:ins w:id="1098" w:author="Shawn McMurtrey" w:date="2022-11-08T08:41:00Z"/>
          <w:sz w:val="24"/>
          <w:szCs w:val="24"/>
        </w:rPr>
      </w:pPr>
      <w:ins w:id="1097" w:author="Shawn McMurtrey" w:date="2022-11-08T08:41:00Z">
        <w:r>
          <w:rPr>
            <w:rFonts w:eastAsia="Times New Roman"/>
            <w:sz w:val="24"/>
            <w:szCs w:val="24"/>
          </w:rPr>
        </w:r>
      </w:ins>
    </w:p>
    <w:p>
      <w:pPr>
        <w:pStyle w:val="Normal"/>
        <w:spacing w:lineRule="auto" w:line="480"/>
        <w:ind w:left="720" w:hanging="720"/>
        <w:rPr>
          <w:rFonts w:eastAsia="Times New Roman"/>
          <w:ins w:id="1100" w:author="Shawn McMurtrey" w:date="2022-11-08T08:41:00Z"/>
          <w:sz w:val="24"/>
          <w:szCs w:val="24"/>
        </w:rPr>
      </w:pPr>
      <w:ins w:id="1099" w:author="Shawn McMurtrey" w:date="2022-11-08T08:41:00Z">
        <w:r>
          <w:rPr>
            <w:rFonts w:eastAsia="Times New Roman"/>
            <w:sz w:val="24"/>
            <w:szCs w:val="24"/>
          </w:rPr>
          <w:t>McCauley KJ, Cook SA. 1980. Phellinus weirii infestation of two mountain hemlock</w:t>
        </w:r>
      </w:ins>
    </w:p>
    <w:p>
      <w:pPr>
        <w:pStyle w:val="Normal"/>
        <w:spacing w:lineRule="auto" w:line="480"/>
        <w:ind w:firstLine="720"/>
        <w:rPr>
          <w:rFonts w:eastAsia="Times New Roman"/>
          <w:sz w:val="24"/>
          <w:szCs w:val="24"/>
        </w:rPr>
      </w:pPr>
      <w:ins w:id="1101" w:author="Shawn McMurtrey" w:date="2022-11-08T08:41:00Z">
        <w:r>
          <w:rPr>
            <w:rFonts w:eastAsia="Times New Roman"/>
            <w:sz w:val="24"/>
            <w:szCs w:val="24"/>
          </w:rPr>
          <w:t>forests in the Oregon Cascades. For. Sci. 26:23–29</w:t>
        </w:r>
      </w:ins>
    </w:p>
    <w:p>
      <w:pPr>
        <w:pStyle w:val="Normal"/>
        <w:spacing w:lineRule="auto" w:line="480"/>
        <w:ind w:left="720" w:hanging="720"/>
        <w:rPr>
          <w:rFonts w:eastAsia="Times New Roman"/>
          <w:sz w:val="24"/>
          <w:szCs w:val="24"/>
          <w:del w:id="1103" w:author="Shawn McMurtrey" w:date="2022-11-08T08:41:00Z"/>
        </w:rPr>
      </w:pPr>
      <w:del w:id="1102" w:author="Shawn McMurtrey" w:date="2022-11-08T08:41:00Z">
        <w:r>
          <w:rPr>
            <w:rFonts w:eastAsia="Times New Roman"/>
            <w:sz w:val="24"/>
            <w:szCs w:val="24"/>
          </w:rPr>
        </w:r>
      </w:del>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ins w:id="1104" w:author="Shawn McMurtrey" w:date="2022-11-08T08:42:00Z"/>
          <w:sz w:val="24"/>
          <w:szCs w:val="24"/>
        </w:rPr>
      </w:pPr>
      <w:r>
        <w:rPr>
          <w:rFonts w:eastAsia="Times New Roman"/>
          <w:sz w:val="24"/>
          <w:szCs w:val="24"/>
        </w:rPr>
        <w:t>McMurtrey S., Alcalá-Briseño R.I., Showalter D.N., LeBoldus J.M. 2022. Draft Genome Resource for Forest Pathogen Coniferiporia weirii – a Facultative Pathogen of Thuja plicata and Callitropsis nootkatensis. Plant Disease.</w:t>
      </w:r>
    </w:p>
    <w:p>
      <w:pPr>
        <w:pStyle w:val="Normal"/>
        <w:spacing w:lineRule="auto" w:line="480"/>
        <w:ind w:left="720" w:hanging="720"/>
        <w:rPr>
          <w:rFonts w:eastAsia="Times New Roman"/>
          <w:ins w:id="1106" w:author="Shawn McMurtrey" w:date="2022-11-08T08:42:00Z"/>
          <w:sz w:val="24"/>
          <w:szCs w:val="24"/>
        </w:rPr>
      </w:pPr>
      <w:ins w:id="1105" w:author="Shawn McMurtrey" w:date="2022-11-08T08:42:00Z">
        <w:r>
          <w:rPr>
            <w:rFonts w:eastAsia="Times New Roman"/>
            <w:sz w:val="24"/>
            <w:szCs w:val="24"/>
          </w:rPr>
        </w:r>
      </w:ins>
    </w:p>
    <w:p>
      <w:pPr>
        <w:pStyle w:val="Normal"/>
        <w:spacing w:lineRule="auto" w:line="480"/>
        <w:ind w:left="720" w:hanging="720"/>
        <w:rPr>
          <w:rFonts w:eastAsia="Times New Roman"/>
          <w:ins w:id="1108" w:author="Shawn McMurtrey" w:date="2022-11-08T08:42:00Z"/>
          <w:sz w:val="24"/>
          <w:szCs w:val="24"/>
        </w:rPr>
      </w:pPr>
      <w:ins w:id="1107" w:author="Shawn McMurtrey" w:date="2022-11-08T08:42:00Z">
        <w:r>
          <w:rPr>
            <w:rFonts w:eastAsia="Times New Roman"/>
            <w:sz w:val="24"/>
            <w:szCs w:val="24"/>
          </w:rPr>
          <w:t>Nelson EE, Hartman T. 1975. Estimating spread of Poria weirii in a high elevation mixed conifer stand. J. For. 73:141–</w:t>
        </w:r>
      </w:ins>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rPr>
          <w:sz w:val="24"/>
          <w:szCs w:val="24"/>
        </w:rPr>
      </w:pPr>
      <w:r>
        <w:rPr>
          <w:sz w:val="24"/>
          <w:szCs w:val="24"/>
        </w:rPr>
      </w:r>
    </w:p>
    <w:p>
      <w:pPr>
        <w:pStyle w:val="Normal"/>
        <w:spacing w:lineRule="auto" w:line="480"/>
        <w:ind w:left="720" w:hanging="720"/>
        <w:rPr>
          <w:sz w:val="24"/>
          <w:szCs w:val="24"/>
          <w:lang w:val="fr-FR"/>
        </w:rPr>
      </w:pPr>
      <w:r>
        <w:rPr>
          <w:rFonts w:eastAsia="Times New Roman"/>
          <w:sz w:val="24"/>
          <w:szCs w:val="24"/>
        </w:rPr>
        <w:t xml:space="preserve">  </w:t>
      </w:r>
      <w:r>
        <w:rPr>
          <w:rFonts w:eastAsia="Times New Roman"/>
          <w:sz w:val="24"/>
          <w:szCs w:val="24"/>
        </w:rPr>
        <w:t xml:space="preserve">Russell V. Lenth (2022). emmeans: Estimated Marginal Means, aka Least-Squares Means. </w:t>
      </w:r>
      <w:r>
        <w:rPr>
          <w:rFonts w:eastAsia="Times New Roman"/>
          <w:sz w:val="24"/>
          <w:szCs w:val="24"/>
          <w:lang w:val="fr-FR"/>
        </w:rPr>
        <w:t>R package version 1.7.4-1.</w:t>
      </w:r>
    </w:p>
    <w:p>
      <w:pPr>
        <w:pStyle w:val="Normal"/>
        <w:spacing w:lineRule="auto" w:line="480"/>
        <w:ind w:left="720" w:hanging="720"/>
        <w:rPr>
          <w:sz w:val="24"/>
          <w:szCs w:val="24"/>
          <w:lang w:val="fr-FR"/>
        </w:rPr>
      </w:pPr>
      <w:r>
        <w:rPr>
          <w:rFonts w:eastAsia="Times New Roman"/>
          <w:sz w:val="24"/>
          <w:szCs w:val="24"/>
          <w:lang w:val="fr-FR"/>
        </w:rPr>
        <w:t xml:space="preserve">  </w:t>
      </w:r>
      <w:r>
        <w:rPr>
          <w:rFonts w:eastAsia="Times New Roman"/>
          <w:sz w:val="24"/>
          <w:szCs w:val="24"/>
          <w:lang w:val="fr-FR"/>
        </w:rPr>
        <w:t>https://CRAN.R-project.org/package=emmeans</w:t>
      </w:r>
    </w:p>
    <w:p>
      <w:pPr>
        <w:pStyle w:val="Normal"/>
        <w:spacing w:lineRule="auto" w:line="480"/>
        <w:rPr>
          <w:rFonts w:eastAsia="Times New Roman"/>
          <w:sz w:val="24"/>
          <w:szCs w:val="24"/>
          <w:lang w:val="fr-FR"/>
        </w:rPr>
      </w:pPr>
      <w:r>
        <w:rPr>
          <w:rFonts w:eastAsia="Times New Roman"/>
          <w:sz w:val="24"/>
          <w:szCs w:val="24"/>
          <w:lang w:val="fr-FR"/>
        </w:rPr>
      </w:r>
    </w:p>
    <w:p>
      <w:pPr>
        <w:pStyle w:val="Normal"/>
        <w:spacing w:lineRule="auto" w:line="480"/>
        <w:ind w:left="720" w:hanging="720"/>
        <w:rPr>
          <w:rFonts w:eastAsia="Times New Roman"/>
          <w:sz w:val="24"/>
          <w:szCs w:val="24"/>
        </w:rPr>
      </w:pPr>
      <w:r>
        <w:rPr>
          <w:rFonts w:eastAsia="Times New Roman"/>
          <w:sz w:val="24"/>
          <w:szCs w:val="24"/>
          <w:lang w:val="fr-FR"/>
        </w:rPr>
        <w:t xml:space="preserve">Li, C. Y., Lu, K. C., Nelson, E. E., Bollen, W. B., &amp; Trappe, J. M. (1969). </w:t>
      </w:r>
      <w:r>
        <w:rPr>
          <w:rFonts w:eastAsia="Times New Roman"/>
          <w:sz w:val="24"/>
          <w:szCs w:val="24"/>
        </w:rPr>
        <w:t>Effect of phenolic and other compounds on grovvth of. Microbios, 3, 305-311.</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LI, C. Y., K. C. LU, J. M. TRAPPE, and W. B. BOLLEN. "Inhibition of Poria weirii and Fomes annosus by Linoleic Acid." Forest Sci. 16: 329.330. 1970.</w:t>
      </w:r>
    </w:p>
    <w:p>
      <w:pPr>
        <w:pStyle w:val="Normal"/>
        <w:spacing w:lineRule="auto" w:line="480"/>
        <w:ind w:left="720" w:hanging="720"/>
        <w:rPr>
          <w:sz w:val="24"/>
          <w:szCs w:val="24"/>
        </w:rPr>
      </w:pPr>
      <w:r>
        <w:rPr>
          <w:rFonts w:eastAsia="Times New Roman"/>
          <w:sz w:val="24"/>
          <w:szCs w:val="24"/>
        </w:rPr>
        <w:t xml:space="preserve">Lockman, I. B., and Kearns, H. S. (2016). Forest root diseases across the United States. Gen. Tech. Rep. RMRS-GTR-342. Ogden, UT: US Department of Agriculture, Forest Service, Rocky Mountain Research Station. 342. 55 p.  </w:t>
      </w:r>
      <w:hyperlink r:id="rId34">
        <w:r>
          <w:rPr>
            <w:rStyle w:val="InternetLink"/>
            <w:color w:val="000000"/>
            <w:sz w:val="24"/>
            <w:szCs w:val="24"/>
            <w:shd w:fill="FFFFFF" w:val="clear"/>
          </w:rPr>
          <w:t>https://doi.org/10.1094/PHYTO-12-17-0399-R</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Maffei, H. M., Filip, G. M., Chadwick, K. L., and David, L., (2008). Western root disease model simulation versus plot remeasurement: 11 years of change in stand structure and density induced by Armillaria root disease in Central Oregon. In Third Forest VegAPetation Simulator Conference: Fort Collins, CO, February 13-15, 2007. US Department of Agriculture, Forest Service, Rocky Mountain Research Station. 55 p. </w:t>
      </w:r>
      <w:r>
        <w:rPr>
          <w:rStyle w:val="InternetLink"/>
          <w:color w:val="000000"/>
          <w:sz w:val="24"/>
          <w:szCs w:val="24"/>
          <w:shd w:fill="FFFFFF" w:val="clear"/>
        </w:rPr>
        <w:t>https://www.fs.fed.us/rm/pubs/rmrs_p054/rmrs_p054_055_067.pdf</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Marsden, M. A., (1992). Sensitivity of the Western Root Disease Model: inventory of root disease (Vol. 303). USDA, Forest Service, Rocky Mountain Forest and Range Experiment Station.</w:t>
      </w:r>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McKenzie, D., Gedalof, Z. E., Peterson, D. L., and Mote, P. (2004). Climatic change, wildfire, and conservation. Conservation biology, 18(4), 890-902.  </w:t>
      </w:r>
    </w:p>
    <w:p>
      <w:pPr>
        <w:pStyle w:val="Normal"/>
        <w:spacing w:lineRule="auto" w:line="480"/>
        <w:ind w:left="720" w:hanging="0"/>
        <w:rPr>
          <w:sz w:val="24"/>
          <w:szCs w:val="24"/>
        </w:rPr>
      </w:pPr>
      <w:hyperlink r:id="rId35">
        <w:r>
          <w:rPr>
            <w:rStyle w:val="InternetLink"/>
            <w:color w:val="000000"/>
            <w:sz w:val="24"/>
            <w:szCs w:val="24"/>
            <w:shd w:fill="FFFFFF" w:val="clear"/>
          </w:rPr>
          <w:t>https://doi.org/10.1111/j.1523-1739.2004.00492.x</w:t>
        </w:r>
      </w:hyperlink>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Morrison, D.J., Merler, H., Norris, D., (1991). Detection, Recognition and Management of Armillaria and Phellinus Root Disease in the Southern Interior of British Columbia. Forestry Canada and BC Ministry of Forests, Victoria, BC FRDA Rep. 179.</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Morrison, D. J., Cruickshank, M. G., and Lalumière, A. (2014). Control of laminated and Armillaria root diseases by stump removal and tree species mixtures: Amount and cause of mortality and impact on yield after 40 years. Forest ecology and management, 319. 75-98 p. </w:t>
      </w:r>
      <w:hyperlink r:id="rId36" w:tgtFrame="Persistent link using digital object identifier">
        <w:r>
          <w:rPr>
            <w:rStyle w:val="InternetLink"/>
            <w:color w:val="000000"/>
            <w:sz w:val="24"/>
            <w:szCs w:val="24"/>
            <w:shd w:fill="FFFFFF" w:val="clear"/>
          </w:rPr>
          <w:t>https://doi.org/10.1016/j.foreco.2014.02.007</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lang w:val="fr-FR"/>
        </w:rPr>
        <w:t xml:space="preserve">Mote, P.W., Salathé, E.P (2010). </w:t>
      </w:r>
      <w:r>
        <w:rPr>
          <w:rFonts w:eastAsia="Times New Roman"/>
          <w:sz w:val="24"/>
          <w:szCs w:val="24"/>
        </w:rPr>
        <w:t xml:space="preserve">Future climate in the Pacific Northwest. Climatic Change 102, 29–50. </w:t>
      </w:r>
      <w:r>
        <w:rPr>
          <w:rStyle w:val="InternetLink"/>
          <w:color w:val="000000"/>
          <w:sz w:val="24"/>
          <w:szCs w:val="24"/>
          <w:shd w:fill="FFFFFF" w:val="clear"/>
        </w:rPr>
        <w:t>https://doi.org/10.1007/s10584-010-9848-z</w:t>
      </w:r>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Nelson, E. E. (1980). Laminated root rot damage in a young Douglas-fir stand [Pseudotsuga menziesii, root rot, Phellinus weirii]. PNW research note-United States Department of Agriculture. </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Nelson, E.l E.; Martin, Neil E.; Williams, Ralph E. (1981). Laminated root rot of western conifers. Forest Insect and Disease Leaflet 159. Washington, DC: USDA Forest Service; 6 p.</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Style w:val="InternetLink"/>
          <w:color w:val="000000"/>
          <w:sz w:val="24"/>
          <w:szCs w:val="24"/>
          <w:shd w:fill="FFFFFF" w:val="clear"/>
        </w:rPr>
      </w:pPr>
      <w:r>
        <w:rPr>
          <w:rFonts w:eastAsia="Times New Roman"/>
          <w:sz w:val="24"/>
          <w:szCs w:val="24"/>
        </w:rPr>
        <w:t xml:space="preserve">Norris, C. E., Hogg, K. E., Maynard, D. G., and Curran, M. P. (2014). Stumping trials in British Columbia—organic matter removal and compaction effects on tree growth from seedlings to mid rotation stands. Canadian Journal of Forest Research, 44(11), 1402-1418. </w:t>
      </w:r>
      <w:hyperlink r:id="rId37">
        <w:r>
          <w:rPr>
            <w:rStyle w:val="InternetLink"/>
            <w:color w:val="000000"/>
            <w:sz w:val="24"/>
            <w:szCs w:val="24"/>
            <w:shd w:fill="FFFFFF" w:val="clear"/>
          </w:rPr>
          <w:t>https://doi.org/10.1139/cjfr-2014-0168</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 xml:space="preserve">Parker, T. J., Clancy, K. M., &amp; Mathiasen, R. L. (2006). Interactions among fire, insects and pathogens in coniferous forests of the interior western United States and Canada. Agricultural and Forest Entomology, 8(3), 167-189.  </w:t>
      </w:r>
    </w:p>
    <w:p>
      <w:pPr>
        <w:pStyle w:val="Normal"/>
        <w:spacing w:lineRule="auto" w:line="480"/>
        <w:ind w:left="720" w:hanging="0"/>
        <w:rPr>
          <w:rFonts w:eastAsia="Times New Roman"/>
          <w:sz w:val="24"/>
          <w:szCs w:val="24"/>
        </w:rPr>
      </w:pPr>
      <w:r>
        <w:rPr>
          <w:rFonts w:eastAsia="Times New Roman"/>
          <w:sz w:val="24"/>
          <w:szCs w:val="24"/>
        </w:rPr>
        <w:t>https://doi.org/10.1111/j.1461-9563.2006.00305.x</w:t>
      </w:r>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Peet, F. G., and Hunt, R. S. (2005). A new simulator for the spread of forest root diseases by individual root contacts. Forest Science, 51(5), 425-437. </w:t>
      </w:r>
      <w:hyperlink r:id="rId38">
        <w:r>
          <w:rPr>
            <w:rStyle w:val="InternetLink"/>
            <w:color w:val="000000"/>
            <w:sz w:val="24"/>
            <w:szCs w:val="24"/>
            <w:shd w:fill="FFFFFF" w:val="clear"/>
          </w:rPr>
          <w:t>https://doi.org/10.1093/forestscience/51.5.425</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Pretzsch, H., Grote, R., Reineking, B., Rötzer, T. and Seifert, S. Models for forest ecosystem management: A European perspective. Ann. Bot. 101, 1065–1087 (2008).</w:t>
      </w:r>
      <w:r>
        <w:rPr>
          <w:rStyle w:val="InternetLink"/>
          <w:color w:val="000000"/>
          <w:sz w:val="24"/>
          <w:szCs w:val="24"/>
          <w:shd w:fill="FFFFFF" w:val="clear"/>
        </w:rPr>
        <w:t xml:space="preserve"> </w:t>
      </w:r>
      <w:hyperlink r:id="rId39">
        <w:r>
          <w:rPr>
            <w:rStyle w:val="InternetLink"/>
            <w:color w:val="000000"/>
            <w:sz w:val="24"/>
            <w:szCs w:val="24"/>
            <w:shd w:fill="FFFFFF" w:val="clear"/>
          </w:rPr>
          <w:t>https://doi.org/10.1093/aob/mcm246</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Pretzsch, H., Biber, P., Schütze, G., Uhl, E., and Rötzer, T. (2014). Forest stand growth dynamics in Central Europe have accelerated since 1870. Nature communications, 5(1), 1-10. </w:t>
      </w:r>
      <w:r>
        <w:rPr>
          <w:rStyle w:val="InternetLink"/>
          <w:color w:val="000000"/>
          <w:sz w:val="24"/>
          <w:szCs w:val="24"/>
          <w:shd w:fill="FFFFFF" w:val="clear"/>
        </w:rPr>
        <w:t>10.1038/ncomms5967</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PRISM Climate Group, Oregon State University, (2018). </w:t>
      </w:r>
      <w:r>
        <w:rPr>
          <w:rStyle w:val="InternetLink"/>
          <w:color w:val="000000"/>
          <w:sz w:val="24"/>
          <w:szCs w:val="24"/>
          <w:shd w:fill="FFFFFF" w:val="clear"/>
        </w:rPr>
        <w:t>https://prism.oregonstate.edu/</w:t>
      </w:r>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R Core Team (2021). R: A language and environment for statistical computing. R Foundation for Statistical Computing, Vienna, Austria. URL https://www.R-project.org/.</w:t>
      </w:r>
    </w:p>
    <w:p>
      <w:pPr>
        <w:pStyle w:val="Normal"/>
        <w:spacing w:lineRule="auto" w:line="480"/>
        <w:ind w:left="720" w:hanging="720"/>
        <w:rPr>
          <w:sz w:val="24"/>
          <w:szCs w:val="24"/>
        </w:rPr>
      </w:pPr>
      <w:r>
        <w:rPr>
          <w:sz w:val="24"/>
          <w:szCs w:val="24"/>
        </w:rPr>
      </w:r>
    </w:p>
    <w:p>
      <w:pPr>
        <w:pStyle w:val="Normal"/>
        <w:spacing w:lineRule="auto" w:line="480"/>
        <w:ind w:left="720" w:hanging="720"/>
        <w:rPr>
          <w:sz w:val="24"/>
          <w:szCs w:val="24"/>
        </w:rPr>
      </w:pPr>
      <w:r>
        <w:rPr>
          <w:rFonts w:eastAsia="Times New Roman"/>
          <w:sz w:val="24"/>
          <w:szCs w:val="24"/>
        </w:rPr>
        <w:t xml:space="preserve">RStudio Team (2021). RStudio: Integrated Development Environment for R. RStudio, PBC, Boston, MA. </w:t>
      </w:r>
      <w:hyperlink r:id="rId40">
        <w:r>
          <w:rPr>
            <w:rStyle w:val="InternetLink"/>
            <w:color w:val="000000"/>
            <w:sz w:val="24"/>
            <w:szCs w:val="24"/>
            <w:shd w:fill="FFFFFF" w:val="clear"/>
          </w:rPr>
          <w:t>http://www.rstudio.com/</w:t>
        </w:r>
      </w:hyperlink>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Scharpi, Robert F., technical coordinator. 1993. Diseases of Pacific Coast conifers. Agric. Handb. 521. Washington, DC: Forest Service, U.S. Department of Agriculture; 199 p,l</w:t>
      </w:r>
    </w:p>
    <w:p>
      <w:pPr>
        <w:pStyle w:val="Normal"/>
        <w:spacing w:lineRule="auto" w:line="480"/>
        <w:ind w:left="720" w:hanging="720"/>
        <w:rPr>
          <w:rFonts w:eastAsia="Times New Roman"/>
          <w:ins w:id="1110" w:author="Shawn McMurtrey" w:date="2022-11-15T22:05:00Z"/>
          <w:sz w:val="24"/>
          <w:szCs w:val="24"/>
        </w:rPr>
      </w:pPr>
      <w:ins w:id="1109" w:author="Shawn McMurtrey" w:date="2022-11-15T22:05:00Z">
        <w:r>
          <w:rPr>
            <w:rFonts w:eastAsia="Times New Roman"/>
            <w:sz w:val="24"/>
            <w:szCs w:val="24"/>
          </w:rPr>
        </w:r>
      </w:ins>
    </w:p>
    <w:p>
      <w:pPr>
        <w:pStyle w:val="Normal"/>
        <w:spacing w:lineRule="auto" w:line="480"/>
        <w:ind w:left="720" w:hanging="720"/>
        <w:rPr>
          <w:rFonts w:eastAsia="Times New Roman"/>
          <w:ins w:id="1112" w:author="Shawn McMurtrey" w:date="2022-11-15T22:05:00Z"/>
          <w:sz w:val="24"/>
          <w:szCs w:val="24"/>
        </w:rPr>
      </w:pPr>
      <w:ins w:id="1111" w:author="Shawn McMurtrey" w:date="2022-11-15T22:05:00Z">
        <w:r>
          <w:rPr>
            <w:rFonts w:eastAsia="Times New Roman"/>
            <w:sz w:val="24"/>
            <w:szCs w:val="24"/>
          </w:rPr>
          <w:t>Schützenmeister, A., Jensen, U., &amp; Piepho, H.-P. (2012). Checking Normality and Homoscedasticity in the General Linear Model Using Diagnostic Plots. Communications in Statistics - Simulation and Computation, 41(2), 141–154. doi:10.1080/03610918.2011.582560 </w:t>
        </w:r>
      </w:ins>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color w:val="000000"/>
          <w:sz w:val="24"/>
          <w:szCs w:val="24"/>
          <w:u w:val="single"/>
          <w:shd w:fill="FFFFFF" w:val="clear"/>
        </w:rPr>
      </w:pPr>
      <w:r>
        <w:fldChar w:fldCharType="begin"/>
      </w:r>
      <w:r>
        <w:rPr>
          <w:sz w:val="24"/>
          <w:szCs w:val="24"/>
          <w:rFonts w:eastAsia="Times New Roman"/>
        </w:rPr>
        <w:instrText> HYPERLINK "https://www.sciencedirect.com/science/article/pii/S0378112719312332?via%3Dihub" \l "bb0230"</w:instrText>
      </w:r>
      <w:r>
        <w:rPr>
          <w:sz w:val="24"/>
          <w:szCs w:val="24"/>
          <w:rFonts w:eastAsia="Times New Roman"/>
        </w:rPr>
        <w:fldChar w:fldCharType="separate"/>
      </w:r>
      <w:r>
        <w:rPr>
          <w:rFonts w:eastAsia="Times New Roman"/>
          <w:sz w:val="24"/>
          <w:szCs w:val="24"/>
        </w:rPr>
        <w:t>Skovsgaard and Vanclay, 2008</w:t>
      </w:r>
      <w:r>
        <w:rPr>
          <w:sz w:val="24"/>
          <w:szCs w:val="24"/>
          <w:rFonts w:eastAsia="Times New Roman"/>
        </w:rPr>
        <w:fldChar w:fldCharType="end"/>
      </w:r>
      <w:r>
        <w:rPr>
          <w:rFonts w:eastAsia="Times New Roman"/>
          <w:sz w:val="24"/>
          <w:szCs w:val="24"/>
        </w:rPr>
        <w:t xml:space="preserve"> J.P. Skovsgaard, J.K. Vanclay. 2008. Forest site productivity: a review of the evolution of dendrometric concepts for even-aged stands. Forestry, pp. 13-31. </w:t>
      </w:r>
      <w:hyperlink r:id="rId41">
        <w:r>
          <w:rPr>
            <w:rStyle w:val="InternetLink"/>
            <w:color w:val="000000"/>
            <w:sz w:val="24"/>
            <w:szCs w:val="24"/>
            <w:shd w:fill="FFFFFF" w:val="clear"/>
          </w:rPr>
          <w:t>https://doi.org/10.1093/forestry/cpm041</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Smith, E.L.; Zhang, S. 1997. Sensitivity analysis of insect and disease model extensions . In : Tech , R.; Moeur, M; Adams, J. , comps. 1997 proceedings ; Forest Vegetation Simulator conference; (1997) February 3–7; Fort Collins, CO. Gen Tech. Rep. INT- GTR-373 . Ogden, UT: U.S. Department of Agriculture, Forest Service, Intermountain Research Station: 213–215. </w:t>
      </w:r>
      <w:r>
        <w:rPr>
          <w:rStyle w:val="InternetLink"/>
          <w:color w:val="000000"/>
          <w:sz w:val="24"/>
          <w:szCs w:val="24"/>
          <w:shd w:fill="FFFFFF" w:val="clear"/>
        </w:rPr>
        <w:t>https://www.fs.usda.gov/treesearch/pubs/30958</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 xml:space="preserve">Soil Survey Staff, (2021). Natural Resources Conservation Service, United States Department of Agriculture, Web Soil Survey. </w:t>
      </w:r>
      <w:hyperlink r:id="rId42">
        <w:r>
          <w:rPr>
            <w:rStyle w:val="InternetLink"/>
            <w:color w:val="000000"/>
            <w:sz w:val="24"/>
            <w:szCs w:val="24"/>
            <w:shd w:fill="FFFFFF" w:val="clear"/>
          </w:rPr>
          <w:t>http://websoilsurvey.sc.egov.usda.gov</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Sturrock, R. N., and Garbutt, R. W. (1994). Laminated root rot of Douglas-fir. Canadian Forest Service, Forest Insect and Disease Survey, Pacific Forestry Centre.</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lang w:val="fr-FR"/>
        </w:rPr>
        <w:t xml:space="preserve">Subramanian, N., Bergh, J., Johansson, U., Nilsson, U., &amp; Sallnäs, O. (2015). </w:t>
      </w:r>
      <w:r>
        <w:rPr>
          <w:rFonts w:eastAsia="Times New Roman"/>
          <w:sz w:val="24"/>
          <w:szCs w:val="24"/>
        </w:rPr>
        <w:t>Adaptation of forest management regimes in southern Sweden to increased risks associated with climate change. Forests, 7(1), 8.</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Teck, R. M., Moeur, M., and Adams, J. (1997). Proceedings: Forest Vegetation Simulator Conference: Fort Collins, CO, February 3-7, 1997 (Vol. 373). US Department of Agriculture, Forest Service, Intermountain Research Station.</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Thies, W. G. (1983). Determination of growth reduction in Douglas-fir infected by Phellinus weirii. Forest Science, 29(2), 305-315.</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Thies, Walter G. 1984. Laminated root rot, the quest for control. Journal of Forestry S2: 345-356.</w:t>
      </w:r>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Thies,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Thies, W. G., &amp; Westlind, D. J. (2005). Stump removal and fertilization of five Phellinus weirii-infested stands in Washington and Oregon affect mortality and growth of planted Douglas-fir 25 years after treatment. Forest Ecology and Management, 219(2-3), 242-258.</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Tkacz, B. M., and Hansen, E. M. (1982). Damage by laminated root rot in two succeeding stands of Douglas-fir. Journal of Forestry, 80(12), 788-791.</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Trappe, J. M. (1972). Regulation of soil organisms by red alder: a potential biological system for control of Poria weirii. In Oreg. State Univ. For. Symp (Vol. 3, pp. 35-51)</w:t>
      </w:r>
    </w:p>
    <w:p>
      <w:pPr>
        <w:pStyle w:val="Normal"/>
        <w:spacing w:lineRule="auto" w:line="48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t>USDA-FS, 2011. Region Five ecological restoration: leadership intent. March (2011). U.S. Forest Service, Pacific Southwest Region, Albany, California, USA.</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Fonts w:eastAsia="Times New Roman"/>
          <w:ins w:id="1113" w:author="Shawn McMurtrey" w:date="2022-11-13T10:13:00Z"/>
          <w:sz w:val="24"/>
          <w:szCs w:val="24"/>
        </w:rPr>
      </w:pPr>
      <w:r>
        <w:rPr>
          <w:rFonts w:eastAsia="Times New Roman"/>
          <w:sz w:val="24"/>
          <w:szCs w:val="24"/>
        </w:rPr>
        <w:t>Vandygriff, J. C., Hansen, E. M., Bentz, B. J., Allen, K. K., Amman, G. D., &amp; Rasmussen, L. A. (2015). Long-term efficacy of diameter-limit cutting to reduce mountain pine beetle-caused tree mortality in a lodgepole pine forest. The Forestry Chronicle, 91(4), 444-456.</w:t>
      </w:r>
    </w:p>
    <w:p>
      <w:pPr>
        <w:pStyle w:val="Normal"/>
        <w:spacing w:lineRule="auto" w:line="480"/>
        <w:ind w:left="720" w:hanging="720"/>
        <w:rPr>
          <w:rFonts w:eastAsia="Times New Roman"/>
          <w:ins w:id="1115" w:author="Shawn McMurtrey" w:date="2022-11-13T10:13:00Z"/>
          <w:sz w:val="24"/>
          <w:szCs w:val="24"/>
        </w:rPr>
      </w:pPr>
      <w:ins w:id="1114" w:author="Shawn McMurtrey" w:date="2022-11-13T10:13:00Z">
        <w:r>
          <w:rPr>
            <w:rFonts w:eastAsia="Times New Roman"/>
            <w:sz w:val="24"/>
            <w:szCs w:val="24"/>
          </w:rPr>
        </w:r>
      </w:ins>
    </w:p>
    <w:p>
      <w:pPr>
        <w:pStyle w:val="Normal"/>
        <w:spacing w:lineRule="auto" w:line="480"/>
        <w:ind w:left="720" w:hanging="720"/>
        <w:rPr>
          <w:rFonts w:eastAsia="Times New Roman"/>
          <w:sz w:val="24"/>
          <w:szCs w:val="24"/>
        </w:rPr>
      </w:pPr>
      <w:ins w:id="1116" w:author="Shawn McMurtrey" w:date="2022-11-13T10:13:00Z">
        <w:r>
          <w:rPr>
            <w:rFonts w:eastAsia="Times New Roman"/>
            <w:sz w:val="24"/>
            <w:szCs w:val="24"/>
          </w:rPr>
          <w:t>Veluthakkal, R., &amp; Dasgupta, M. G. (2010). Pathogenesis-related genes and proteins in forest tree species. Trees, 24(6), 993-1006.</w:t>
        </w:r>
      </w:ins>
    </w:p>
    <w:p>
      <w:pPr>
        <w:pStyle w:val="Normal"/>
        <w:spacing w:lineRule="auto" w:line="480"/>
        <w:rPr>
          <w:sz w:val="24"/>
          <w:szCs w:val="24"/>
        </w:rPr>
      </w:pPr>
      <w:r>
        <w:rPr>
          <w:sz w:val="24"/>
          <w:szCs w:val="24"/>
        </w:rPr>
      </w:r>
    </w:p>
    <w:p>
      <w:pPr>
        <w:pStyle w:val="Normal"/>
        <w:spacing w:lineRule="auto" w:line="480"/>
        <w:ind w:left="720" w:hanging="720"/>
        <w:rPr>
          <w:rStyle w:val="InternetLink"/>
          <w:color w:val="auto"/>
          <w:sz w:val="24"/>
          <w:szCs w:val="24"/>
        </w:rPr>
      </w:pPr>
      <w:r>
        <w:rPr>
          <w:rFonts w:eastAsia="Times New Roman"/>
          <w:sz w:val="24"/>
          <w:szCs w:val="24"/>
        </w:rPr>
        <w:t xml:space="preserve">Vernon, M. J., Sherriff, R. L., van Mantgem, P., and Kane, J. M. (2018). Thinning, tree-growth, and resistance to multi-year drought in a mixed-conifer forest of northern California. Forest Ecology and Management, 422, 190-198. </w:t>
      </w:r>
      <w:hyperlink r:id="rId43" w:tgtFrame="Persistent link using digital object identifier">
        <w:r>
          <w:rPr>
            <w:rStyle w:val="InternetLink"/>
            <w:color w:val="auto"/>
            <w:sz w:val="24"/>
            <w:szCs w:val="24"/>
          </w:rPr>
          <w:t>https://doi.org/10.1016/j.foreco.2018.03.043</w:t>
        </w:r>
      </w:hyperlink>
    </w:p>
    <w:p>
      <w:pPr>
        <w:pStyle w:val="Normal"/>
        <w:spacing w:lineRule="auto" w:line="480"/>
        <w:ind w:left="720" w:hanging="720"/>
        <w:rPr>
          <w:rStyle w:val="InternetLink"/>
          <w:color w:val="auto"/>
          <w:sz w:val="24"/>
          <w:szCs w:val="24"/>
        </w:rPr>
      </w:pPr>
      <w:r>
        <w:rPr>
          <w:color w:val="auto"/>
          <w:sz w:val="24"/>
          <w:szCs w:val="24"/>
        </w:rPr>
      </w:r>
    </w:p>
    <w:p>
      <w:pPr>
        <w:pStyle w:val="Normal"/>
        <w:spacing w:lineRule="auto" w:line="480"/>
        <w:ind w:left="720" w:hanging="720"/>
        <w:rPr>
          <w:rStyle w:val="InternetLink"/>
          <w:color w:val="auto"/>
          <w:sz w:val="24"/>
          <w:szCs w:val="24"/>
        </w:rPr>
      </w:pPr>
      <w:r>
        <w:rPr>
          <w:rStyle w:val="InternetLink"/>
          <w:color w:val="auto"/>
          <w:sz w:val="24"/>
          <w:szCs w:val="24"/>
        </w:rPr>
        <w:t>Wallis GW, Reynolds G. 1965. The initiation and spread of Poria weirii root rot of Douglas-fir. Can. J. Bot. 43:1 doi:10.1139/b65-001 </w:t>
      </w:r>
    </w:p>
    <w:p>
      <w:pPr>
        <w:pStyle w:val="Normal"/>
        <w:spacing w:lineRule="auto" w:line="480"/>
        <w:ind w:left="720" w:hanging="720"/>
        <w:rPr>
          <w:rStyle w:val="InternetLink"/>
          <w:color w:val="auto"/>
          <w:sz w:val="24"/>
          <w:szCs w:val="24"/>
        </w:rPr>
      </w:pPr>
      <w:r>
        <w:rPr>
          <w:color w:val="auto"/>
          <w:sz w:val="24"/>
          <w:szCs w:val="24"/>
        </w:rPr>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Wallis, G. W. (1976). Phellinus (Poria) weirii root rot: detection and management proposals in Douglas-fir stands (Vol. 12). Canadian Forestry Service, Pacific Forest Research Centre, Department of the Environment.</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sz w:val="24"/>
          <w:szCs w:val="24"/>
        </w:rPr>
        <w:t xml:space="preserve">Wickham, H. (2009). ggplot2: Elegant Graphics for Data Analysis. Springer-Verlag. </w:t>
      </w:r>
      <w:r>
        <w:rPr>
          <w:rStyle w:val="InternetLink"/>
          <w:color w:val="auto"/>
          <w:sz w:val="24"/>
          <w:szCs w:val="24"/>
        </w:rPr>
        <w:t>http://ggplot2.org/</w:t>
      </w:r>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sz w:val="24"/>
          <w:szCs w:val="24"/>
        </w:rPr>
      </w:pPr>
      <w:r>
        <w:rPr>
          <w:rFonts w:eastAsia="Times New Roman"/>
          <w:sz w:val="24"/>
          <w:szCs w:val="24"/>
        </w:rPr>
        <w:t>Wickham, H. (2016). ggplot2: Elegant Graphics for Data Analysis. Springer-Verlag New York. ISBN 978-3-319-24277-4,</w:t>
      </w:r>
      <w:r>
        <w:rPr>
          <w:color w:val="000000"/>
          <w:sz w:val="24"/>
          <w:szCs w:val="24"/>
          <w:shd w:fill="FFFFFF" w:val="clear"/>
        </w:rPr>
        <w:t> </w:t>
      </w:r>
      <w:hyperlink r:id="rId44">
        <w:r>
          <w:rPr>
            <w:rStyle w:val="InternetLink"/>
            <w:color w:val="auto"/>
            <w:sz w:val="24"/>
            <w:szCs w:val="24"/>
          </w:rPr>
          <w:t>https://ggplot2.tidyverse.org</w:t>
        </w:r>
      </w:hyperlink>
    </w:p>
    <w:p>
      <w:pPr>
        <w:pStyle w:val="Normal"/>
        <w:spacing w:lineRule="auto" w:line="480"/>
        <w:ind w:left="720" w:hanging="720"/>
        <w:rPr>
          <w:rFonts w:eastAsia="Times New Roman"/>
          <w:sz w:val="24"/>
          <w:szCs w:val="24"/>
        </w:rPr>
      </w:pPr>
      <w:r>
        <w:rPr>
          <w:rFonts w:eastAsia="Times New Roman"/>
          <w:sz w:val="24"/>
          <w:szCs w:val="24"/>
        </w:rPr>
      </w:r>
    </w:p>
    <w:p>
      <w:pPr>
        <w:pStyle w:val="Normal"/>
        <w:spacing w:lineRule="auto" w:line="480"/>
        <w:ind w:left="720" w:hanging="720"/>
        <w:rPr>
          <w:rStyle w:val="InternetLink"/>
          <w:color w:val="auto"/>
          <w:ins w:id="1118" w:author="Shawn McMurtrey" w:date="2022-11-11T14:07:00Z"/>
          <w:sz w:val="24"/>
          <w:szCs w:val="24"/>
        </w:rPr>
      </w:pPr>
      <w:r>
        <w:rPr>
          <w:rFonts w:eastAsia="Times New Roman"/>
          <w:sz w:val="24"/>
          <w:szCs w:val="24"/>
        </w:rPr>
        <w:t>Wickham, H. (2017).</w:t>
      </w:r>
      <w:r>
        <w:rPr>
          <w:rFonts w:eastAsia="Times New Roman"/>
          <w:i/>
          <w:iCs/>
          <w:sz w:val="24"/>
          <w:szCs w:val="24"/>
        </w:rPr>
        <w:t xml:space="preserve"> </w:t>
      </w:r>
      <w:r>
        <w:rPr>
          <w:rFonts w:eastAsia="Times New Roman"/>
          <w:sz w:val="24"/>
          <w:szCs w:val="24"/>
        </w:rPr>
        <w:t>Tidyverse: Easily install and load the “tidyverse”.</w:t>
      </w:r>
      <w:r>
        <w:rPr>
          <w:rFonts w:eastAsia="Times New Roman"/>
          <w:i/>
          <w:iCs/>
          <w:sz w:val="24"/>
          <w:szCs w:val="24"/>
        </w:rPr>
        <w:t xml:space="preserve"> </w:t>
      </w:r>
      <w:hyperlink r:id="rId45">
        <w:r>
          <w:rPr>
            <w:rStyle w:val="InternetLink"/>
            <w:color w:val="auto"/>
            <w:sz w:val="24"/>
            <w:szCs w:val="24"/>
          </w:rPr>
          <w:t>https://CRAN.R-project.org/package=tidyverse</w:t>
        </w:r>
      </w:hyperlink>
      <w:ins w:id="1117" w:author="Shawn McMurtrey" w:date="2022-11-11T14:06:00Z">
        <w:r>
          <w:rPr>
            <w:rStyle w:val="InternetLink"/>
            <w:color w:val="auto"/>
            <w:sz w:val="24"/>
            <w:szCs w:val="24"/>
          </w:rPr>
          <w:br/>
        </w:r>
      </w:ins>
    </w:p>
    <w:p>
      <w:pPr>
        <w:pStyle w:val="Normal"/>
        <w:spacing w:lineRule="auto" w:line="480"/>
        <w:ind w:left="720" w:hanging="720"/>
        <w:rPr>
          <w:rFonts w:eastAsia="Times New Roman"/>
          <w:sz w:val="24"/>
          <w:szCs w:val="24"/>
        </w:rPr>
      </w:pPr>
      <w:ins w:id="1119" w:author="Shawn McMurtrey" w:date="2022-11-11T14:07:00Z">
        <w:r>
          <w:rPr>
            <w:rFonts w:eastAsia="Times New Roman"/>
            <w:sz w:val="24"/>
            <w:szCs w:val="24"/>
          </w:rPr>
          <w:t>Williams, H. L., Sturrock, R. N., Islam, M. A., Hammett, C., Ekramoddoullah, A. K., &amp; Leal, I. (2014). Gene expression profiling of candidate virulence factors in the laminated root rot pathogen Phellinus sulphurascens. BMC genomics, 15(1), 1-17.</w:t>
        </w:r>
      </w:ins>
    </w:p>
    <w:p>
      <w:pPr>
        <w:pStyle w:val="Normal"/>
        <w:spacing w:lineRule="auto" w:line="480"/>
        <w:rPr>
          <w:sz w:val="24"/>
          <w:szCs w:val="24"/>
        </w:rPr>
      </w:pPr>
      <w:r>
        <w:rPr>
          <w:sz w:val="24"/>
          <w:szCs w:val="24"/>
        </w:rPr>
      </w:r>
    </w:p>
    <w:p>
      <w:pPr>
        <w:pStyle w:val="Normal"/>
        <w:spacing w:lineRule="auto" w:line="480"/>
        <w:ind w:left="720" w:hanging="720"/>
        <w:rPr>
          <w:sz w:val="24"/>
          <w:szCs w:val="24"/>
        </w:rPr>
      </w:pPr>
      <w:r>
        <w:rPr>
          <w:rFonts w:eastAsia="Times New Roman"/>
          <w:sz w:val="24"/>
          <w:szCs w:val="24"/>
        </w:rPr>
        <w:t xml:space="preserve">Woods, A. J., and Watts, M. (2019). The extent to which an unforeseen biotic disturbance can challenge timber expectations. Forest Ecology and Management, 453, 117558. </w:t>
      </w:r>
      <w:hyperlink r:id="rId46" w:tgtFrame="Persistent link using digital object identifier">
        <w:r>
          <w:rPr>
            <w:rStyle w:val="InternetLink"/>
            <w:color w:val="000000"/>
            <w:sz w:val="24"/>
            <w:szCs w:val="24"/>
            <w:shd w:fill="FFFFFF" w:val="clear"/>
          </w:rPr>
          <w:t>https://doi.org/10.1016/j.foreco.2019.117558</w:t>
        </w:r>
      </w:hyperlink>
    </w:p>
    <w:p>
      <w:pPr>
        <w:pStyle w:val="Normal"/>
        <w:spacing w:lineRule="auto" w:line="480"/>
        <w:rPr>
          <w:sz w:val="24"/>
          <w:szCs w:val="24"/>
          <w:highlight w:val="white"/>
        </w:rPr>
      </w:pPr>
      <w:r>
        <w:rPr>
          <w:sz w:val="24"/>
          <w:szCs w:val="24"/>
          <w:highlight w:val="white"/>
        </w:rPr>
      </w:r>
    </w:p>
    <w:p>
      <w:pPr>
        <w:pStyle w:val="Normal"/>
        <w:spacing w:lineRule="auto" w:line="480"/>
        <w:ind w:left="720" w:hanging="720"/>
        <w:rPr>
          <w:rFonts w:eastAsia="Times New Roman"/>
          <w:sz w:val="24"/>
          <w:szCs w:val="24"/>
        </w:rPr>
      </w:pPr>
      <w:r>
        <w:rPr>
          <w:rFonts w:eastAsia="Times New Roman"/>
          <w:sz w:val="24"/>
          <w:szCs w:val="24"/>
        </w:rPr>
        <w:t>Zabowski, D., Chambreau, D., Rotramel, N., &amp; Thies, W. G. (2008). Long-term effects of stump removal to control root rot on forest soil bulk density, soil carbon and nitrogen content. Forest Ecology and Management, 255(3-4), 720-727.</w:t>
      </w:r>
    </w:p>
    <w:p>
      <w:pPr>
        <w:pStyle w:val="Normal"/>
        <w:spacing w:lineRule="auto" w:line="480"/>
        <w:rPr>
          <w:sz w:val="24"/>
          <w:szCs w:val="24"/>
          <w:highlight w:val="white"/>
        </w:rPr>
      </w:pPr>
      <w:r>
        <w:rPr>
          <w:sz w:val="24"/>
          <w:szCs w:val="24"/>
          <w:highlight w:val="white"/>
        </w:rPr>
      </w:r>
    </w:p>
    <w:p>
      <w:pPr>
        <w:pStyle w:val="Normal"/>
        <w:spacing w:lineRule="auto" w:line="480"/>
        <w:rPr>
          <w:sz w:val="24"/>
          <w:szCs w:val="24"/>
          <w:highlight w:val="white"/>
        </w:rPr>
      </w:pPr>
      <w:r>
        <w:rPr>
          <w:sz w:val="24"/>
          <w:szCs w:val="24"/>
          <w:highlight w:val="white"/>
        </w:rPr>
      </w:r>
    </w:p>
    <w:p>
      <w:pPr>
        <w:pStyle w:val="Normal"/>
        <w:spacing w:lineRule="auto" w:line="480"/>
        <w:rPr>
          <w:iCs/>
          <w:sz w:val="24"/>
          <w:szCs w:val="24"/>
        </w:rPr>
      </w:pPr>
      <w:r>
        <w:rPr>
          <w:b/>
          <w:sz w:val="24"/>
          <w:szCs w:val="24"/>
        </w:rPr>
        <w:t xml:space="preserve">Figure 1: </w:t>
      </w:r>
      <w:r>
        <w:rPr>
          <w:bCs/>
          <w:sz w:val="24"/>
          <w:szCs w:val="24"/>
        </w:rPr>
        <w:t>The Woods Creek study</w:t>
      </w:r>
      <w:r>
        <w:rPr>
          <w:sz w:val="24"/>
          <w:szCs w:val="24"/>
        </w:rPr>
        <w:t xml:space="preserve"> area was located along Woods Creek Road, within the Siuslaw National Forest in western Oregon. Triangles represent plots where LRR was detected (n = 62), circles represent plots where LRR was not detected (n = 13) over the 30-year duration of the study.   </w:t>
      </w:r>
    </w:p>
    <w:p>
      <w:pPr>
        <w:pStyle w:val="Normal"/>
        <w:spacing w:lineRule="auto" w:line="480"/>
        <w:rPr>
          <w:iCs/>
          <w:sz w:val="24"/>
          <w:szCs w:val="24"/>
        </w:rPr>
      </w:pPr>
      <w:r>
        <w:rPr>
          <w:iCs/>
          <w:sz w:val="24"/>
          <w:szCs w:val="24"/>
        </w:rPr>
      </w:r>
    </w:p>
    <w:p>
      <w:pPr>
        <w:pStyle w:val="Normal"/>
        <w:spacing w:lineRule="auto" w:line="480"/>
        <w:rPr>
          <w:iCs/>
          <w:sz w:val="24"/>
          <w:szCs w:val="24"/>
        </w:rPr>
      </w:pPr>
      <w:r>
        <w:rPr>
          <w:b/>
          <w:iCs/>
          <w:sz w:val="24"/>
          <w:szCs w:val="24"/>
        </w:rPr>
        <w:t xml:space="preserve">Figure 2. </w:t>
      </w:r>
      <w:r>
        <w:rPr>
          <w:iCs/>
          <w:sz w:val="24"/>
          <w:szCs w:val="24"/>
        </w:rPr>
        <w:t>Hardwood 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(C), immediate replanting of Douglas-fir; Green (D), 25-year red alder; Yellow (E), 25-year wester cottonwood. Black circles denote 8m fixed radius measurement subplots. Letter and two numerical digits within each plot indicate treatment, block, and subplot number. Semitransparent shapes indicate the location and status of trees with LRR symptoms prior to the 1973 clearcut: Cross, tree dead &gt; 10 years with signs of LRR; Square, tree dead &lt; 10 years with signs of LRR; Triangle, live tree showing LRR symptoms; Circle, live tree with symptoms detected only following clear cut.</w:t>
      </w:r>
    </w:p>
    <w:p>
      <w:pPr>
        <w:pStyle w:val="Normal"/>
        <w:spacing w:lineRule="auto" w:line="480"/>
        <w:rPr>
          <w:b/>
          <w:b/>
          <w:bCs/>
          <w:sz w:val="24"/>
          <w:szCs w:val="24"/>
        </w:rPr>
      </w:pPr>
      <w:r>
        <w:rPr>
          <w:b/>
          <w:bCs/>
          <w:sz w:val="24"/>
          <w:szCs w:val="24"/>
        </w:rPr>
      </w:r>
    </w:p>
    <w:p>
      <w:pPr>
        <w:pStyle w:val="Normal"/>
        <w:spacing w:lineRule="auto" w:line="480"/>
        <w:rPr>
          <w:sz w:val="24"/>
          <w:szCs w:val="24"/>
        </w:rPr>
      </w:pPr>
      <w:r>
        <w:rPr>
          <w:b/>
          <w:bCs/>
          <w:sz w:val="24"/>
          <w:szCs w:val="24"/>
        </w:rPr>
        <w:t xml:space="preserve">Figure 3. </w:t>
      </w:r>
      <w:r>
        <w:rPr>
          <w:sz w:val="24"/>
          <w:szCs w:val="24"/>
        </w:rPr>
        <w:t>A) Stand mean basal area of the three different treatments over time. B) Stand mean quadratic mean diameter of the three treatments over time. The error bars are representative of 95% confidence intervals.</w:t>
      </w:r>
      <w:ins w:id="1120" w:author="Sarah Hoffman" w:date="2022-11-07T21:14:00Z">
        <w:r>
          <w:rPr>
            <w:sz w:val="24"/>
            <w:szCs w:val="24"/>
          </w:rPr>
          <w:t xml:space="preserve"> Calculate slope to report and for defense.</w:t>
        </w:r>
      </w:ins>
    </w:p>
    <w:p>
      <w:pPr>
        <w:pStyle w:val="Normal"/>
        <w:spacing w:lineRule="auto" w:line="480"/>
        <w:rPr>
          <w:sz w:val="24"/>
          <w:szCs w:val="24"/>
          <w:ins w:id="1122" w:author="Shawn McMurtrey" w:date="2022-08-15T05:43:00Z"/>
        </w:rPr>
      </w:pPr>
      <w:ins w:id="1121" w:author="Shawn McMurtrey" w:date="2022-08-15T05:43:00Z">
        <w:r>
          <w:rPr>
            <w:sz w:val="24"/>
            <w:szCs w:val="24"/>
          </w:rPr>
        </w:r>
      </w:ins>
    </w:p>
    <w:p>
      <w:pPr>
        <w:pStyle w:val="Normal"/>
        <w:spacing w:lineRule="auto" w:line="480"/>
        <w:rPr>
          <w:b/>
          <w:b/>
          <w:sz w:val="24"/>
          <w:szCs w:val="24"/>
        </w:rPr>
      </w:pPr>
      <w:r>
        <w:rPr>
          <w:b/>
          <w:sz w:val="24"/>
          <w:szCs w:val="24"/>
        </w:rPr>
      </w:r>
    </w:p>
    <w:p>
      <w:pPr>
        <w:pStyle w:val="Normal"/>
        <w:spacing w:lineRule="auto" w:line="480"/>
        <w:rPr>
          <w:b/>
          <w:b/>
          <w:sz w:val="24"/>
          <w:szCs w:val="24"/>
        </w:rPr>
      </w:pPr>
      <w:r>
        <w:rPr>
          <w:b/>
          <w:sz w:val="24"/>
          <w:szCs w:val="24"/>
        </w:rPr>
      </w:r>
    </w:p>
    <w:p>
      <w:pPr>
        <w:pStyle w:val="Normal"/>
        <w:spacing w:lineRule="auto" w:line="480"/>
        <w:rPr>
          <w:b/>
          <w:b/>
          <w:sz w:val="24"/>
          <w:szCs w:val="24"/>
        </w:rPr>
      </w:pPr>
      <w:r>
        <w:rPr>
          <w:b/>
          <w:sz w:val="24"/>
          <w:szCs w:val="24"/>
        </w:rPr>
        <w:t xml:space="preserve">Figure 5: </w:t>
      </w:r>
      <w:r>
        <w:rPr>
          <w:sz w:val="24"/>
          <w:szCs w:val="24"/>
        </w:rPr>
        <w:t>Measured data compared with modelled data depicting mean basal area. A = woods creeks unthinned stands all species (61.4 m2ha-1 basal area in 1990), B = woods creek unthinned stands DF only, C = woods creek light thin stands all species (lightly thinned to 42.1 m2ha-1 of basal area in 1990), D = woods creek light thin stands, E = Woods Creek heavy thin (34.5 m2ha-1 of basal area in 1990), F = Woods Creek heavy thin DF only, G = Apiary DF only. Error bars are representative of 95% confidence intervals.</w:t>
      </w:r>
    </w:p>
    <w:p>
      <w:pPr>
        <w:pStyle w:val="Normal"/>
        <w:spacing w:lineRule="auto" w:line="480"/>
        <w:rPr>
          <w:b/>
          <w:b/>
          <w:sz w:val="24"/>
          <w:szCs w:val="24"/>
        </w:rPr>
      </w:pPr>
      <w:r>
        <w:rPr>
          <w:b/>
          <w:sz w:val="24"/>
          <w:szCs w:val="24"/>
        </w:rPr>
      </w:r>
    </w:p>
    <w:p>
      <w:pPr>
        <w:pStyle w:val="Normal"/>
        <w:spacing w:lineRule="auto" w:line="480"/>
        <w:rPr>
          <w:b/>
          <w:b/>
          <w:sz w:val="24"/>
          <w:szCs w:val="24"/>
        </w:rPr>
      </w:pPr>
      <w:r>
        <w:rPr>
          <w:b/>
          <w:sz w:val="24"/>
          <w:szCs w:val="24"/>
        </w:rPr>
        <w:t xml:space="preserve">Figure 6. </w:t>
      </w:r>
      <w:r>
        <w:rPr>
          <w:sz w:val="24"/>
          <w:szCs w:val="24"/>
        </w:rPr>
        <w:t xml:space="preserve">Stand mean (+/- 95% CI) annual mortality proportion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 </w:t>
      </w:r>
    </w:p>
    <w:p>
      <w:pPr>
        <w:pStyle w:val="Normal"/>
        <w:spacing w:lineRule="auto" w:line="480"/>
        <w:rPr>
          <w:sz w:val="24"/>
          <w:szCs w:val="24"/>
          <w:shd w:fill="FFFF00" w:val="clear"/>
        </w:rPr>
      </w:pPr>
      <w:r>
        <w:rPr>
          <w:sz w:val="24"/>
          <w:szCs w:val="24"/>
          <w:shd w:fill="FFFF00" w:val="clear"/>
        </w:rPr>
        <w:t>Combine Figs 6, 7, 8 into panels of 6A B C</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shd w:fill="FFFF00" w:val="clear"/>
        </w:rPr>
        <w:t>Figure 7</w:t>
      </w:r>
      <w:r>
        <w:rPr>
          <w:b/>
          <w:sz w:val="24"/>
          <w:szCs w:val="24"/>
        </w:rPr>
        <w:t xml:space="preserve">. </w:t>
      </w:r>
      <w:r>
        <w:rPr>
          <w:sz w:val="24"/>
          <w:szCs w:val="24"/>
        </w:rPr>
        <w:t xml:space="preserve">Stand mean (+/- 95% CI) annual mortality proportion attributed to laminated root rot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shd w:fill="FFFF00" w:val="clear"/>
        </w:rPr>
        <w:t>Figure 8</w:t>
      </w:r>
      <w:r>
        <w:rPr>
          <w:b/>
          <w:sz w:val="24"/>
          <w:szCs w:val="24"/>
        </w:rPr>
        <w:t>.</w:t>
      </w:r>
      <w:r>
        <w:rPr>
          <w:sz w:val="24"/>
          <w:szCs w:val="24"/>
        </w:rPr>
        <w:t xml:space="preserve"> Stand mean (+/- 95% CI) annual mortality proportion attributed to suppression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p>
    <w:p>
      <w:pPr>
        <w:pStyle w:val="Normal"/>
        <w:spacing w:lineRule="auto" w:line="480"/>
        <w:rPr>
          <w:sz w:val="24"/>
          <w:szCs w:val="24"/>
        </w:rPr>
      </w:pPr>
      <w:r>
        <w:rPr>
          <w:sz w:val="24"/>
          <w:szCs w:val="24"/>
        </w:rPr>
      </w:r>
    </w:p>
    <w:p>
      <w:pPr>
        <w:pStyle w:val="Normal"/>
        <w:spacing w:lineRule="auto" w:line="480"/>
        <w:rPr>
          <w:sz w:val="24"/>
          <w:szCs w:val="24"/>
        </w:rPr>
      </w:pPr>
      <w:r>
        <w:rPr>
          <w:b/>
          <w:sz w:val="24"/>
          <w:szCs w:val="24"/>
        </w:rPr>
        <w:t>Figure 9.</w:t>
      </w:r>
      <w:r>
        <w:rPr>
          <w:sz w:val="24"/>
          <w:szCs w:val="24"/>
        </w:rPr>
        <w:t xml:space="preserve"> Diameter growth of live Douglas-fir over time in continuous Douglas-fir treatment vs 12-year rotation treatments in the middle time period of the Apiary study. Linear regressions are fitted to trees grouped by damage notes recorded at any point during the study.</w:t>
      </w:r>
    </w:p>
    <w:sectPr>
      <w:headerReference w:type="default" r:id="rId47"/>
      <w:footerReference w:type="default" r:id="rId48"/>
      <w:type w:val="nextPage"/>
      <w:pgSz w:w="12240" w:h="15840"/>
      <w:pgMar w:left="1440" w:right="1440" w:header="1440" w:top="2013" w:footer="0" w:bottom="1440" w:gutter="0"/>
      <w:lnNumType w:countBy="1" w:restart="continuous" w:distance="283"/>
      <w:pgNumType w:start="32" w:fmt="decimal"/>
      <w:formProt w:val="false"/>
      <w:textDirection w:val="lrTb"/>
      <w:docGrid w:type="default" w:linePitch="299" w:charSpace="4505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LeBoldus, Jared" w:date="2022-10-27T08:57:00Z" w:initials="LJ">
    <w:p>
      <w:r>
        <w:rPr>
          <w:rFonts w:ascii="Liberation Serif" w:hAnsi="Liberation Serif" w:eastAsia="Segoe UI" w:cs="Tahoma"/>
          <w:sz w:val="20"/>
          <w:szCs w:val="20"/>
          <w:lang w:eastAsia="en-US" w:val="en-US" w:bidi="en-US"/>
        </w:rPr>
        <w:t>You need to reduce this.</w:t>
      </w:r>
    </w:p>
  </w:comment>
  <w:comment w:id="1" w:author="Unknown Author" w:date="2022-11-16T10:17:31Z" w:initials="">
    <w:p>
      <w:r>
        <w:rPr>
          <w:rFonts w:ascii="Arial" w:hAnsi="Arial" w:eastAsia="Arial" w:cs="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Clarify what these numbers are.  They seem too low.</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Segoe UI">
    <w:charset w:val="00"/>
    <w:family w:val="roman"/>
    <w:pitch w:val="variable"/>
  </w:font>
  <w:font w:name="Consolas">
    <w:charset w:val="00"/>
    <w:family w:val="roman"/>
    <w:pitch w:val="variable"/>
  </w:font>
  <w:font w:name="Liberation Sans">
    <w:altName w:val="Arial"/>
    <w:charset w:val="00"/>
    <w:family w:val="roman"/>
    <w:pitch w:val="variable"/>
  </w:font>
  <w:font w:name="Roboto">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29431944"/>
    </w:sdtPr>
    <w:sdtContent>
      <w:p>
        <w:pPr>
          <w:pStyle w:val="Footer"/>
          <w:rPr/>
        </w:pPr>
        <w:ins w:id="908" w:author="Shawn McMurtrey" w:date="2022-11-10T12:05:00Z">
          <w:r>
            <w:rPr/>
            <w:fldChar w:fldCharType="begin"/>
          </w:r>
          <w:r>
            <w:rPr/>
            <w:instrText> PAGE </w:instrText>
          </w:r>
          <w:r>
            <w:rPr/>
            <w:fldChar w:fldCharType="separate"/>
          </w:r>
          <w:r>
            <w:rPr/>
            <w:t>18</w:t>
          </w:r>
          <w:r>
            <w:rPr/>
            <w:fldChar w:fldCharType="end"/>
          </w:r>
        </w:ins>
      </w:p>
      <w:p>
        <w:pPr>
          <w:pStyle w:val="Footer"/>
          <w:ind w:right="360" w:hanging="0"/>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310927273"/>
    </w:sdtPr>
    <w:sdtContent>
      <w:p>
        <w:pPr>
          <w:pStyle w:val="Footer"/>
          <w:rPr/>
        </w:pPr>
        <w:ins w:id="999" w:author="Shawn McMurtrey" w:date="2022-11-10T12:06:00Z">
          <w:r>
            <w:rPr/>
            <w:fldChar w:fldCharType="begin"/>
          </w:r>
          <w:r>
            <w:rPr/>
            <w:instrText> PAGE </w:instrText>
          </w:r>
          <w:r>
            <w:rPr/>
            <w:fldChar w:fldCharType="separate"/>
          </w:r>
          <w:r>
            <w:rPr/>
            <w:t>30</w:t>
          </w:r>
          <w:r>
            <w:rPr/>
            <w:fldChar w:fldCharType="end"/>
          </w:r>
        </w:ins>
      </w:p>
    </w:sdtContent>
  </w:sdt>
  <w:p>
    <w:pPr>
      <w:pStyle w:val="Footer"/>
      <w:ind w:right="360"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436837479"/>
    </w:sdtPr>
    <w:sdtContent>
      <w:p>
        <w:pPr>
          <w:pStyle w:val="Footer"/>
          <w:rPr/>
        </w:pPr>
        <w:ins w:id="1001" w:author="Shawn McMurtrey" w:date="2022-11-10T12:08:00Z">
          <w:r>
            <w:rPr/>
            <w:fldChar w:fldCharType="begin"/>
          </w:r>
          <w:r>
            <w:rPr/>
            <w:instrText> PAGE </w:instrText>
          </w:r>
          <w:r>
            <w:rPr/>
            <w:fldChar w:fldCharType="separate"/>
          </w:r>
          <w:r>
            <w:rPr/>
            <w:t>31</w:t>
          </w:r>
          <w:r>
            <w:rPr/>
            <w:fldChar w:fldCharType="end"/>
          </w:r>
        </w:ins>
      </w:p>
    </w:sdtContent>
  </w:sdt>
  <w:p>
    <w:pPr>
      <w:pStyle w:val="Footer"/>
      <w:ind w:right="360" w:hanging="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763405681"/>
    </w:sdtPr>
    <w:sdtContent>
      <w:p>
        <w:pPr>
          <w:pStyle w:val="Footer"/>
          <w:rPr/>
        </w:pPr>
        <w:ins w:id="1123" w:author="Shawn McMurtrey" w:date="2022-11-10T12:08:00Z">
          <w:r>
            <w:rPr/>
            <w:fldChar w:fldCharType="begin"/>
          </w:r>
          <w:r>
            <w:rPr/>
            <w:instrText> PAGE </w:instrText>
          </w:r>
          <w:r>
            <w:rPr/>
            <w:fldChar w:fldCharType="separate"/>
          </w:r>
          <w:r>
            <w:rPr/>
            <w:t>61</w:t>
          </w:r>
          <w:r>
            <w:rPr/>
            <w:fldChar w:fldCharType="end"/>
          </w:r>
        </w:ins>
      </w:p>
    </w:sdtContent>
  </w:sdt>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settings.xml><?xml version="1.0" encoding="utf-8"?>
<w:settings xmlns:w="http://schemas.openxmlformats.org/wordprocessingml/2006/main">
  <w:zoom w:percent="90"/>
  <w:revisionView w:insDel="0" w:formatting="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2af1"/>
    <w:pPr>
      <w:widowControl/>
      <w:suppressAutoHyphens w:val="true"/>
      <w:bidi w:val="0"/>
      <w:spacing w:lineRule="auto" w:line="276" w:before="0" w:after="0"/>
      <w:jc w:val="left"/>
    </w:pPr>
    <w:rPr>
      <w:rFonts w:ascii="Arial" w:hAnsi="Arial" w:eastAsia="Arial" w:cs="Arial"/>
      <w:color w:val="auto"/>
      <w:kern w:val="0"/>
      <w:sz w:val="22"/>
      <w:szCs w:val="22"/>
      <w:lang w:val="en" w:eastAsia="en-US" w:bidi="ar-SA"/>
    </w:rPr>
  </w:style>
  <w:style w:type="paragraph" w:styleId="Heading1">
    <w:name w:val="Heading 1"/>
    <w:basedOn w:val="Normal"/>
    <w:next w:val="Normal"/>
    <w:link w:val="Heading1Char"/>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0008bd"/>
    <w:rPr>
      <w:color w:val="0000FF"/>
      <w:u w:val="single"/>
    </w:rPr>
  </w:style>
  <w:style w:type="character" w:styleId="Strong">
    <w:name w:val="Strong"/>
    <w:basedOn w:val="DefaultParagraphFont"/>
    <w:uiPriority w:val="22"/>
    <w:qFormat/>
    <w:rsid w:val="00c0639d"/>
    <w:rPr>
      <w:b/>
      <w:bCs/>
    </w:rPr>
  </w:style>
  <w:style w:type="character" w:styleId="Binomial" w:customStyle="1">
    <w:name w:val="binomial"/>
    <w:basedOn w:val="DefaultParagraphFont"/>
    <w:qFormat/>
    <w:rsid w:val="008d65cd"/>
    <w:rPr/>
  </w:style>
  <w:style w:type="character" w:styleId="Cf01" w:customStyle="1">
    <w:name w:val="cf01"/>
    <w:basedOn w:val="DefaultParagraphFont"/>
    <w:qFormat/>
    <w:rsid w:val="00d3225f"/>
    <w:rPr>
      <w:rFonts w:ascii="Segoe UI" w:hAnsi="Segoe UI" w:cs="Segoe UI"/>
      <w:b/>
      <w:bCs/>
      <w:color w:val="444444"/>
      <w:sz w:val="16"/>
      <w:szCs w:val="16"/>
    </w:rPr>
  </w:style>
  <w:style w:type="character" w:styleId="UnresolvedMention">
    <w:name w:val="Unresolved Mention"/>
    <w:basedOn w:val="DefaultParagraphFont"/>
    <w:uiPriority w:val="99"/>
    <w:semiHidden/>
    <w:unhideWhenUsed/>
    <w:qFormat/>
    <w:rsid w:val="003317b4"/>
    <w:rPr>
      <w:color w:val="605E5C"/>
      <w:shd w:fill="E1DFDD" w:val="clear"/>
    </w:rPr>
  </w:style>
  <w:style w:type="character" w:styleId="Annotationreference">
    <w:name w:val="annotation reference"/>
    <w:basedOn w:val="DefaultParagraphFont"/>
    <w:uiPriority w:val="99"/>
    <w:semiHidden/>
    <w:unhideWhenUsed/>
    <w:qFormat/>
    <w:rsid w:val="00ef2d15"/>
    <w:rPr>
      <w:sz w:val="16"/>
      <w:szCs w:val="16"/>
    </w:rPr>
  </w:style>
  <w:style w:type="character" w:styleId="CommentTextChar" w:customStyle="1">
    <w:name w:val="Comment Text Char"/>
    <w:basedOn w:val="DefaultParagraphFont"/>
    <w:link w:val="CommentText"/>
    <w:uiPriority w:val="99"/>
    <w:qFormat/>
    <w:rsid w:val="00ef2d15"/>
    <w:rPr>
      <w:sz w:val="20"/>
      <w:szCs w:val="20"/>
    </w:rPr>
  </w:style>
  <w:style w:type="character" w:styleId="CommentSubjectChar" w:customStyle="1">
    <w:name w:val="Comment Subject Char"/>
    <w:basedOn w:val="CommentTextChar"/>
    <w:link w:val="CommentSubject"/>
    <w:uiPriority w:val="99"/>
    <w:semiHidden/>
    <w:qFormat/>
    <w:rsid w:val="00ef2d15"/>
    <w:rPr>
      <w:b/>
      <w:bCs/>
      <w:sz w:val="20"/>
      <w:szCs w:val="20"/>
    </w:rPr>
  </w:style>
  <w:style w:type="character" w:styleId="Emphasis">
    <w:name w:val="Emphasis"/>
    <w:basedOn w:val="DefaultParagraphFont"/>
    <w:uiPriority w:val="20"/>
    <w:qFormat/>
    <w:rsid w:val="00022448"/>
    <w:rPr>
      <w:i/>
      <w:iCs/>
    </w:rPr>
  </w:style>
  <w:style w:type="character" w:styleId="VisitedInternetLink">
    <w:name w:val="FollowedHyperlink"/>
    <w:basedOn w:val="DefaultParagraphFont"/>
    <w:uiPriority w:val="99"/>
    <w:semiHidden/>
    <w:unhideWhenUsed/>
    <w:rsid w:val="0075438b"/>
    <w:rPr>
      <w:color w:val="800080" w:themeColor="followedHyperlink"/>
      <w:u w:val="single"/>
    </w:rPr>
  </w:style>
  <w:style w:type="character" w:styleId="Linenumber">
    <w:name w:val="line number"/>
    <w:basedOn w:val="DefaultParagraphFont"/>
    <w:uiPriority w:val="99"/>
    <w:semiHidden/>
    <w:unhideWhenUsed/>
    <w:qFormat/>
    <w:rsid w:val="0068628c"/>
    <w:rPr/>
  </w:style>
  <w:style w:type="character" w:styleId="VerbatimChar" w:customStyle="1">
    <w:name w:val="Verbatim Char"/>
    <w:basedOn w:val="DefaultParagraphFont"/>
    <w:link w:val="SourceCode"/>
    <w:qFormat/>
    <w:locked/>
    <w:rsid w:val="00132274"/>
    <w:rPr>
      <w:rFonts w:ascii="Consolas" w:hAnsi="Consolas"/>
      <w:shd w:fill="F8F8F8" w:val="clear"/>
    </w:rPr>
  </w:style>
  <w:style w:type="character" w:styleId="LineNumbering" w:customStyle="1">
    <w:name w:val="Line Numbering"/>
    <w:rPr/>
  </w:style>
  <w:style w:type="character" w:styleId="BalloonTextChar" w:customStyle="1">
    <w:name w:val="Balloon Text Char"/>
    <w:basedOn w:val="DefaultParagraphFont"/>
    <w:link w:val="BalloonText"/>
    <w:uiPriority w:val="99"/>
    <w:semiHidden/>
    <w:qFormat/>
    <w:rsid w:val="00642dee"/>
    <w:rPr>
      <w:rFonts w:ascii="Segoe UI" w:hAnsi="Segoe UI" w:cs="Segoe UI"/>
      <w:sz w:val="18"/>
      <w:szCs w:val="18"/>
    </w:rPr>
  </w:style>
  <w:style w:type="character" w:styleId="FooterChar" w:customStyle="1">
    <w:name w:val="Footer Char"/>
    <w:basedOn w:val="DefaultParagraphFont"/>
    <w:link w:val="Footer"/>
    <w:uiPriority w:val="99"/>
    <w:qFormat/>
    <w:rsid w:val="006202e3"/>
    <w:rPr/>
  </w:style>
  <w:style w:type="character" w:styleId="Pagenumber">
    <w:name w:val="page number"/>
    <w:basedOn w:val="DefaultParagraphFont"/>
    <w:uiPriority w:val="99"/>
    <w:semiHidden/>
    <w:unhideWhenUsed/>
    <w:qFormat/>
    <w:rsid w:val="006202e3"/>
    <w:rPr/>
  </w:style>
  <w:style w:type="character" w:styleId="Heading1Char" w:customStyle="1">
    <w:name w:val="Heading 1 Char"/>
    <w:basedOn w:val="DefaultParagraphFont"/>
    <w:link w:val="Heading1"/>
    <w:uiPriority w:val="9"/>
    <w:qFormat/>
    <w:rsid w:val="00442a4d"/>
    <w:rPr>
      <w:sz w:val="40"/>
      <w:szCs w:val="40"/>
    </w:rPr>
  </w:style>
  <w:style w:type="character" w:styleId="NumberingSymbols">
    <w:name w:val="Numbering Symbols"/>
    <w:qFormat/>
    <w:rPr/>
  </w:style>
  <w:style w:type="paragraph" w:styleId="Heading" w:customStyle="1">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
    <w:basedOn w:val="Normal"/>
    <w:qFormat/>
    <w:pPr>
      <w:suppressLineNumbers/>
      <w:spacing w:before="120" w:after="120"/>
    </w:pPr>
    <w:rPr>
      <w:rFonts w:cs="Lucida Sans"/>
      <w:i/>
      <w:iCs/>
      <w:sz w:val="24"/>
      <w:szCs w:val="24"/>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unhideWhenUsed/>
    <w:qFormat/>
    <w:rsid w:val="00d3225f"/>
    <w:pPr>
      <w:spacing w:lineRule="auto" w:line="240" w:beforeAutospacing="1" w:afterAutospacing="1"/>
    </w:pPr>
    <w:rPr>
      <w:rFonts w:ascii="Times New Roman" w:hAnsi="Times New Roman" w:eastAsia="Times New Roman" w:cs="Times New Roman"/>
      <w:sz w:val="24"/>
      <w:szCs w:val="24"/>
      <w:lang w:val="en-US"/>
    </w:rPr>
  </w:style>
  <w:style w:type="paragraph" w:styleId="Annotationtext">
    <w:name w:val="annotation text"/>
    <w:basedOn w:val="Normal"/>
    <w:link w:val="CommentTextChar"/>
    <w:uiPriority w:val="99"/>
    <w:unhideWhenUsed/>
    <w:qFormat/>
    <w:rsid w:val="00ef2d15"/>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ef2d15"/>
    <w:pPr/>
    <w:rPr>
      <w:b/>
      <w:bCs/>
    </w:rPr>
  </w:style>
  <w:style w:type="paragraph" w:styleId="SourceCode" w:customStyle="1">
    <w:name w:val="Source Code"/>
    <w:basedOn w:val="Normal"/>
    <w:link w:val="VerbatimChar"/>
    <w:qFormat/>
    <w:rsid w:val="00132274"/>
    <w:pPr>
      <w:shd w:val="clear" w:color="auto" w:fill="F8F8F8"/>
      <w:spacing w:lineRule="auto" w:line="240" w:before="0" w:after="200"/>
    </w:pPr>
    <w:rPr>
      <w:rFonts w:ascii="Consolas" w:hAnsi="Consolas"/>
    </w:rPr>
  </w:style>
  <w:style w:type="paragraph" w:styleId="ListParagraph">
    <w:name w:val="List Paragraph"/>
    <w:basedOn w:val="Normal"/>
    <w:uiPriority w:val="34"/>
    <w:qFormat/>
    <w:rsid w:val="00d71b9f"/>
    <w:pPr>
      <w:spacing w:before="0" w:after="0"/>
      <w:ind w:left="720" w:hanging="0"/>
      <w:contextualSpacing/>
    </w:pPr>
    <w:rPr/>
  </w:style>
  <w:style w:type="paragraph" w:styleId="Referencescopy1" w:customStyle="1">
    <w:name w:val="referencescopy1"/>
    <w:basedOn w:val="Normal"/>
    <w:qFormat/>
    <w:rsid w:val="0039109a"/>
    <w:pPr>
      <w:spacing w:lineRule="auto" w:line="240" w:beforeAutospacing="1" w:afterAutospacing="1"/>
    </w:pPr>
    <w:rPr>
      <w:rFonts w:ascii="Times New Roman" w:hAnsi="Times New Roman" w:eastAsia="Times New Roman" w:cs="Times New Roman"/>
      <w:sz w:val="24"/>
      <w:szCs w:val="24"/>
      <w:lang w:val="en-US"/>
    </w:rPr>
  </w:style>
  <w:style w:type="paragraph" w:styleId="Referencescopy2" w:customStyle="1">
    <w:name w:val="referencescopy2"/>
    <w:basedOn w:val="Normal"/>
    <w:qFormat/>
    <w:rsid w:val="0039109a"/>
    <w:pPr>
      <w:spacing w:lineRule="auto" w:line="240" w:beforeAutospacing="1" w:afterAutospacing="1"/>
    </w:pPr>
    <w:rPr>
      <w:rFonts w:ascii="Times New Roman" w:hAnsi="Times New Roman" w:eastAsia="Times New Roman" w:cs="Times New Roman"/>
      <w:sz w:val="24"/>
      <w:szCs w:val="24"/>
      <w:lang w:val="en-US"/>
    </w:rPr>
  </w:style>
  <w:style w:type="paragraph" w:styleId="Dxdoi" w:customStyle="1">
    <w:name w:val="dx-doi"/>
    <w:basedOn w:val="Normal"/>
    <w:qFormat/>
    <w:rsid w:val="007a37ac"/>
    <w:pPr>
      <w:spacing w:lineRule="auto" w:line="240" w:beforeAutospacing="1" w:afterAutospacing="1"/>
    </w:pPr>
    <w:rPr>
      <w:rFonts w:ascii="Times New Roman" w:hAnsi="Times New Roman" w:eastAsia="Times New Roman" w:cs="Times New Roman"/>
      <w:sz w:val="24"/>
      <w:szCs w:val="24"/>
      <w:lang w:val="en-US"/>
    </w:rPr>
  </w:style>
  <w:style w:type="paragraph" w:styleId="BalloonText">
    <w:name w:val="Balloon Text"/>
    <w:basedOn w:val="Normal"/>
    <w:link w:val="BalloonTextChar"/>
    <w:uiPriority w:val="99"/>
    <w:semiHidden/>
    <w:unhideWhenUsed/>
    <w:qFormat/>
    <w:rsid w:val="00642dee"/>
    <w:pPr>
      <w:spacing w:lineRule="auto" w:line="240"/>
    </w:pPr>
    <w:rPr>
      <w:rFonts w:ascii="Segoe UI" w:hAnsi="Segoe UI" w:cs="Segoe UI"/>
      <w:sz w:val="18"/>
      <w:szCs w:val="18"/>
    </w:rPr>
  </w:style>
  <w:style w:type="paragraph" w:styleId="Revision">
    <w:name w:val="Revision"/>
    <w:uiPriority w:val="99"/>
    <w:semiHidden/>
    <w:qFormat/>
    <w:rsid w:val="00f06a51"/>
    <w:pPr>
      <w:widowControl/>
      <w:suppressAutoHyphens w:val="false"/>
      <w:bidi w:val="0"/>
      <w:spacing w:before="0" w:after="0"/>
      <w:jc w:val="left"/>
    </w:pPr>
    <w:rPr>
      <w:rFonts w:ascii="Arial" w:hAnsi="Arial" w:eastAsia="Arial" w:cs="Arial"/>
      <w:color w:val="auto"/>
      <w:kern w:val="0"/>
      <w:sz w:val="22"/>
      <w:szCs w:val="22"/>
      <w:lang w:val="en" w:eastAsia="en-US" w:bidi="ar-SA"/>
    </w:rPr>
  </w:style>
  <w:style w:type="paragraph" w:styleId="Landscape" w:customStyle="1">
    <w:name w:val="Landscape"/>
    <w:basedOn w:val="Normal"/>
    <w:qFormat/>
    <w:pPr>
      <w:spacing w:lineRule="auto" w:line="480"/>
    </w:pPr>
    <w:rPr>
      <w:sz w:val="24"/>
      <w:szCs w:val="24"/>
    </w:rPr>
  </w:style>
  <w:style w:type="paragraph" w:styleId="HeaderandFooter" w:customStyle="1">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Footer">
    <w:name w:val="Footer"/>
    <w:basedOn w:val="Normal"/>
    <w:link w:val="FooterChar"/>
    <w:uiPriority w:val="99"/>
    <w:unhideWhenUsed/>
    <w:rsid w:val="006202e3"/>
    <w:pPr>
      <w:suppressLineNumbers/>
      <w:tabs>
        <w:tab w:val="clear" w:pos="720"/>
        <w:tab w:val="center" w:pos="4680" w:leader="none"/>
        <w:tab w:val="right" w:pos="9360" w:leader="none"/>
      </w:tabs>
      <w:spacing w:lineRule="auto" w:line="240"/>
    </w:pPr>
    <w:rPr/>
  </w:style>
  <w:style w:type="paragraph" w:styleId="Pf0" w:customStyle="1">
    <w:name w:val="pf0"/>
    <w:basedOn w:val="Normal"/>
    <w:qFormat/>
    <w:rsid w:val="004f0ff5"/>
    <w:pPr>
      <w:suppressAutoHyphens w:val="false"/>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9502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iencedirect.com/topics/agricultural-and-biological-sciences/tsuga-heterophylla" TargetMode="External"/><Relationship Id="rId3" Type="http://schemas.openxmlformats.org/officeDocument/2006/relationships/hyperlink" Target="https://www.sciencedirect.com/topics/agricultural-and-biological-sciences/thuja-plicata" TargetMode="External"/><Relationship Id="rId4" Type="http://schemas.openxmlformats.org/officeDocument/2006/relationships/hyperlink" Target="https://en.wikipedia.org/wiki/David_Douglas_(botanist)" TargetMode="External"/><Relationship Id="rId5" Type="http://schemas.openxmlformats.org/officeDocument/2006/relationships/hyperlink" Target="https://en.wikipedia.org/wiki/David_Don" TargetMode="External"/><Relationship Id="rId6" Type="http://schemas.openxmlformats.org/officeDocument/2006/relationships/hyperlink" Target="https://en.wikipedia.org/wiki/John_Lindley" TargetMode="External"/><Relationship Id="rId7" Type="http://schemas.openxmlformats.org/officeDocument/2006/relationships/hyperlink" Target="https://en.wikipedia.org/wiki/David_Douglas_(botanist)" TargetMode="External"/><Relationship Id="rId8" Type="http://schemas.openxmlformats.org/officeDocument/2006/relationships/hyperlink" Target="https://en.wikipedia.org/wiki/William_Jackson_Hooker" TargetMode="External"/><Relationship Id="rId9" Type="http://schemas.openxmlformats.org/officeDocument/2006/relationships/hyperlink" Target="https://en.wikipedia.org/w/index.php?title=Hjelmq.&amp;action=edit&amp;redlink=1" TargetMode="External"/><Relationship Id="rId10" Type="http://schemas.openxmlformats.org/officeDocument/2006/relationships/hyperlink" Target="http://earthexplorer.usgs.gov/" TargetMode="External"/><Relationship Id="rId11" Type="http://schemas.openxmlformats.org/officeDocument/2006/relationships/hyperlink" Target="https://mcmurtrs.github.io/WoodsCreek/" TargetMode="External"/><Relationship Id="rId12" Type="http://schemas.openxmlformats.org/officeDocument/2006/relationships/hyperlink" Target="https://mcmurtrs.github.io/WoodsCreek/" TargetMode="External"/><Relationship Id="rId13" Type="http://schemas.openxmlformats.org/officeDocument/2006/relationships/footer" Target="footer1.xml"/><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hyperlink" Target="https://github.com/mcmurtrs/WoodsCreek" TargetMode="External"/><Relationship Id="rId19" Type="http://schemas.openxmlformats.org/officeDocument/2006/relationships/hyperlink" Target="https://doi.org/10.1016/j.foreco.2005.01.034" TargetMode="External"/><Relationship Id="rId20" Type="http://schemas.openxmlformats.org/officeDocument/2006/relationships/hyperlink" Target="https://ir.library.oregonstate.edu/concern/graduate_thesis_or_dissertations/k930c098s" TargetMode="External"/><Relationship Id="rId21" Type="http://schemas.openxmlformats.org/officeDocument/2006/relationships/hyperlink" Target="https://doi.org/10.3389/ffgc.2021.695981" TargetMode="External"/><Relationship Id="rId22" Type="http://schemas.openxmlformats.org/officeDocument/2006/relationships/hyperlink" Target="https://doi.org/10.1016/j.foreco.2012.05.040" TargetMode="External"/><Relationship Id="rId23" Type="http://schemas.openxmlformats.org/officeDocument/2006/relationships/hyperlink" Target="https://www.fs.usda.gov/treesearch/pubs/46886" TargetMode="External"/><Relationship Id="rId24" Type="http://schemas.openxmlformats.org/officeDocument/2006/relationships/hyperlink" Target="https://www.fs.fed.us/foresthealth/technology/pdfs/WesternRootDiseaseModelV3-0UserGuide2018.pdf" TargetMode="External"/><Relationship Id="rId25" Type="http://schemas.openxmlformats.org/officeDocument/2006/relationships/hyperlink" Target="https://www.fs.usda.gov/Internet/FSE_DOCUMENTS/fsbdev3_020984.pdf" TargetMode="External"/><Relationship Id="rId26" Type="http://schemas.openxmlformats.org/officeDocument/2006/relationships/hyperlink" Target="https://doi.org/10.2737/PSW-GTR-165" TargetMode="External"/><Relationship Id="rId27" Type="http://schemas.openxmlformats.org/officeDocument/2006/relationships/hyperlink" Target="https://doi.org/10.5849/jof.10-006" TargetMode="External"/><Relationship Id="rId28" Type="http://schemas.openxmlformats.org/officeDocument/2006/relationships/hyperlink" Target="https://www.biodiversitylibrary.org/bibliography/178892" TargetMode="External"/><Relationship Id="rId29" Type="http://schemas.openxmlformats.org/officeDocument/2006/relationships/hyperlink" Target="https://doi.org/10.1139/x79-078" TargetMode="External"/><Relationship Id="rId30" Type="http://schemas.openxmlformats.org/officeDocument/2006/relationships/hyperlink" Target="http://dx.doi.org/10.1146/annurev.phyto.38.1.515" TargetMode="External"/><Relationship Id="rId31" Type="http://schemas.openxmlformats.org/officeDocument/2006/relationships/hyperlink" Target="https://doi.org/10.1002/ecs2.1569" TargetMode="External"/><Relationship Id="rId32" Type="http://schemas.openxmlformats.org/officeDocument/2006/relationships/hyperlink" Target="https://doi.org/10.1016/j.foreco.2019.03.063" TargetMode="External"/><Relationship Id="rId33" Type="http://schemas.openxmlformats.org/officeDocument/2006/relationships/hyperlink" Target="https://doi.org/10.1080/17550874.2012.679013" TargetMode="External"/><Relationship Id="rId34" Type="http://schemas.openxmlformats.org/officeDocument/2006/relationships/hyperlink" Target="https://doi.org/10.1094/PHYTO-12-17-0399-R" TargetMode="External"/><Relationship Id="rId35" Type="http://schemas.openxmlformats.org/officeDocument/2006/relationships/hyperlink" Target="https://doi.org/10.1111/j.1523-1739.2004.00492.x" TargetMode="External"/><Relationship Id="rId36" Type="http://schemas.openxmlformats.org/officeDocument/2006/relationships/hyperlink" Target="https://doi.org/10.1016/j.foreco.2014.02.007" TargetMode="External"/><Relationship Id="rId37" Type="http://schemas.openxmlformats.org/officeDocument/2006/relationships/hyperlink" Target="https://doi.org/10.1139/cjfr-2014-0168" TargetMode="External"/><Relationship Id="rId38" Type="http://schemas.openxmlformats.org/officeDocument/2006/relationships/hyperlink" Target="https://doi.org/10.1093/forestscience/51.5.425" TargetMode="External"/><Relationship Id="rId39" Type="http://schemas.openxmlformats.org/officeDocument/2006/relationships/hyperlink" Target="https://doi.org/10.1093/aob/mcm246" TargetMode="External"/><Relationship Id="rId40" Type="http://schemas.openxmlformats.org/officeDocument/2006/relationships/hyperlink" Target="http://www.rstudio.com/" TargetMode="External"/><Relationship Id="rId41" Type="http://schemas.openxmlformats.org/officeDocument/2006/relationships/hyperlink" Target="https://doi.org/10.1093/forestry/cpm041" TargetMode="External"/><Relationship Id="rId42" Type="http://schemas.openxmlformats.org/officeDocument/2006/relationships/hyperlink" Target="http://websoilsurvey.sc.egov.usda.gov/" TargetMode="External"/><Relationship Id="rId43" Type="http://schemas.openxmlformats.org/officeDocument/2006/relationships/hyperlink" Target="https://doi.org/10.1016/j.foreco.2018.03.043" TargetMode="External"/><Relationship Id="rId44" Type="http://schemas.openxmlformats.org/officeDocument/2006/relationships/hyperlink" Target="https://ggplot2.tidyverse.org/" TargetMode="External"/><Relationship Id="rId45" Type="http://schemas.openxmlformats.org/officeDocument/2006/relationships/hyperlink" Target="https://CRAN.R-project.org/package=tidyverse" TargetMode="External"/><Relationship Id="rId46" Type="http://schemas.openxmlformats.org/officeDocument/2006/relationships/hyperlink" Target="https://doi.org/10.1016/j.foreco.2019.117558" TargetMode="External"/><Relationship Id="rId47" Type="http://schemas.openxmlformats.org/officeDocument/2006/relationships/header" Target="header3.xml"/><Relationship Id="rId48" Type="http://schemas.openxmlformats.org/officeDocument/2006/relationships/footer" Target="footer4.xml"/><Relationship Id="rId49" Type="http://schemas.openxmlformats.org/officeDocument/2006/relationships/comments" Target="comments.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 Id="rId5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77FDB-81ED-4D3E-A95C-2FBA09DF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Application>LibreOffice/7.1.5.2$Windows_X86_64 LibreOffice_project/85f04e9f809797b8199d13c421bd8a2b025d52b5</Application>
  <AppVersion>15.0000</AppVersion>
  <Pages>55</Pages>
  <Words>10868</Words>
  <Characters>60091</Characters>
  <CharactersWithSpaces>70452</CharactersWithSpaces>
  <Paragraphs>706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2022-11-16T06:14:00Z</dcterms:created>
  <dc:creator>Shawn McMurtrey</dc:creator>
  <dc:description/>
  <dc:language>en-US</dc:language>
  <cp:lastModifiedBy/>
  <dcterms:modified xsi:type="dcterms:W3CDTF">2022-11-16T15:01:28Z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