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media/image2.png" ContentType="image/png"/>
  <Override PartName="/word/media/image4.jpeg" ContentType="image/jpeg"/>
  <Override PartName="/word/media/image3.jpeg" ContentType="image/jpeg"/>
  <Override PartName="/word/media/image11.png" ContentType="image/png"/>
  <Override PartName="/word/media/image5.jpeg" ContentType="image/jpeg"/>
  <Override PartName="/word/media/image6.jpeg" ContentType="image/jpeg"/>
  <Override PartName="/word/media/image7.jpeg" ContentType="image/jpeg"/>
  <Override PartName="/word/media/image8.jpeg" ContentType="image/jpeg"/>
  <Override PartName="/word/media/image9.png" ContentType="image/png"/>
  <Override PartName="/word/media/image10.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comments.xml" ContentType="application/vnd.openxmlformats-officedocument.wordprocessingml.comment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pPr>
      <w:r>
        <w:rPr>
          <w:b/>
          <w:sz w:val="36"/>
          <w:szCs w:val="36"/>
        </w:rPr>
        <w:t>Limited effects of thinning and hardwood rotations on laminated root rot induced tree mortality in Douglas-fir forests of the Pacific Northwest, USA</w:t>
      </w:r>
    </w:p>
    <w:p>
      <w:pPr>
        <w:pStyle w:val="Normal"/>
        <w:spacing w:lineRule="auto" w:line="480"/>
        <w:jc w:val="center"/>
        <w:rPr/>
      </w:pPr>
      <w:r>
        <w:rPr>
          <w:b/>
          <w:sz w:val="36"/>
          <w:szCs w:val="36"/>
        </w:rPr>
        <w:t xml:space="preserve"> </w:t>
      </w:r>
    </w:p>
    <w:p>
      <w:pPr>
        <w:pStyle w:val="Normal"/>
        <w:spacing w:lineRule="auto" w:line="480"/>
        <w:jc w:val="center"/>
        <w:rPr>
          <w:b/>
          <w:b/>
          <w:sz w:val="20"/>
          <w:szCs w:val="20"/>
        </w:rPr>
      </w:pPr>
      <w:r>
        <w:rPr>
          <w:b/>
          <w:sz w:val="20"/>
          <w:szCs w:val="20"/>
        </w:rPr>
      </w:r>
    </w:p>
    <w:p>
      <w:pPr>
        <w:pStyle w:val="Normal"/>
        <w:spacing w:lineRule="auto" w:line="480"/>
        <w:jc w:val="center"/>
        <w:rPr/>
      </w:pPr>
      <w:r>
        <w:rPr>
          <w:b/>
          <w:sz w:val="24"/>
          <w:szCs w:val="24"/>
        </w:rPr>
        <w:t>Shawn McMurtrey</w:t>
      </w:r>
      <w:r>
        <w:rPr>
          <w:rFonts w:eastAsia="Roboto" w:cs="Roboto" w:ascii="Roboto" w:hAnsi="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pPr>
        <w:pStyle w:val="Normal"/>
        <w:spacing w:lineRule="auto" w:line="480"/>
        <w:rPr>
          <w:b/>
          <w:b/>
          <w:sz w:val="24"/>
          <w:szCs w:val="24"/>
        </w:rPr>
      </w:pPr>
      <w:r>
        <w:rPr>
          <w:b/>
          <w:sz w:val="24"/>
          <w:szCs w:val="24"/>
        </w:rPr>
      </w:r>
    </w:p>
    <w:p>
      <w:pPr>
        <w:pStyle w:val="Normal"/>
        <w:spacing w:lineRule="auto" w:line="480"/>
        <w:rPr/>
      </w:pPr>
      <w:r>
        <w:rPr>
          <w:rFonts w:eastAsia="Roboto" w:cs="Roboto" w:ascii="Roboto" w:hAnsi="Roboto"/>
          <w:b/>
          <w:sz w:val="20"/>
          <w:szCs w:val="20"/>
          <w:highlight w:val="white"/>
          <w:vertAlign w:val="superscript"/>
        </w:rPr>
        <w:t>1</w:t>
      </w:r>
      <w:r>
        <w:rPr>
          <w:sz w:val="20"/>
          <w:szCs w:val="20"/>
        </w:rPr>
        <w:t>Department of Botany and Plant Pathology, Oregon State University, Corvallis, Oregon, USA.</w:t>
      </w:r>
    </w:p>
    <w:p>
      <w:pPr>
        <w:pStyle w:val="Normal"/>
        <w:spacing w:lineRule="auto" w:line="480"/>
        <w:rPr/>
      </w:pPr>
      <w:r>
        <w:rPr>
          <w:rFonts w:eastAsia="Roboto" w:cs="Roboto" w:ascii="Roboto" w:hAnsi="Roboto"/>
          <w:b/>
          <w:sz w:val="20"/>
          <w:szCs w:val="20"/>
          <w:highlight w:val="white"/>
          <w:vertAlign w:val="superscript"/>
        </w:rPr>
        <w:t>2</w:t>
      </w:r>
      <w:r>
        <w:rPr>
          <w:sz w:val="20"/>
          <w:szCs w:val="20"/>
        </w:rPr>
        <w:t>Weyerhauser Company, Centralia, WA, USA</w:t>
      </w:r>
    </w:p>
    <w:p>
      <w:pPr>
        <w:pStyle w:val="Normal"/>
        <w:spacing w:lineRule="auto" w:line="480"/>
        <w:rPr/>
      </w:pPr>
      <w:r>
        <w:rPr>
          <w:b/>
          <w:sz w:val="20"/>
          <w:szCs w:val="20"/>
          <w:vertAlign w:val="superscript"/>
        </w:rPr>
        <w:t>3</w:t>
      </w:r>
      <w:r>
        <w:rPr>
          <w:sz w:val="20"/>
          <w:szCs w:val="20"/>
        </w:rPr>
        <w:t>Currently: USDA Forest Service, State and Private Forestry, Pacific Northwest Region, Blue Mountains Service Center, La Grande, OR, USA</w:t>
      </w:r>
    </w:p>
    <w:p>
      <w:pPr>
        <w:pStyle w:val="Normal"/>
        <w:spacing w:lineRule="auto" w:line="480"/>
        <w:rPr/>
      </w:pPr>
      <w:r>
        <w:rPr>
          <w:b/>
          <w:sz w:val="20"/>
          <w:szCs w:val="20"/>
          <w:vertAlign w:val="superscript"/>
        </w:rPr>
        <w:t>4</w:t>
      </w:r>
      <w:r>
        <w:rPr>
          <w:sz w:val="20"/>
          <w:szCs w:val="20"/>
        </w:rPr>
        <w:t xml:space="preserve">USDA Forest Service, State and Private Forestry, Pacific Northwest Region, Portland, OR, USA </w:t>
      </w:r>
    </w:p>
    <w:p>
      <w:pPr>
        <w:pStyle w:val="Normal"/>
        <w:spacing w:lineRule="auto" w:line="480"/>
        <w:rPr/>
      </w:pPr>
      <w:r>
        <w:rPr>
          <w:b/>
          <w:sz w:val="20"/>
          <w:szCs w:val="20"/>
          <w:vertAlign w:val="superscript"/>
        </w:rPr>
        <w:t>5</w:t>
      </w:r>
      <w:r>
        <w:rPr>
          <w:sz w:val="20"/>
          <w:szCs w:val="20"/>
        </w:rPr>
        <w:t>Department of Forest Engineering, Resources, and Management, Oregon State University, Corvallis, Oregon, USA.</w:t>
      </w:r>
    </w:p>
    <w:p>
      <w:pPr>
        <w:pStyle w:val="Normal"/>
        <w:spacing w:lineRule="auto" w:line="480"/>
        <w:rPr>
          <w:b/>
          <w:b/>
          <w:sz w:val="28"/>
          <w:szCs w:val="28"/>
        </w:rPr>
      </w:pPr>
      <w:r>
        <w:rPr>
          <w:b/>
          <w:sz w:val="28"/>
          <w:szCs w:val="28"/>
        </w:rPr>
      </w:r>
    </w:p>
    <w:p>
      <w:pPr>
        <w:pStyle w:val="Normal"/>
        <w:spacing w:lineRule="auto" w:line="480"/>
        <w:rPr/>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pPr>
        <w:pStyle w:val="Normal"/>
        <w:spacing w:lineRule="auto" w:line="480"/>
        <w:rPr>
          <w:b/>
          <w:b/>
          <w:sz w:val="28"/>
          <w:szCs w:val="28"/>
        </w:rPr>
      </w:pPr>
      <w:r>
        <w:rPr>
          <w:b/>
          <w:sz w:val="28"/>
          <w:szCs w:val="28"/>
        </w:rPr>
      </w:r>
      <w:r>
        <w:br w:type="page"/>
      </w:r>
    </w:p>
    <w:p>
      <w:pPr>
        <w:pStyle w:val="Normal"/>
        <w:spacing w:lineRule="auto" w:line="480"/>
        <w:rPr>
          <w:sz w:val="24"/>
          <w:szCs w:val="24"/>
        </w:rPr>
      </w:pPr>
      <w:r>
        <w:rPr>
          <w:b/>
          <w:sz w:val="28"/>
          <w:szCs w:val="28"/>
        </w:rPr>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w:t>
      </w:r>
      <w:del w:id="0" w:author="Shawn McMurtrey" w:date="2022-09-22T21:35:00Z">
        <w:r>
          <w:rPr>
            <w:sz w:val="24"/>
            <w:szCs w:val="24"/>
          </w:rPr>
          <w:delText xml:space="preserve"> of</w:delText>
        </w:r>
      </w:del>
      <w:r>
        <w:rPr>
          <w:sz w:val="24"/>
          <w:szCs w:val="24"/>
        </w:rPr>
        <w:t xml:space="preserve"> hardwood rotation on Douglas-fir mortality caused by l</w:t>
      </w:r>
      <w:r>
        <w:rPr>
          <w:i/>
          <w:iCs/>
          <w:sz w:val="24"/>
          <w:szCs w:val="24"/>
        </w:rPr>
        <w:t>a</w:t>
      </w:r>
      <w:r>
        <w:rPr>
          <w:sz w:val="24"/>
          <w:szCs w:val="24"/>
        </w:rPr>
        <w:t>minated root rot</w:t>
      </w:r>
      <w:ins w:id="1" w:author="Shawn McMurtrey" w:date="2022-09-22T21:39:00Z">
        <w:r>
          <w:rPr>
            <w:sz w:val="24"/>
            <w:szCs w:val="24"/>
          </w:rPr>
          <w:t xml:space="preserve"> (LRR)</w:t>
        </w:r>
      </w:ins>
      <w:r>
        <w:rPr>
          <w:sz w:val="24"/>
          <w:szCs w:val="24"/>
        </w:rPr>
        <w:t xml:space="preserve">.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w:t>
      </w:r>
      <w:ins w:id="2" w:author="Shawn McMurtrey" w:date="2022-08-31T21:05:00Z">
        <w:r>
          <w:rPr>
            <w:sz w:val="24"/>
            <w:szCs w:val="24"/>
          </w:rPr>
          <w:t>in</w:t>
        </w:r>
      </w:ins>
      <w:r>
        <w:rPr>
          <w:sz w:val="24"/>
          <w:szCs w:val="24"/>
        </w:rPr>
        <w:t xml:space="preserve"> the 15 stands. Inventories were conducted approximately every 5 years with a final evaluation being conducted in 2020. </w:t>
      </w:r>
      <w:del w:id="3" w:author="Shawn McMurtrey" w:date="2022-09-22T21:38:00Z">
        <w:r>
          <w:rPr>
            <w:sz w:val="24"/>
            <w:szCs w:val="24"/>
          </w:rPr>
          <w:delText>Observed data was compared with anticipated data produced by the Forest Vegetation Simulator and Western Root Disease Model</w:delText>
        </w:r>
      </w:del>
      <w:del w:id="4" w:author="Shawn McMurtrey" w:date="2022-08-31T21:05:00Z">
        <w:r>
          <w:rPr>
            <w:sz w:val="24"/>
            <w:szCs w:val="24"/>
          </w:rPr>
          <w:delText>s</w:delText>
        </w:r>
      </w:del>
      <w:del w:id="5" w:author="Shawn McMurtrey" w:date="2022-09-22T21:38:00Z">
        <w:r>
          <w:rPr>
            <w:sz w:val="24"/>
            <w:szCs w:val="24"/>
          </w:rPr>
          <w:delText xml:space="preserve">. </w:delText>
        </w:r>
      </w:del>
      <w:r>
        <w:rPr>
          <w:sz w:val="24"/>
          <w:szCs w:val="24"/>
        </w:rPr>
        <w:t xml:space="preserve">The second study consisted of five different rotation treatments that were applied across 14 hectares of privately-owned forest in Columbia County beginning in 1975. </w:t>
      </w:r>
      <w:commentRangeStart w:id="0"/>
      <w:r>
        <w:rPr>
          <w:sz w:val="24"/>
          <w:szCs w:val="24"/>
        </w:rPr>
        <w:t xml:space="preserve">Both sites were chosen for high incidence of laminated root rot. </w:t>
      </w:r>
      <w:r>
        <w:rPr>
          <w:sz w:val="24"/>
          <w:szCs w:val="24"/>
        </w:rPr>
      </w:r>
      <w:ins w:id="6" w:author="Shawn McMurtrey" w:date="2022-09-22T21:39:00Z">
        <w:commentRangeEnd w:id="0"/>
        <w:r>
          <w:commentReference w:id="0"/>
        </w:r>
        <w:r>
          <w:rPr>
            <w:sz w:val="24"/>
            <w:szCs w:val="24"/>
          </w:rPr>
          <w:t>For both studies, o</w:t>
        </w:r>
      </w:ins>
      <w:del w:id="7" w:author="Shawn McMurtrey" w:date="2022-09-22T21:39:00Z">
        <w:r>
          <w:rPr>
            <w:sz w:val="24"/>
            <w:szCs w:val="24"/>
          </w:rPr>
          <w:delText>O</w:delText>
        </w:r>
      </w:del>
      <w:r>
        <w:rPr>
          <w:sz w:val="24"/>
          <w:szCs w:val="24"/>
        </w:rPr>
        <w:t>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r>
        <w:rPr>
          <w:sz w:val="24"/>
          <w:szCs w:val="24"/>
        </w:rPr>
        <w:commentReference w:id="1"/>
      </w:r>
    </w:p>
    <w:p>
      <w:pPr>
        <w:pStyle w:val="Normal"/>
        <w:spacing w:lineRule="auto" w:line="480"/>
        <w:rPr>
          <w:b/>
          <w:b/>
          <w:sz w:val="24"/>
          <w:szCs w:val="24"/>
        </w:rPr>
      </w:pPr>
      <w:r>
        <w:rPr>
          <w:b/>
          <w:sz w:val="24"/>
          <w:szCs w:val="24"/>
        </w:rPr>
      </w:r>
    </w:p>
    <w:p>
      <w:pPr>
        <w:pStyle w:val="Normal"/>
        <w:spacing w:lineRule="auto" w:line="480"/>
        <w:rPr/>
      </w:pPr>
      <w:r>
        <w:rPr>
          <w:b/>
          <w:sz w:val="28"/>
          <w:szCs w:val="28"/>
        </w:rPr>
        <w:t>1. Introduction</w:t>
      </w:r>
    </w:p>
    <w:p>
      <w:pPr>
        <w:pStyle w:val="Normal"/>
        <w:spacing w:lineRule="auto" w:line="480"/>
        <w:rPr/>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fill="FFFFFF" w:val="clear"/>
        </w:rPr>
        <w:t xml:space="preserve"> </w:t>
      </w:r>
      <w:r>
        <w:rPr>
          <w:sz w:val="24"/>
          <w:szCs w:val="24"/>
        </w:rPr>
        <w:t xml:space="preserve">A major question stemming from these shifts in management techniques is understanding how thinning and alternate host rotations will affect major forest pathogens. </w:t>
        <w:br/>
      </w:r>
    </w:p>
    <w:p>
      <w:pPr>
        <w:pStyle w:val="Normal"/>
        <w:spacing w:lineRule="auto" w:line="480"/>
        <w:rPr/>
      </w:pPr>
      <w:r>
        <w:rPr>
          <w:i/>
          <w:sz w:val="24"/>
          <w:szCs w:val="24"/>
        </w:rPr>
        <w:t xml:space="preserve">Coniferiporia sulphurascens </w:t>
      </w:r>
      <w:r>
        <w:rPr>
          <w:sz w:val="24"/>
          <w:szCs w:val="24"/>
          <w:highlight w:val="white"/>
        </w:rPr>
        <w:t>(Pilát) L. W. Zhou and Y. C. Dai</w:t>
      </w:r>
      <w:r>
        <w:rPr>
          <w:sz w:val="24"/>
          <w:szCs w:val="24"/>
        </w:rPr>
        <w:t xml:space="preserve"> is a basidiomycete fungus endemic to North America, that causes laminated root rot</w:t>
      </w:r>
      <w:del w:id="8" w:author="Shawn McMurtrey" w:date="2022-09-22T21:43:00Z">
        <w:r>
          <w:rPr>
            <w:sz w:val="24"/>
            <w:szCs w:val="24"/>
          </w:rPr>
          <w:delText xml:space="preserve"> (LRR)</w:delText>
        </w:r>
      </w:del>
      <w:r>
        <w:rPr>
          <w:sz w:val="24"/>
          <w:szCs w:val="24"/>
        </w:rPr>
        <w:t xml:space="preserve"> in the highly susceptible Douglas-fir (</w:t>
      </w:r>
      <w:r>
        <w:rPr>
          <w:i/>
          <w:sz w:val="24"/>
          <w:szCs w:val="24"/>
        </w:rPr>
        <w:t>Pseudotsuga menziesii</w:t>
      </w:r>
      <w:r>
        <w:rPr>
          <w:sz w:val="24"/>
          <w:szCs w:val="24"/>
        </w:rPr>
        <w:t xml:space="preserve"> (Mirb.)) </w:t>
      </w:r>
      <w:r>
        <w:rPr>
          <w:sz w:val="24"/>
          <w:szCs w:val="24"/>
          <w:highlight w:val="white"/>
        </w:rPr>
        <w:t>(Thies and Sturrock, 1995)</w:t>
      </w:r>
      <w:r>
        <w:rPr>
          <w:i/>
          <w:sz w:val="24"/>
          <w:szCs w:val="24"/>
        </w:rPr>
        <w:t>.</w:t>
      </w:r>
      <w:r>
        <w:rPr>
          <w:sz w:val="24"/>
          <w:szCs w:val="24"/>
        </w:rPr>
        <w:t xml:space="preserve"> Douglas-fir is a keystone species which is both ecologically and economically important </w:t>
      </w:r>
      <w:r>
        <w:rP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fill="FFFFFF" w:val="clear"/>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Thies and Sturrock, 1995). </w:t>
      </w:r>
      <w:r>
        <w:rPr>
          <w:i/>
          <w:sz w:val="24"/>
          <w:szCs w:val="24"/>
        </w:rPr>
        <w:t>Coniferiporia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(Goheen and Otrosina, 1998; Hadfield, 1985; Hadfield et al., 1986; Hagle et al., 1987; Nelson et al., 1981; Scharpf, 1993; Thies, 1984; Thies and Sturrock, 1995; Wallis, 1976).</w:t>
      </w:r>
    </w:p>
    <w:p>
      <w:pPr>
        <w:pStyle w:val="Normal"/>
        <w:spacing w:lineRule="auto" w:line="480"/>
        <w:rPr>
          <w:sz w:val="24"/>
          <w:szCs w:val="24"/>
        </w:rPr>
      </w:pPr>
      <w:r>
        <w:rPr>
          <w:sz w:val="24"/>
          <w:szCs w:val="24"/>
        </w:rPr>
      </w:r>
    </w:p>
    <w:p>
      <w:pPr>
        <w:pStyle w:val="Normal"/>
        <w:spacing w:lineRule="auto" w:line="480"/>
        <w:rPr/>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Phytophthora ramorum</w:t>
      </w:r>
      <w:r>
        <w:rPr>
          <w:sz w:val="24"/>
          <w:szCs w:val="24"/>
        </w:rPr>
        <w:t xml:space="preserve"> Werres et al., the causal agent of Sudden Oak Death or </w:t>
      </w:r>
      <w:r>
        <w:rPr>
          <w:i/>
          <w:sz w:val="24"/>
          <w:szCs w:val="24"/>
        </w:rPr>
        <w:t xml:space="preserve">Phaeocryptopus gaeumannii </w:t>
      </w:r>
      <w:r>
        <w:rPr>
          <w:sz w:val="24"/>
          <w:szCs w:val="24"/>
        </w:rPr>
        <w:t xml:space="preserve">(T.Rohde) </w:t>
      </w:r>
      <w:hyperlink r:id="rId2">
        <w:r>
          <w:rPr>
            <w:sz w:val="24"/>
            <w:szCs w:val="24"/>
          </w:rPr>
          <w:t>Petrak</w:t>
        </w:r>
      </w:hyperlink>
      <w:r>
        <w:rPr>
          <w:sz w:val="24"/>
          <w:szCs w:val="24"/>
        </w:rPr>
        <w:t xml:space="preserve">, which </w:t>
      </w:r>
      <w:ins w:id="9" w:author="Shawn McMurtrey" w:date="2022-09-22T21:45:00Z">
        <w:r>
          <w:rPr>
            <w:sz w:val="24"/>
            <w:szCs w:val="24"/>
          </w:rPr>
          <w:t xml:space="preserve">is responsible for </w:t>
        </w:r>
      </w:ins>
      <w:del w:id="10" w:author="Shawn McMurtrey" w:date="2022-09-22T21:45:00Z">
        <w:r>
          <w:rPr>
            <w:sz w:val="24"/>
            <w:szCs w:val="24"/>
          </w:rPr>
          <w:delText>causes</w:delText>
        </w:r>
      </w:del>
      <w:r>
        <w:rPr>
          <w:sz w:val="24"/>
          <w:szCs w:val="24"/>
        </w:rPr>
        <w:t xml:space="preserve">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eastAsia="Georgia" w:cs="Georgia" w:ascii="Georgia" w:hAnsi="Georgia"/>
          <w:sz w:val="27"/>
          <w:szCs w:val="27"/>
        </w:rPr>
        <w:t>(</w:t>
      </w:r>
      <w:r>
        <w:rPr>
          <w:sz w:val="24"/>
          <w:szCs w:val="24"/>
          <w:highlight w:val="white"/>
        </w:rPr>
        <w:t>Morrison et al., 2014).</w:t>
      </w:r>
      <w:r>
        <w:rPr>
          <w:sz w:val="24"/>
          <w:szCs w:val="24"/>
        </w:rPr>
        <w:t xml:space="preserve"> </w:t>
      </w:r>
    </w:p>
    <w:p>
      <w:pPr>
        <w:pStyle w:val="Normal"/>
        <w:spacing w:lineRule="auto" w:line="480"/>
        <w:rPr>
          <w:sz w:val="24"/>
          <w:szCs w:val="24"/>
        </w:rPr>
      </w:pPr>
      <w:r>
        <w:rPr>
          <w:sz w:val="24"/>
          <w:szCs w:val="24"/>
        </w:rPr>
      </w:r>
    </w:p>
    <w:p>
      <w:pPr>
        <w:pStyle w:val="Normal"/>
        <w:spacing w:lineRule="auto" w:line="480"/>
        <w:rPr/>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Hansen and Goheen, 2000; Thies and Sturrock, 1995)</w:t>
      </w:r>
      <w:r>
        <w:rPr>
          <w:sz w:val="24"/>
          <w:szCs w:val="24"/>
        </w:rPr>
        <w:t>. The long-term forest plot studies provide valuable data that can be used statistically alongside with models, to make predictions and to further understand forest dynamics.</w:t>
      </w:r>
    </w:p>
    <w:p>
      <w:pPr>
        <w:pStyle w:val="Normal"/>
        <w:spacing w:lineRule="auto" w:line="480"/>
        <w:rPr>
          <w:sz w:val="24"/>
          <w:szCs w:val="24"/>
        </w:rPr>
      </w:pPr>
      <w:r>
        <w:rPr>
          <w:sz w:val="24"/>
          <w:szCs w:val="24"/>
        </w:rPr>
      </w:r>
    </w:p>
    <w:p>
      <w:pPr>
        <w:pStyle w:val="Normal"/>
        <w:spacing w:lineRule="auto" w:line="480"/>
        <w:rPr/>
      </w:pPr>
      <w:r>
        <w:rPr>
          <w:sz w:val="24"/>
          <w:szCs w:val="24"/>
        </w:rPr>
        <w: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t>
      </w:r>
      <w:bookmarkStart w:id="0" w:name="bb0230"/>
      <w:r>
        <w:rPr>
          <w:sz w:val="24"/>
          <w:szCs w:val="24"/>
        </w:rPr>
        <w:t xml:space="preserve">(Woods and Watts, 2019; </w:t>
      </w:r>
      <w:r>
        <w:fldChar w:fldCharType="begin"/>
      </w:r>
      <w:r>
        <w:rPr>
          <w:sz w:val="24"/>
          <w:szCs w:val="24"/>
        </w:rPr>
        <w:instrText> HYPERLINK "https://www.sciencedirect.com/science/article/pii/S0378112719312332?via%3Dihub" \l "b0230"</w:instrText>
      </w:r>
      <w:r>
        <w:rPr>
          <w:sz w:val="24"/>
          <w:szCs w:val="24"/>
        </w:rPr>
        <w:fldChar w:fldCharType="separate"/>
      </w:r>
      <w:r>
        <w:rPr>
          <w:sz w:val="24"/>
          <w:szCs w:val="24"/>
        </w:rPr>
        <w:t>Skovsgaard and Vanclay, 2008</w:t>
      </w:r>
      <w:r>
        <w:rPr>
          <w:sz w:val="24"/>
          <w:szCs w:val="24"/>
        </w:rPr>
        <w:fldChar w:fldCharType="end"/>
      </w:r>
      <w:bookmarkEnd w:id="0"/>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pPr>
        <w:pStyle w:val="Normal"/>
        <w:spacing w:lineRule="auto" w:line="480"/>
        <w:rPr>
          <w:sz w:val="20"/>
          <w:szCs w:val="20"/>
        </w:rPr>
      </w:pPr>
      <w:r>
        <w:rPr>
          <w:sz w:val="20"/>
          <w:szCs w:val="20"/>
        </w:rPr>
      </w:r>
    </w:p>
    <w:p>
      <w:pPr>
        <w:pStyle w:val="Normal"/>
        <w:spacing w:lineRule="auto" w:line="480"/>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r>
        <w:rPr>
          <w:i/>
          <w:iCs/>
          <w:sz w:val="24"/>
          <w:szCs w:val="24"/>
        </w:rPr>
        <w:t xml:space="preserve">Amillaria </w:t>
      </w:r>
      <w:r>
        <w:rPr>
          <w:sz w:val="24"/>
          <w:szCs w:val="24"/>
        </w:rPr>
        <w:t>(</w:t>
      </w:r>
      <w:hyperlink r:id="rId3" w:tgtFrame="Elias Magnus Fries">
        <w:r>
          <w:rPr>
            <w:sz w:val="24"/>
            <w:szCs w:val="24"/>
          </w:rPr>
          <w:t>Fr.</w:t>
        </w:r>
      </w:hyperlink>
      <w:r>
        <w:rPr>
          <w:sz w:val="24"/>
          <w:szCs w:val="24"/>
        </w:rPr>
        <w:t xml:space="preserve">) Staude and </w:t>
      </w:r>
      <w:commentRangeStart w:id="2"/>
      <w:r>
        <w:rPr>
          <w:i/>
          <w:iCs/>
          <w:sz w:val="24"/>
          <w:szCs w:val="24"/>
        </w:rPr>
        <w:t>annosus</w:t>
      </w:r>
      <w:r>
        <w:rPr>
          <w:i/>
          <w:iCs/>
          <w:sz w:val="24"/>
          <w:szCs w:val="24"/>
        </w:rPr>
      </w:r>
      <w:commentRangeEnd w:id="2"/>
      <w:r>
        <w:commentReference w:id="2"/>
      </w:r>
      <w:r>
        <w:rPr>
          <w:sz w:val="24"/>
          <w:szCs w:val="24"/>
        </w:rPr>
        <w:t xml:space="preserve"> (</w:t>
      </w:r>
      <w:hyperlink r:id="rId4" w:tgtFrame="Elias Magnus Fries">
        <w:r>
          <w:rPr>
            <w:sz w:val="24"/>
            <w:szCs w:val="24"/>
          </w:rPr>
          <w:t>Fr.</w:t>
        </w:r>
      </w:hyperlink>
      <w:r>
        <w:rPr>
          <w:sz w:val="24"/>
          <w:szCs w:val="24"/>
        </w:rPr>
        <w:t xml:space="preserve">) </w:t>
      </w:r>
      <w:hyperlink r:id="rId5">
        <w:r>
          <w:rPr>
            <w:sz w:val="24"/>
            <w:szCs w:val="24"/>
          </w:rPr>
          <w:t>Bref.</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 xml:space="preserve">. </w:t>
        <w:br/>
        <w:br/>
      </w:r>
      <w:commentRangeStart w:id="3"/>
      <w:r>
        <w:rPr>
          <w:sz w:val="24"/>
          <w:szCs w:val="24"/>
        </w:rPr>
        <w:t>The Siuslaw</w:t>
      </w:r>
      <w:r>
        <w:rPr>
          <w:sz w:val="24"/>
          <w:szCs w:val="24"/>
        </w:rPr>
      </w:r>
      <w:commentRangeEnd w:id="3"/>
      <w:r>
        <w:commentReference w:id="3"/>
      </w:r>
      <w:r>
        <w:rPr>
          <w:sz w:val="24"/>
          <w:szCs w:val="24"/>
        </w:rPr>
        <w:t xml:space="preserve">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silverspot butterfly (</w:t>
      </w:r>
      <w:r>
        <w:rPr>
          <w:i/>
          <w:sz w:val="24"/>
          <w:szCs w:val="24"/>
        </w:rPr>
        <w:t>Speyeria zerene hippolyta</w:t>
      </w:r>
      <w:r>
        <w:rPr>
          <w:sz w:val="24"/>
          <w:szCs w:val="24"/>
        </w:rPr>
        <w:t xml:space="preserve"> </w:t>
      </w:r>
      <w:hyperlink r:id="rId6" w:tgtFrame="William John Swainson">
        <w:r>
          <w:rPr>
            <w:sz w:val="24"/>
            <w:szCs w:val="24"/>
          </w:rPr>
          <w:t>Swainson</w:t>
        </w:r>
      </w:hyperlink>
      <w:r>
        <w:rPr>
          <w:sz w:val="24"/>
          <w:szCs w:val="24"/>
        </w:rPr>
        <w:t>) and the northern spotted owl (</w:t>
      </w:r>
      <w:r>
        <w:rPr>
          <w:i/>
          <w:iCs/>
          <w:sz w:val="24"/>
          <w:szCs w:val="24"/>
        </w:rPr>
        <w:t xml:space="preserve">Strix occidentalis caurina </w:t>
      </w:r>
      <w:hyperlink r:id="rId7">
        <w:r>
          <w:rPr>
            <w:sz w:val="24"/>
            <w:szCs w:val="24"/>
          </w:rPr>
          <w:t>Xantus de Vesey</w:t>
        </w:r>
      </w:hyperlink>
      <w:r>
        <w:rPr>
          <w:sz w:val="24"/>
          <w:szCs w:val="24"/>
        </w:rPr>
        <w:t xml:space="preserve">), </w:t>
      </w:r>
      <w:commentRangeStart w:id="4"/>
      <w:commentRangeStart w:id="5"/>
      <w:r>
        <w:rPr>
          <w:sz w:val="24"/>
          <w:szCs w:val="24"/>
        </w:rPr>
        <w:t xml:space="preserve">both threatened species </w:t>
      </w:r>
      <w:r>
        <w:rPr>
          <w:sz w:val="24"/>
          <w:szCs w:val="24"/>
        </w:rPr>
      </w:r>
      <w:commentRangeEnd w:id="5"/>
      <w:r>
        <w:commentReference w:id="5"/>
      </w:r>
      <w:r>
        <w:rPr>
          <w:sz w:val="24"/>
          <w:szCs w:val="24"/>
        </w:rPr>
      </w:r>
      <w:commentRangeEnd w:id="4"/>
      <w:r>
        <w:commentReference w:id="4"/>
      </w:r>
      <w:r>
        <w:rPr>
          <w:sz w:val="24"/>
          <w:szCs w:val="24"/>
        </w:rPr>
        <w:t>(</w:t>
      </w:r>
      <w:commentRangeStart w:id="6"/>
      <w:r>
        <w:rPr>
          <w:sz w:val="24"/>
          <w:szCs w:val="24"/>
        </w:rPr>
        <w:t>USDA, 1990</w:t>
      </w:r>
      <w:r>
        <w:rPr>
          <w:sz w:val="24"/>
          <w:szCs w:val="24"/>
        </w:rPr>
      </w:r>
      <w:commentRangeEnd w:id="6"/>
      <w:r>
        <w:commentReference w:id="6"/>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commentRangeStart w:id="8"/>
      <w:r>
        <w:rPr>
          <w:sz w:val="24"/>
          <w:szCs w:val="24"/>
        </w:rPr>
        <w:commentReference w:id="7"/>
      </w:r>
      <w:commentRangeEnd w:id="8"/>
      <w:r>
        <w:commentReference w:id="8"/>
      </w:r>
      <w:r>
        <w:rPr>
          <w:sz w:val="24"/>
          <w:szCs w:val="24"/>
        </w:rPr>
      </w:r>
    </w:p>
    <w:p>
      <w:pPr>
        <w:pStyle w:val="Normal"/>
        <w:spacing w:lineRule="auto" w:line="480"/>
        <w:rPr>
          <w:sz w:val="24"/>
          <w:szCs w:val="24"/>
        </w:rPr>
      </w:pPr>
      <w:r>
        <w:rPr>
          <w:sz w:val="24"/>
          <w:szCs w:val="24"/>
        </w:rPr>
      </w:r>
    </w:p>
    <w:p>
      <w:pPr>
        <w:pStyle w:val="Normal"/>
        <w:spacing w:lineRule="auto" w:line="480"/>
        <w:rPr/>
      </w:pPr>
      <w:r>
        <w:rPr/>
        <w:commentReference w:id="9"/>
      </w:r>
      <w:r>
        <w:rPr>
          <w:sz w:val="24"/>
          <w:szCs w:val="24"/>
        </w:rPr>
        <w:t>The overall aim of th</w:t>
      </w:r>
      <w:ins w:id="11" w:author="Shawn McMurtrey" w:date="2022-08-31T21:25:00Z">
        <w:r>
          <w:rPr>
            <w:sz w:val="24"/>
            <w:szCs w:val="24"/>
          </w:rPr>
          <w:t>ese</w:t>
        </w:r>
      </w:ins>
      <w:del w:id="12" w:author="Shawn McMurtrey" w:date="2022-08-31T21:25:00Z">
        <w:r>
          <w:rPr>
            <w:sz w:val="24"/>
            <w:szCs w:val="24"/>
          </w:rPr>
          <w:delText>is</w:delText>
        </w:r>
      </w:del>
      <w:r>
        <w:rPr>
          <w:sz w:val="24"/>
          <w:szCs w:val="24"/>
        </w:rPr>
        <w:t xml:space="preserve"> </w:t>
      </w:r>
      <w:ins w:id="13" w:author="Shawn McMurtrey" w:date="2022-08-31T21:25:00Z">
        <w:r>
          <w:rPr>
            <w:sz w:val="24"/>
            <w:szCs w:val="24"/>
          </w:rPr>
          <w:t xml:space="preserve">two </w:t>
        </w:r>
      </w:ins>
      <w:r>
        <w:rPr>
          <w:sz w:val="24"/>
          <w:szCs w:val="24"/>
        </w:rPr>
        <w:t>stud</w:t>
      </w:r>
      <w:ins w:id="14" w:author="Shawn McMurtrey" w:date="2022-08-31T21:25:00Z">
        <w:r>
          <w:rPr>
            <w:sz w:val="24"/>
            <w:szCs w:val="24"/>
          </w:rPr>
          <w:t>ies</w:t>
        </w:r>
      </w:ins>
      <w:del w:id="15" w:author="Shawn McMurtrey" w:date="2022-08-31T21:25:00Z">
        <w:r>
          <w:rPr>
            <w:sz w:val="24"/>
            <w:szCs w:val="24"/>
          </w:rPr>
          <w:delText>y</w:delText>
        </w:r>
      </w:del>
      <w:r>
        <w:rPr>
          <w:sz w:val="24"/>
          <w:szCs w:val="24"/>
        </w:rPr>
        <w:t xml:space="preserve"> was to develop a better understanding of the interaction between forest management practices and </w:t>
      </w:r>
      <w:r>
        <w:rPr>
          <w:i/>
          <w:iCs/>
          <w:sz w:val="24"/>
          <w:szCs w:val="24"/>
        </w:rPr>
        <w:t>C. sulphurascens</w:t>
      </w:r>
      <w:r>
        <w:rPr>
          <w:sz w:val="24"/>
          <w:szCs w:val="24"/>
        </w:rPr>
        <w:t xml:space="preserve">, the cause of laminated root rot.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 xml:space="preserve">The </w:t>
      </w:r>
      <w:del w:id="16" w:author="Shawn McMurtrey" w:date="2022-08-31T21:28:00Z">
        <w:r>
          <w:rPr>
            <w:sz w:val="24"/>
            <w:szCs w:val="24"/>
          </w:rPr>
          <w:delText>specific</w:delText>
        </w:r>
      </w:del>
      <w:r>
        <w:rPr>
          <w:sz w:val="24"/>
          <w:szCs w:val="24"/>
        </w:rPr>
        <w:t xml:space="preserve"> objectives were to: (i)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pPr>
        <w:pStyle w:val="Normal"/>
        <w:spacing w:lineRule="auto" w:line="480"/>
        <w:rPr/>
      </w:pPr>
      <w:r>
        <w:rPr/>
        <w:br/>
      </w:r>
      <w:r>
        <w:rPr>
          <w:b/>
          <w:sz w:val="28"/>
          <w:szCs w:val="28"/>
        </w:rPr>
        <w:t>2. Methods</w:t>
      </w:r>
    </w:p>
    <w:p>
      <w:pPr>
        <w:pStyle w:val="Normal"/>
        <w:spacing w:lineRule="auto" w:line="480"/>
        <w:rPr/>
      </w:pPr>
      <w:r>
        <w:rPr>
          <w:b/>
          <w:sz w:val="24"/>
          <w:szCs w:val="24"/>
        </w:rPr>
        <w:t>2.1 Woods Creek thinning study</w:t>
      </w:r>
    </w:p>
    <w:p>
      <w:pPr>
        <w:pStyle w:val="Normal"/>
        <w:spacing w:lineRule="auto" w:line="480"/>
        <w:rPr/>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8"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western redcedar (</w:t>
      </w:r>
      <w:hyperlink r:id="rId9"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0" w:tgtFrame="David Douglas (botanist)">
        <w:r>
          <w:rPr>
            <w:sz w:val="24"/>
            <w:szCs w:val="24"/>
          </w:rPr>
          <w:t>Douglas</w:t>
        </w:r>
      </w:hyperlink>
      <w:r>
        <w:rPr>
          <w:sz w:val="24"/>
          <w:szCs w:val="24"/>
        </w:rPr>
        <w:t xml:space="preserve"> ex </w:t>
      </w:r>
      <w:hyperlink r:id="rId11" w:tgtFrame="David Don">
        <w:r>
          <w:rPr>
            <w:sz w:val="24"/>
            <w:szCs w:val="24"/>
          </w:rPr>
          <w:t>D. Don</w:t>
        </w:r>
      </w:hyperlink>
      <w:r>
        <w:rPr>
          <w:sz w:val="24"/>
          <w:szCs w:val="24"/>
        </w:rPr>
        <w:t xml:space="preserve">) </w:t>
      </w:r>
      <w:hyperlink r:id="rId12"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13" w:tgtFrame="David Douglas (botanist)">
        <w:r>
          <w:rPr>
            <w:sz w:val="24"/>
            <w:szCs w:val="24"/>
          </w:rPr>
          <w:t>Douglas</w:t>
        </w:r>
      </w:hyperlink>
      <w:r>
        <w:rPr>
          <w:sz w:val="24"/>
          <w:szCs w:val="24"/>
        </w:rPr>
        <w:t xml:space="preserve"> ex </w:t>
      </w:r>
      <w:hyperlink r:id="rId14" w:tgtFrame="William Jackson Hooker">
        <w:r>
          <w:rPr>
            <w:sz w:val="24"/>
            <w:szCs w:val="24"/>
          </w:rPr>
          <w:t>Hook.</w:t>
        </w:r>
      </w:hyperlink>
      <w:r>
        <w:rPr>
          <w:sz w:val="24"/>
          <w:szCs w:val="24"/>
        </w:rPr>
        <w:t xml:space="preserve">) </w:t>
      </w:r>
      <w:hyperlink r:id="rId15" w:tgtFrame="Hjelmq. (page does not exist)">
        <w:r>
          <w:rPr>
            <w:sz w:val="24"/>
            <w:szCs w:val="24"/>
          </w:rPr>
          <w:t>Hjelmq.</w:t>
        </w:r>
      </w:hyperlink>
      <w:r>
        <w:rPr>
          <w:sz w:val="24"/>
          <w:szCs w:val="24"/>
        </w:rPr>
        <w:t>), willow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pPr>
        <w:pStyle w:val="Normal"/>
        <w:spacing w:lineRule="auto" w:line="480"/>
        <w:rPr>
          <w:sz w:val="24"/>
          <w:szCs w:val="24"/>
        </w:rPr>
      </w:pPr>
      <w:r>
        <w:rPr>
          <w:sz w:val="24"/>
          <w:szCs w:val="24"/>
        </w:rPr>
      </w:r>
    </w:p>
    <w:p>
      <w:pPr>
        <w:pStyle w:val="Normal"/>
        <w:spacing w:lineRule="auto" w:line="480"/>
        <w:rPr/>
      </w:pPr>
      <w:r>
        <w:rPr>
          <w:sz w:val="24"/>
          <w:szCs w:val="24"/>
        </w:rPr>
        <w:t>The location</w:t>
      </w:r>
      <w:ins w:id="17" w:author="Shawn McMurtrey" w:date="2022-08-31T21:31:00Z">
        <w:r>
          <w:rPr>
            <w:sz w:val="24"/>
            <w:szCs w:val="24"/>
          </w:rPr>
          <w:t xml:space="preserve"> of the Woods Creek study area</w:t>
        </w:r>
      </w:ins>
      <w:r>
        <w:rPr>
          <w:sz w:val="24"/>
          <w:szCs w:val="24"/>
        </w:rPr>
        <w:t xml:space="preserve"> provides a unique ecosystem for surveying of LRR. The area was clear cut between 1910 and 1920, burned after reharvest, and reestablished naturally from seed (Tkacz and Hansen, 1982). The study area encompassed 15 stands (mean = 9.7 hectares, range = 6.7 - 14.7 hectares) across </w:t>
      </w:r>
      <w:commentRangeStart w:id="10"/>
      <w:r>
        <w:rPr>
          <w:sz w:val="24"/>
          <w:szCs w:val="24"/>
        </w:rPr>
        <w:t>ca. ~</w:t>
      </w:r>
      <w:r>
        <w:rPr>
          <w:sz w:val="24"/>
          <w:szCs w:val="24"/>
        </w:rPr>
      </w:r>
      <w:commentRangeEnd w:id="10"/>
      <w:r>
        <w:commentReference w:id="10"/>
      </w:r>
      <w:r>
        <w:rPr>
          <w:sz w:val="24"/>
          <w:szCs w:val="24"/>
        </w:rPr>
        <w:t>162 hectares (</w:t>
      </w:r>
      <w:r>
        <w:rPr>
          <w:b/>
          <w:sz w:val="24"/>
          <w:szCs w:val="24"/>
        </w:rPr>
        <w:t>Figure 1</w:t>
      </w:r>
      <w:r>
        <w:rPr>
          <w:sz w:val="24"/>
          <w:szCs w:val="24"/>
        </w:rPr>
        <w:t xml:space="preserve">). </w:t>
      </w:r>
      <w:commentRangeStart w:id="11"/>
      <w:commentRangeStart w:id="12"/>
      <w:r>
        <w:rPr>
          <w:sz w:val="24"/>
          <w:szCs w:val="24"/>
        </w:rPr>
        <w:t xml:space="preserve">The stands were thinned in 1986 - 1990, which reduced the overall basal area by about ⅓; trees per 0.4 hectares were also reduced by about 40% (Hansen, unpublished data). </w:t>
      </w:r>
      <w:r>
        <w:rPr>
          <w:sz w:val="24"/>
          <w:szCs w:val="24"/>
        </w:rPr>
      </w:r>
      <w:commentRangeEnd w:id="12"/>
      <w:r>
        <w:commentReference w:id="12"/>
      </w:r>
      <w:commentRangeEnd w:id="11"/>
      <w:r>
        <w:commentReference w:id="11"/>
      </w:r>
      <w:r>
        <w:rPr>
          <w:sz w:val="24"/>
          <w:szCs w:val="24"/>
        </w:rPr>
      </w:r>
    </w:p>
    <w:p>
      <w:pPr>
        <w:pStyle w:val="Normal"/>
        <w:spacing w:lineRule="auto" w:line="480"/>
        <w:rPr/>
      </w:pPr>
      <w:r>
        <w:rPr>
          <w:sz w:val="24"/>
          <w:szCs w:val="24"/>
        </w:rPr>
        <w:t>Three categories of treatment areas were originally designed for this study, with five replicates for each treatment. The treatment categories included the control, that contained five stands where no thinning occurred.</w:t>
      </w:r>
      <w:ins w:id="18" w:author="Shawn McMurtrey" w:date="2022-09-05T10:03:00Z">
        <w:r>
          <w:rPr>
            <w:sz w:val="24"/>
            <w:szCs w:val="24"/>
          </w:rPr>
          <w:t xml:space="preserve"> The </w:t>
        </w:r>
      </w:ins>
      <w:ins w:id="19" w:author="Shawn McMurtrey" w:date="2022-09-05T10:04:00Z">
        <w:r>
          <w:rPr>
            <w:sz w:val="24"/>
            <w:szCs w:val="24"/>
          </w:rPr>
          <w:t>basal area of the control</w:t>
        </w:r>
      </w:ins>
      <w:ins w:id="20" w:author="Shawn McMurtrey" w:date="2022-09-05T10:03:00Z">
        <w:r>
          <w:rPr>
            <w:sz w:val="24"/>
            <w:szCs w:val="24"/>
          </w:rPr>
          <w:t xml:space="preserve"> stands </w:t>
        </w:r>
      </w:ins>
      <w:ins w:id="21" w:author="Shawn McMurtrey" w:date="2022-09-05T10:04:00Z">
        <w:r>
          <w:rPr>
            <w:sz w:val="24"/>
            <w:szCs w:val="24"/>
          </w:rPr>
          <w:t>was 61.4 m</w:t>
        </w:r>
      </w:ins>
      <w:ins w:id="22" w:author="Shawn McMurtrey" w:date="2022-09-05T10:04:00Z">
        <w:r>
          <w:rPr>
            <w:sz w:val="24"/>
            <w:szCs w:val="24"/>
            <w:vertAlign w:val="superscript"/>
          </w:rPr>
          <w:t>2</w:t>
        </w:r>
      </w:ins>
      <w:ins w:id="23" w:author="Shawn McMurtrey" w:date="2022-09-05T10:04:00Z">
        <w:r>
          <w:rPr>
            <w:sz w:val="24"/>
            <w:szCs w:val="24"/>
          </w:rPr>
          <w:t>ha</w:t>
        </w:r>
      </w:ins>
      <w:r>
        <w:rPr>
          <w:sz w:val="24"/>
          <w:szCs w:val="24"/>
          <w:vertAlign w:val="superscript"/>
        </w:rPr>
        <w:t>-1</w:t>
      </w:r>
      <w:ins w:id="24" w:author="Shawn McMurtrey" w:date="2022-09-05T10:04:00Z">
        <w:r>
          <w:rPr>
            <w:sz w:val="24"/>
            <w:szCs w:val="24"/>
          </w:rPr>
          <w:t xml:space="preserve">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25"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ha</w:t>
      </w:r>
      <w:r>
        <w:rPr>
          <w:sz w:val="24"/>
          <w:szCs w:val="24"/>
          <w:vertAlign w:val="superscript"/>
        </w:rPr>
        <w:t>-1</w:t>
      </w:r>
      <w:r>
        <w:rPr>
          <w:sz w:val="24"/>
          <w:szCs w:val="24"/>
        </w:rPr>
        <w:t xml:space="preserve"> of basal area. </w:t>
        <w:br/>
      </w:r>
    </w:p>
    <w:p>
      <w:pPr>
        <w:pStyle w:val="Normal"/>
        <w:spacing w:lineRule="auto" w:line="480"/>
        <w:rPr/>
      </w:pPr>
      <w:r>
        <w:rPr>
          <w:b/>
          <w:bCs/>
          <w:sz w:val="24"/>
          <w:szCs w:val="24"/>
        </w:rPr>
        <w:t xml:space="preserve">2.1.2 Plot network </w:t>
      </w:r>
    </w:p>
    <w:p>
      <w:pPr>
        <w:pStyle w:val="Normal"/>
        <w:spacing w:lineRule="auto" w:line="480"/>
        <w:rPr/>
      </w:pPr>
      <w:r>
        <w:rPr>
          <w:sz w:val="24"/>
          <w:szCs w:val="24"/>
        </w:rPr>
        <w:t>In 1985, prior to any treatments being conducted, a total of 75 circular, fixed radius plots were established (</w:t>
      </w:r>
      <w:r>
        <w:rPr>
          <w:b/>
          <w:sz w:val="24"/>
          <w:szCs w:val="24"/>
        </w:rPr>
        <w:t>Figure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16">
        <w:r>
          <w:rPr>
            <w:rStyle w:val="InternetLink"/>
            <w:color w:val="auto"/>
            <w:sz w:val="24"/>
            <w:szCs w:val="24"/>
          </w:rPr>
          <w:t>http://earthexplorer.usgs.gov</w:t>
        </w:r>
      </w:hyperlink>
      <w:r>
        <w:rPr>
          <w:sz w:val="24"/>
          <w:szCs w:val="24"/>
        </w:rPr>
        <w:t xml:space="preserve">). </w:t>
      </w:r>
    </w:p>
    <w:p>
      <w:pPr>
        <w:pStyle w:val="Normal"/>
        <w:spacing w:lineRule="auto" w:line="480"/>
        <w:rPr>
          <w:sz w:val="24"/>
          <w:szCs w:val="24"/>
        </w:rPr>
      </w:pPr>
      <w:r>
        <w:rPr>
          <w:sz w:val="24"/>
          <w:szCs w:val="24"/>
        </w:rPr>
      </w:r>
    </w:p>
    <w:p>
      <w:pPr>
        <w:pStyle w:val="Normal"/>
        <w:spacing w:lineRule="auto" w:line="480"/>
        <w:rPr>
          <w:sz w:val="24"/>
          <w:szCs w:val="24"/>
          <w:ins w:id="26" w:author="Shawn McMurtrey" w:date="2022-09-07T22:31:00Z"/>
        </w:rPr>
      </w:pPr>
      <w:commentRangeStart w:id="13"/>
      <w:r>
        <w:rPr/>
        <w:drawing>
          <wp:inline distT="0" distB="0" distL="0" distR="0">
            <wp:extent cx="5895975" cy="4126230"/>
            <wp:effectExtent l="0" t="0" r="0" b="0"/>
            <wp:docPr id="1"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descr=""/>
                    <pic:cNvPicPr>
                      <a:picLocks noChangeAspect="1" noChangeArrowheads="1"/>
                    </pic:cNvPicPr>
                  </pic:nvPicPr>
                  <pic:blipFill>
                    <a:blip r:embed="rId17"/>
                    <a:stretch>
                      <a:fillRect/>
                    </a:stretch>
                  </pic:blipFill>
                  <pic:spPr bwMode="auto">
                    <a:xfrm>
                      <a:off x="0" y="0"/>
                      <a:ext cx="5895975" cy="4126230"/>
                    </a:xfrm>
                    <a:prstGeom prst="rect">
                      <a:avLst/>
                    </a:prstGeom>
                  </pic:spPr>
                </pic:pic>
              </a:graphicData>
            </a:graphic>
          </wp:inline>
        </w:drawing>
      </w:r>
      <w:commentRangeEnd w:id="13"/>
      <w:r>
        <w:commentReference w:id="13"/>
      </w:r>
      <w:r>
        <w:rPr/>
      </w:r>
    </w:p>
    <w:p>
      <w:pPr>
        <w:pStyle w:val="Normal"/>
        <w:spacing w:lineRule="auto" w:line="480"/>
        <w:rPr/>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pPr>
        <w:pStyle w:val="Normal"/>
        <w:spacing w:lineRule="auto" w:line="480"/>
        <w:rPr>
          <w:iCs/>
          <w:sz w:val="24"/>
          <w:szCs w:val="24"/>
        </w:rPr>
      </w:pPr>
      <w:r>
        <w:rPr>
          <w:iCs/>
          <w:sz w:val="24"/>
          <w:szCs w:val="24"/>
        </w:rPr>
      </w:r>
    </w:p>
    <w:p>
      <w:pPr>
        <w:pStyle w:val="Normal"/>
        <w:spacing w:lineRule="auto" w:line="480"/>
        <w:rPr/>
      </w:pPr>
      <w:r>
        <w:rPr>
          <w:b/>
          <w:iCs/>
          <w:sz w:val="24"/>
          <w:szCs w:val="24"/>
        </w:rPr>
        <w:t>2.1.3 Data collection</w:t>
      </w:r>
    </w:p>
    <w:p>
      <w:pPr>
        <w:pStyle w:val="Normal"/>
        <w:spacing w:lineRule="auto" w:line="480"/>
        <w:rPr/>
      </w:pPr>
      <w:r>
        <w:rPr>
          <w:sz w:val="24"/>
          <w:szCs w:val="24"/>
        </w:rPr>
        <w:t>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pPr>
        <w:pStyle w:val="Normal"/>
        <w:tabs>
          <w:tab w:val="clear" w:pos="720"/>
          <w:tab w:val="left" w:pos="6390" w:leader="none"/>
        </w:tabs>
        <w:spacing w:lineRule="auto" w:line="480"/>
        <w:rPr/>
      </w:pPr>
      <w:r>
        <w:rPr>
          <w:sz w:val="24"/>
          <w:szCs w:val="24"/>
        </w:rPr>
        <w:tab/>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Bacto agar) in a low temperature incubator 815 (Precision Scientific Inc., Chicago, IL) at 20°C for 4 - 6 weeks. Confirmation of setal hyphae was later confirmed by viewing under a dissecting microscope.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pPr>
      <w:r>
        <w:rPr>
          <w:b/>
          <w:iCs/>
          <w:sz w:val="24"/>
          <w:szCs w:val="24"/>
        </w:rPr>
        <w:t>2.1.4 Data cleaning and analysis</w:t>
      </w:r>
      <w:r>
        <w:rPr>
          <w:b/>
          <w:i/>
          <w:sz w:val="24"/>
          <w:szCs w:val="24"/>
        </w:rPr>
        <w:br/>
      </w:r>
      <w:r>
        <w:rPr>
          <w:sz w:val="24"/>
          <w:szCs w:val="24"/>
        </w:rPr>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rP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27" w:author="Shawn McMurtrey" w:date="2022-08-31T21:41:00Z">
        <w:r>
          <w:rPr>
            <w:sz w:val="24"/>
            <w:szCs w:val="24"/>
          </w:rPr>
          <w:delText xml:space="preserve">here </w:delText>
        </w:r>
      </w:del>
      <w:ins w:id="28" w:author="Shawn McMurtrey" w:date="2022-08-31T21:41:00Z">
        <w:r>
          <w:rPr>
            <w:sz w:val="24"/>
            <w:szCs w:val="24"/>
          </w:rPr>
          <w:t xml:space="preserve">at the Github repository: </w:t>
        </w:r>
      </w:ins>
      <w:hyperlink r:id="rId18">
        <w:r>
          <w:rPr>
            <w:rStyle w:val="InternetLink"/>
            <w:color w:val="auto"/>
            <w:sz w:val="24"/>
            <w:szCs w:val="24"/>
          </w:rPr>
          <w:t>https://mcmurtrs.github.io/WoodsCreek/</w:t>
        </w:r>
      </w:hyperlink>
      <w:ins w:id="29" w:author="Shawn McMurtrey" w:date="2022-08-31T21:41:00Z">
        <w:r>
          <w:rPr>
            <w:rStyle w:val="InternetLink"/>
            <w:color w:val="auto"/>
            <w:sz w:val="24"/>
            <w:szCs w:val="24"/>
          </w:rPr>
          <w:t>.</w:t>
        </w:r>
      </w:ins>
    </w:p>
    <w:p>
      <w:pPr>
        <w:pStyle w:val="Normal"/>
        <w:spacing w:lineRule="auto" w:line="480"/>
        <w:rPr>
          <w:sz w:val="24"/>
          <w:szCs w:val="24"/>
        </w:rPr>
      </w:pPr>
      <w:r>
        <w:rPr>
          <w:sz w:val="24"/>
          <w:szCs w:val="24"/>
        </w:rPr>
      </w:r>
    </w:p>
    <w:p>
      <w:pPr>
        <w:pStyle w:val="Normal"/>
        <w:spacing w:lineRule="auto" w:line="480"/>
        <w:rPr/>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pPr>
      <w:r>
        <w:rPr>
          <w:b/>
          <w:iCs/>
          <w:sz w:val="24"/>
          <w:szCs w:val="24"/>
        </w:rPr>
        <w:t>2.1.5 Statistical analysis</w:t>
      </w:r>
    </w:p>
    <w:p>
      <w:pPr>
        <w:pStyle w:val="Normal"/>
        <w:tabs>
          <w:tab w:val="clear" w:pos="720"/>
          <w:tab w:val="left" w:pos="6390" w:leader="none"/>
        </w:tabs>
        <w:spacing w:lineRule="auto" w:line="480"/>
        <w:rPr/>
      </w:pPr>
      <w:r>
        <w:rPr>
          <w:bCs/>
          <w:iCs/>
          <w:sz w:val="24"/>
          <w:szCs w:val="24"/>
        </w:rPr>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tidyverse (Wickham, 2017) and ggplot2 (</w:t>
      </w:r>
      <w:r>
        <w:rPr>
          <w:color w:val="000000"/>
          <w:sz w:val="24"/>
          <w:szCs w:val="24"/>
          <w:shd w:fill="FFFFFF" w:val="clear"/>
        </w:rPr>
        <w:t>Wickham, 2009)</w:t>
      </w:r>
      <w:r>
        <w:rPr>
          <w:sz w:val="24"/>
          <w:szCs w:val="24"/>
        </w:rPr>
        <w:t>.</w:t>
      </w:r>
      <w:r>
        <w:rPr>
          <w:sz w:val="24"/>
          <w:szCs w:val="24"/>
          <w:highlight w:val="white"/>
        </w:rPr>
        <w:br/>
        <w:t xml:space="preserve"> </w:t>
      </w:r>
      <w:r>
        <w:rPr>
          <w:sz w:val="24"/>
          <w:szCs w:val="24"/>
        </w:rPr>
        <w:tab/>
      </w:r>
    </w:p>
    <w:p>
      <w:pPr>
        <w:pStyle w:val="Normal"/>
        <w:tabs>
          <w:tab w:val="clear" w:pos="720"/>
          <w:tab w:val="left" w:pos="6390" w:leader="none"/>
        </w:tabs>
        <w:spacing w:lineRule="auto" w:line="480"/>
        <w:jc w:val="center"/>
        <w:rPr/>
      </w:pPr>
      <w:r>
        <w:rPr>
          <w:rFonts w:cs="Segoe UI" w:ascii="Segoe UI" w:hAnsi="Segoe UI"/>
          <w:b/>
          <w:bCs/>
          <w:color w:val="000000"/>
          <w:shd w:fill="FFFFFF" w:val="clear"/>
        </w:rPr>
        <w:t>Cumulative Stand Mortality ~ Treatment + P/A</w:t>
      </w:r>
    </w:p>
    <w:p>
      <w:pPr>
        <w:pStyle w:val="Normal"/>
        <w:spacing w:lineRule="auto" w:line="480"/>
        <w:rPr>
          <w:b/>
          <w:b/>
          <w:sz w:val="24"/>
          <w:szCs w:val="24"/>
        </w:rPr>
      </w:pPr>
      <w:r>
        <w:rPr>
          <w:b/>
          <w:sz w:val="24"/>
          <w:szCs w:val="24"/>
        </w:rPr>
      </w:r>
    </w:p>
    <w:p>
      <w:pPr>
        <w:pStyle w:val="Normal"/>
        <w:spacing w:lineRule="auto" w:line="480"/>
        <w:rPr/>
      </w:pPr>
      <w:r>
        <w:rPr>
          <w:b/>
          <w:sz w:val="24"/>
          <w:szCs w:val="24"/>
        </w:rPr>
        <w:t>2.1.6 Forest Vegetation Simulator</w:t>
      </w:r>
    </w:p>
    <w:p>
      <w:pPr>
        <w:pStyle w:val="Normal"/>
        <w:shd w:val="clear" w:color="auto" w:fill="FFFFFF"/>
        <w:spacing w:lineRule="auto" w:line="480" w:before="0" w:after="240"/>
        <w:rPr/>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br/>
        <w:br/>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(Maffei et al., 2008; Goheen and Thompson, 1998; Marsden, 1992a; Smith and Zhang ,1997).</w:t>
      </w:r>
    </w:p>
    <w:p>
      <w:pPr>
        <w:pStyle w:val="Normal"/>
        <w:spacing w:lineRule="auto" w:line="480"/>
        <w:rPr/>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(Furniss and Kegley, 2014).</w:t>
      </w:r>
      <w:r>
        <w:rPr>
          <w:i/>
          <w:sz w:val="24"/>
          <w:szCs w:val="24"/>
        </w:rPr>
        <w:t xml:space="preserve"> </w:t>
      </w:r>
    </w:p>
    <w:p>
      <w:pPr>
        <w:pStyle w:val="Normal"/>
        <w:spacing w:lineRule="auto" w:line="480"/>
        <w:rPr>
          <w:i/>
          <w:i/>
          <w:sz w:val="24"/>
          <w:szCs w:val="24"/>
        </w:rPr>
      </w:pPr>
      <w:r>
        <w:rPr>
          <w:i/>
          <w:sz w:val="24"/>
          <w:szCs w:val="24"/>
        </w:rPr>
      </w:r>
    </w:p>
    <w:p>
      <w:pPr>
        <w:pStyle w:val="Normal"/>
        <w:spacing w:lineRule="auto" w:line="480"/>
        <w:rPr/>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pPr>
        <w:pStyle w:val="Normal"/>
        <w:spacing w:lineRule="auto" w:line="480"/>
        <w:rPr>
          <w:sz w:val="24"/>
          <w:szCs w:val="24"/>
        </w:rPr>
      </w:pPr>
      <w:r>
        <w:rPr>
          <w:sz w:val="24"/>
          <w:szCs w:val="24"/>
        </w:rPr>
      </w:r>
    </w:p>
    <w:p>
      <w:pPr>
        <w:pStyle w:val="Normal"/>
        <w:spacing w:lineRule="auto" w:line="480"/>
        <w:rPr/>
      </w:pPr>
      <w:r>
        <w:rPr>
          <w:b/>
          <w:sz w:val="24"/>
          <w:szCs w:val="24"/>
        </w:rPr>
        <w:t xml:space="preserve">2.2 </w:t>
      </w:r>
      <w:ins w:id="30" w:author="Shawn McMurtrey" w:date="2022-08-19T09:48:00Z">
        <w:r>
          <w:rPr>
            <w:b/>
            <w:sz w:val="24"/>
            <w:szCs w:val="24"/>
          </w:rPr>
          <w:t xml:space="preserve">Apiary </w:t>
        </w:r>
      </w:ins>
      <w:del w:id="31" w:author="Shawn McMurtrey" w:date="2022-08-19T09:48:00Z">
        <w:r>
          <w:rPr>
            <w:b/>
            <w:sz w:val="24"/>
            <w:szCs w:val="24"/>
          </w:rPr>
          <w:delText>H</w:delText>
        </w:r>
      </w:del>
      <w:ins w:id="32" w:author="Shawn McMurtrey" w:date="2022-08-19T09:48:00Z">
        <w:r>
          <w:rPr>
            <w:b/>
            <w:sz w:val="24"/>
            <w:szCs w:val="24"/>
          </w:rPr>
          <w:t>h</w:t>
        </w:r>
      </w:ins>
      <w:r>
        <w:rPr>
          <w:b/>
          <w:sz w:val="24"/>
          <w:szCs w:val="24"/>
        </w:rPr>
        <w:t>ardwood rotation study</w:t>
      </w:r>
    </w:p>
    <w:p>
      <w:pPr>
        <w:pStyle w:val="Normal"/>
        <w:spacing w:lineRule="auto" w:line="480"/>
        <w:rPr/>
      </w:pPr>
      <w:r>
        <w:rPr>
          <w:b/>
          <w:sz w:val="24"/>
          <w:szCs w:val="24"/>
        </w:rPr>
        <w:t>2.2.1 Study area</w:t>
      </w:r>
    </w:p>
    <w:p>
      <w:pPr>
        <w:pStyle w:val="Normal"/>
        <w:spacing w:lineRule="auto" w:line="480"/>
        <w:rPr>
          <w:sz w:val="24"/>
          <w:szCs w:val="24"/>
        </w:rPr>
      </w:pPr>
      <w:ins w:id="33" w:author="Shawn McMurtrey" w:date="2022-08-19T10:11:00Z">
        <w:r>
          <w:rPr>
            <w:sz w:val="24"/>
            <w:szCs w:val="24"/>
          </w:rPr>
          <w:t xml:space="preserve">The Apiary study </w:t>
        </w:r>
      </w:ins>
      <w:ins w:id="34" w:author="Shawn McMurtrey" w:date="2022-08-19T13:48:00Z">
        <w:r>
          <w:rPr>
            <w:sz w:val="24"/>
            <w:szCs w:val="24"/>
          </w:rPr>
          <w:t xml:space="preserve">area </w:t>
        </w:r>
      </w:ins>
      <w:ins w:id="35" w:author="Shawn McMurtrey" w:date="2022-08-19T13:49:00Z">
        <w:r>
          <w:rPr>
            <w:sz w:val="24"/>
            <w:szCs w:val="24"/>
          </w:rPr>
          <w:t>was a</w:t>
        </w:r>
      </w:ins>
      <w:del w:id="36" w:author="Shawn McMurtrey" w:date="2022-08-19T13:48:00Z">
        <w:r>
          <w:rPr>
            <w:sz w:val="24"/>
            <w:szCs w:val="24"/>
          </w:rPr>
          <w:delText xml:space="preserve">A </w:delText>
        </w:r>
      </w:del>
      <w:r>
        <w:rPr>
          <w:sz w:val="24"/>
          <w:szCs w:val="24"/>
        </w:rPr>
        <w:t xml:space="preserve">14 hectare privately owned stand of </w:t>
      </w:r>
      <w:ins w:id="37" w:author="Shawn McMurtrey" w:date="2022-08-19T14:00:00Z">
        <w:r>
          <w:rPr>
            <w:sz w:val="24"/>
            <w:szCs w:val="24"/>
          </w:rPr>
          <w:t xml:space="preserve">predominately </w:t>
        </w:r>
      </w:ins>
      <w:r>
        <w:rPr>
          <w:sz w:val="24"/>
          <w:szCs w:val="24"/>
        </w:rPr>
        <w:t>40-year-old Douglas-fir</w:t>
      </w:r>
      <w:ins w:id="38" w:author="Shawn McMurtrey" w:date="2022-08-19T14:00:00Z">
        <w:r>
          <w:rPr>
            <w:sz w:val="24"/>
            <w:szCs w:val="24"/>
          </w:rPr>
          <w:t xml:space="preserve"> located near the town of Apiary in NW Oregon, USA</w:t>
        </w:r>
      </w:ins>
      <w:ins w:id="39" w:author="Shawn McMurtrey" w:date="2022-08-19T14:01:00Z">
        <w:r>
          <w:rPr>
            <w:sz w:val="24"/>
            <w:szCs w:val="24"/>
          </w:rPr>
          <w:t>.</w:t>
        </w:r>
      </w:ins>
      <w:del w:id="40" w:author="Shawn McMurtrey" w:date="2022-08-19T13:49:00Z">
        <w:r>
          <w:rPr>
            <w:sz w:val="24"/>
            <w:szCs w:val="24"/>
          </w:rPr>
          <w:delText>, at</w:delText>
        </w:r>
      </w:del>
      <w:del w:id="41" w:author="Shawn McMurtrey" w:date="2022-08-19T14:00:00Z">
        <w:r>
          <w:rPr>
            <w:sz w:val="24"/>
            <w:szCs w:val="24"/>
          </w:rPr>
          <w:delText xml:space="preserve"> </w:delText>
        </w:r>
      </w:del>
      <w:del w:id="42" w:author="Shawn McMurtrey" w:date="2022-08-19T13:50:00Z">
        <w:r>
          <w:rPr>
            <w:sz w:val="24"/>
            <w:szCs w:val="24"/>
          </w:rPr>
          <w:delText>t</w:delText>
        </w:r>
      </w:del>
      <w:del w:id="43" w:author="Shawn McMurtrey" w:date="2022-08-19T13:51:00Z">
        <w:r>
          <w:rPr>
            <w:sz w:val="24"/>
            <w:szCs w:val="24"/>
          </w:rPr>
          <w:delText>he</w:delText>
        </w:r>
      </w:del>
      <w:del w:id="44" w:author="Shawn McMurtrey" w:date="2022-08-19T14:00:00Z">
        <w:r>
          <w:rPr>
            <w:sz w:val="24"/>
            <w:szCs w:val="24"/>
          </w:rPr>
          <w:delText xml:space="preserve"> </w:delText>
        </w:r>
      </w:del>
      <w:ins w:id="45" w:author="Shawn McMurtrey" w:date="2022-08-19T13:51:00Z">
        <w:r>
          <w:rPr>
            <w:sz w:val="24"/>
            <w:szCs w:val="24"/>
          </w:rPr>
          <w:t>When the study area was first established</w:t>
        </w:r>
      </w:ins>
      <w:r>
        <w:rPr>
          <w:sz w:val="24"/>
          <w:szCs w:val="24"/>
        </w:rPr>
        <w:t>,</w:t>
      </w:r>
      <w:ins w:id="46" w:author="Shawn McMurtrey" w:date="2022-08-19T13:51:00Z">
        <w:r>
          <w:rPr>
            <w:sz w:val="24"/>
            <w:szCs w:val="24"/>
          </w:rPr>
          <w:t xml:space="preserve"> it was </w:t>
        </w:r>
      </w:ins>
      <w:del w:id="47" w:author="Shawn McMurtrey" w:date="2022-08-19T13:51:00Z">
        <w:r>
          <w:rPr>
            <w:sz w:val="24"/>
            <w:szCs w:val="24"/>
          </w:rPr>
          <w:delText xml:space="preserve">time </w:delText>
        </w:r>
      </w:del>
      <w:r>
        <w:rPr>
          <w:sz w:val="24"/>
          <w:szCs w:val="24"/>
        </w:rPr>
        <w:t>owned by</w:t>
      </w:r>
      <w:ins w:id="48" w:author="Shawn McMurtrey" w:date="2022-08-19T13:52:00Z">
        <w:r>
          <w:rPr>
            <w:sz w:val="24"/>
            <w:szCs w:val="24"/>
          </w:rPr>
          <w:t xml:space="preserve"> the</w:t>
        </w:r>
      </w:ins>
      <w:r>
        <w:rPr>
          <w:sz w:val="24"/>
          <w:szCs w:val="24"/>
        </w:rPr>
        <w:t xml:space="preserve"> International Paper Co</w:t>
      </w:r>
      <w:ins w:id="49" w:author="Shawn McMurtrey" w:date="2022-08-19T13:52:00Z">
        <w:r>
          <w:rPr>
            <w:sz w:val="24"/>
            <w:szCs w:val="24"/>
          </w:rPr>
          <w:t>mpany.</w:t>
        </w:r>
      </w:ins>
      <w:del w:id="50" w:author="Shawn McMurtrey" w:date="2022-08-19T13:52:00Z">
        <w:r>
          <w:rPr>
            <w:sz w:val="24"/>
            <w:szCs w:val="24"/>
          </w:rPr>
          <w:delText>.,</w:delText>
        </w:r>
      </w:del>
      <w:r>
        <w:rPr>
          <w:sz w:val="24"/>
          <w:szCs w:val="24"/>
        </w:rPr>
        <w:t xml:space="preserve"> </w:t>
      </w:r>
      <w:del w:id="51" w:author="Shawn McMurtrey" w:date="2022-08-19T14:01:00Z">
        <w:r>
          <w:rPr>
            <w:sz w:val="24"/>
            <w:szCs w:val="24"/>
          </w:rPr>
          <w:delText xml:space="preserve">was selected based on high incidence of </w:delText>
        </w:r>
      </w:del>
      <w:del w:id="52" w:author="Shawn McMurtrey" w:date="2022-08-19T13:53:00Z">
        <w:r>
          <w:rPr>
            <w:sz w:val="24"/>
            <w:szCs w:val="24"/>
          </w:rPr>
          <w:delText>laminated root rot</w:delText>
        </w:r>
      </w:del>
      <w:del w:id="53" w:author="Shawn McMurtrey" w:date="2022-08-19T14:01:00Z">
        <w:r>
          <w:rPr>
            <w:sz w:val="24"/>
            <w:szCs w:val="24"/>
          </w:rPr>
          <w:delText xml:space="preserve"> </w:delText>
        </w:r>
      </w:del>
      <w:del w:id="54" w:author="Shawn McMurtrey" w:date="2022-08-19T13:53:00Z">
        <w:r>
          <w:rPr>
            <w:sz w:val="24"/>
            <w:szCs w:val="24"/>
          </w:rPr>
          <w:delText>(</w:delText>
        </w:r>
      </w:del>
      <w:del w:id="55" w:author="Shawn McMurtrey" w:date="2022-08-19T14:01:00Z">
        <w:r>
          <w:rPr>
            <w:sz w:val="24"/>
            <w:szCs w:val="24"/>
          </w:rPr>
          <w:delText>LRR</w:delText>
        </w:r>
      </w:del>
      <w:del w:id="56" w:author="Shawn McMurtrey" w:date="2022-08-19T13:53:00Z">
        <w:r>
          <w:rPr>
            <w:sz w:val="24"/>
            <w:szCs w:val="24"/>
          </w:rPr>
          <w:delText>)</w:delText>
        </w:r>
      </w:del>
      <w:del w:id="57"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58" w:author="Shawn McMurtrey" w:date="2022-08-19T13:56:00Z">
        <w:r>
          <w:rPr>
            <w:sz w:val="24"/>
            <w:szCs w:val="24"/>
          </w:rPr>
          <w:t xml:space="preserve">15% </w:t>
        </w:r>
      </w:ins>
      <w:r>
        <w:rPr>
          <w:sz w:val="24"/>
          <w:szCs w:val="24"/>
        </w:rPr>
        <w:t xml:space="preserve">NE slope </w:t>
      </w:r>
      <w:del w:id="59" w:author="Shawn McMurtrey" w:date="2022-08-19T13:57:00Z">
        <w:r>
          <w:rPr>
            <w:sz w:val="24"/>
            <w:szCs w:val="24"/>
          </w:rPr>
          <w:delText xml:space="preserve">at about </w:delText>
        </w:r>
      </w:del>
      <w:ins w:id="60" w:author="Shawn McMurtrey" w:date="2022-08-19T13:57:00Z">
        <w:r>
          <w:rPr>
            <w:sz w:val="24"/>
            <w:szCs w:val="24"/>
          </w:rPr>
          <w:t xml:space="preserve"> with a mean</w:t>
        </w:r>
      </w:ins>
      <w:del w:id="61" w:author="Shawn McMurtrey" w:date="2022-08-19T13:57:00Z">
        <w:r>
          <w:rPr>
            <w:sz w:val="24"/>
            <w:szCs w:val="24"/>
          </w:rPr>
          <w:delText>1800’</w:delText>
        </w:r>
      </w:del>
      <w:r>
        <w:rPr>
          <w:sz w:val="24"/>
          <w:szCs w:val="24"/>
        </w:rPr>
        <w:t xml:space="preserve"> elevation</w:t>
      </w:r>
      <w:del w:id="62" w:author="Shawn McMurtrey" w:date="2022-08-19T14:00:00Z">
        <w:r>
          <w:rPr>
            <w:sz w:val="24"/>
            <w:szCs w:val="24"/>
          </w:rPr>
          <w:delText xml:space="preserve"> </w:delText>
        </w:r>
      </w:del>
      <w:ins w:id="63" w:author="Shawn McMurtrey" w:date="2022-08-19T14:01:00Z">
        <w:r>
          <w:rPr>
            <w:sz w:val="24"/>
            <w:szCs w:val="24"/>
          </w:rPr>
          <w:t>of 335 m</w:t>
        </w:r>
      </w:ins>
      <w:ins w:id="64" w:author="Shawn McMurtrey" w:date="2022-08-19T14:13:00Z">
        <w:r>
          <w:rPr>
            <w:sz w:val="24"/>
            <w:szCs w:val="24"/>
          </w:rPr>
          <w:t xml:space="preserve"> (Thies &amp;</w:t>
        </w:r>
      </w:ins>
      <w:ins w:id="65" w:author="Shawn McMurtrey" w:date="2022-08-19T14:14:00Z">
        <w:r>
          <w:rPr>
            <w:sz w:val="24"/>
            <w:szCs w:val="24"/>
          </w:rPr>
          <w:t xml:space="preserve"> Westlind 2005)</w:t>
        </w:r>
      </w:ins>
      <w:ins w:id="66" w:author="Shawn McMurtrey" w:date="2022-08-19T14:01:00Z">
        <w:r>
          <w:rPr>
            <w:sz w:val="24"/>
            <w:szCs w:val="24"/>
          </w:rPr>
          <w:t>.</w:t>
        </w:r>
      </w:ins>
      <w:del w:id="67" w:author="Shawn McMurtrey" w:date="2022-08-19T14:00:00Z">
        <w:r>
          <w:rPr>
            <w:sz w:val="24"/>
            <w:szCs w:val="24"/>
          </w:rPr>
          <w:delText>near the town of Apiary in NW Oregon</w:delText>
        </w:r>
      </w:del>
      <w:r>
        <w:rPr>
          <w:sz w:val="24"/>
          <w:szCs w:val="24"/>
        </w:rPr>
        <w:t xml:space="preserve">. </w:t>
      </w:r>
      <w:ins w:id="68" w:author="Shawn McMurtrey" w:date="2022-08-19T14:02:00Z">
        <w:r>
          <w:rPr>
            <w:sz w:val="24"/>
            <w:szCs w:val="24"/>
          </w:rPr>
          <w:t xml:space="preserve">Mean annual </w:t>
        </w:r>
      </w:ins>
      <w:ins w:id="69" w:author="Shawn McMurtrey" w:date="2022-08-19T14:03:00Z">
        <w:r>
          <w:rPr>
            <w:sz w:val="24"/>
            <w:szCs w:val="24"/>
          </w:rPr>
          <w:t>precipitation</w:t>
        </w:r>
      </w:ins>
      <w:ins w:id="70" w:author="Shawn McMurtrey" w:date="2022-08-19T14:02:00Z">
        <w:r>
          <w:rPr>
            <w:sz w:val="24"/>
            <w:szCs w:val="24"/>
          </w:rPr>
          <w:t xml:space="preserve"> </w:t>
        </w:r>
      </w:ins>
      <w:ins w:id="71" w:author="Shawn McMurtrey" w:date="2022-08-19T14:03:00Z">
        <w:r>
          <w:rPr>
            <w:sz w:val="24"/>
            <w:szCs w:val="24"/>
          </w:rPr>
          <w:t>at th</w:t>
        </w:r>
      </w:ins>
      <w:ins w:id="72" w:author="Shawn McMurtrey" w:date="2022-08-19T14:12:00Z">
        <w:r>
          <w:rPr>
            <w:sz w:val="24"/>
            <w:szCs w:val="24"/>
          </w:rPr>
          <w:t>is</w:t>
        </w:r>
      </w:ins>
      <w:ins w:id="73" w:author="Shawn McMurtrey" w:date="2022-08-19T14:03:00Z">
        <w:r>
          <w:rPr>
            <w:sz w:val="24"/>
            <w:szCs w:val="24"/>
          </w:rPr>
          <w:t xml:space="preserve"> site </w:t>
        </w:r>
      </w:ins>
      <w:ins w:id="74" w:author="Shawn McMurtrey" w:date="2022-08-19T14:12:00Z">
        <w:r>
          <w:rPr>
            <w:sz w:val="24"/>
            <w:szCs w:val="24"/>
          </w:rPr>
          <w:t>is 15</w:t>
        </w:r>
      </w:ins>
      <w:ins w:id="75" w:author="Shawn McMurtrey" w:date="2022-08-19T14:13:00Z">
        <w:r>
          <w:rPr>
            <w:sz w:val="24"/>
            <w:szCs w:val="24"/>
          </w:rPr>
          <w:t>0 – 160 cm</w:t>
        </w:r>
      </w:ins>
      <w:ins w:id="76" w:author="Shawn McMurtrey" w:date="2022-08-19T14:19:00Z">
        <w:r>
          <w:rPr>
            <w:sz w:val="24"/>
            <w:szCs w:val="24"/>
          </w:rPr>
          <w:t>.</w:t>
        </w:r>
      </w:ins>
      <w:ins w:id="77" w:author="Shawn McMurtrey" w:date="2022-08-19T14:13:00Z">
        <w:r>
          <w:rPr>
            <w:sz w:val="24"/>
            <w:szCs w:val="24"/>
          </w:rPr>
          <w:t xml:space="preserve"> </w:t>
        </w:r>
      </w:ins>
      <w:ins w:id="78" w:author="Shawn McMurtrey" w:date="2022-08-19T14:15:00Z">
        <w:r>
          <w:rPr>
            <w:color w:val="000000"/>
            <w:sz w:val="24"/>
            <w:szCs w:val="24"/>
          </w:rPr>
          <w:t xml:space="preserve">Mean annual temperature is </w:t>
        </w:r>
      </w:ins>
      <w:ins w:id="79" w:author="Shawn McMurtrey" w:date="2022-08-31T21:44:00Z">
        <w:r>
          <w:rPr>
            <w:color w:val="000000"/>
            <w:sz w:val="24"/>
            <w:szCs w:val="24"/>
          </w:rPr>
          <w:t xml:space="preserve">4 - </w:t>
        </w:r>
      </w:ins>
      <w:ins w:id="80" w:author="Shawn McMurtrey" w:date="2022-08-31T21:45:00Z">
        <w:r>
          <w:rPr>
            <w:color w:val="000000"/>
            <w:sz w:val="24"/>
            <w:szCs w:val="24"/>
          </w:rPr>
          <w:t>10</w:t>
        </w:r>
      </w:ins>
      <w:ins w:id="81" w:author="Shawn McMurtrey" w:date="2022-08-31T21:45:00Z">
        <w:r>
          <w:rPr>
            <w:rFonts w:ascii="Roboto" w:hAnsi="Roboto"/>
            <w:color w:val="202124"/>
            <w:sz w:val="24"/>
            <w:szCs w:val="24"/>
            <w:shd w:fill="FFFFFF" w:val="clear"/>
          </w:rPr>
          <w:t>°</w:t>
        </w:r>
      </w:ins>
      <w:ins w:id="82" w:author="Shawn McMurtrey" w:date="2022-09-12T06:05:00Z">
        <w:r>
          <w:rPr>
            <w:rFonts w:ascii="Roboto" w:hAnsi="Roboto"/>
            <w:color w:val="202124"/>
            <w:sz w:val="24"/>
            <w:szCs w:val="24"/>
            <w:shd w:fill="FFFFFF" w:val="clear"/>
          </w:rPr>
          <w:t>c</w:t>
        </w:r>
      </w:ins>
      <w:ins w:id="83" w:author="Shawn McMurtrey" w:date="2022-08-19T14:19:00Z">
        <w:r>
          <w:rPr>
            <w:rFonts w:ascii="Roboto" w:hAnsi="Roboto"/>
            <w:color w:val="202124"/>
            <w:sz w:val="24"/>
            <w:szCs w:val="24"/>
            <w:shd w:fill="FFFFFF" w:val="clear"/>
          </w:rPr>
          <w:t xml:space="preserve"> </w:t>
        </w:r>
      </w:ins>
      <w:ins w:id="84" w:author="Shawn McMurtrey" w:date="2022-08-19T14:19:00Z">
        <w:r>
          <w:rPr>
            <w:sz w:val="24"/>
            <w:szCs w:val="24"/>
          </w:rPr>
          <w:t>(</w:t>
        </w:r>
      </w:ins>
      <w:ins w:id="85" w:author="Shawn McMurtrey" w:date="2022-08-19T14:19:00Z">
        <w:r>
          <w:rPr>
            <w:color w:val="000000"/>
            <w:sz w:val="24"/>
            <w:szCs w:val="24"/>
            <w:shd w:fill="FFFFFF" w:val="clear"/>
          </w:rPr>
          <w:t>PRISM Climate Group, Oregon State University, 2018</w:t>
        </w:r>
      </w:ins>
      <w:ins w:id="86" w:author="Shawn McMurtrey" w:date="2022-08-19T14:19:00Z">
        <w:r>
          <w:rPr>
            <w:color w:val="000000"/>
            <w:sz w:val="24"/>
            <w:szCs w:val="24"/>
          </w:rPr>
          <w:t>).</w:t>
        </w:r>
      </w:ins>
      <w:ins w:id="87" w:author="Shawn McMurtrey" w:date="2022-08-19T14:20:00Z">
        <w:r>
          <w:rPr>
            <w:color w:val="000000"/>
            <w:sz w:val="24"/>
            <w:szCs w:val="24"/>
          </w:rPr>
          <w:t xml:space="preserve"> The soil of the study </w:t>
        </w:r>
      </w:ins>
      <w:ins w:id="88" w:author="Shawn McMurtrey" w:date="2022-08-31T21:45:00Z">
        <w:r>
          <w:rPr>
            <w:color w:val="000000"/>
            <w:sz w:val="24"/>
            <w:szCs w:val="24"/>
          </w:rPr>
          <w:t>is</w:t>
        </w:r>
      </w:ins>
      <w:ins w:id="89" w:author="Shawn McMurtrey" w:date="2022-08-19T14:21:00Z">
        <w:r>
          <w:rPr>
            <w:color w:val="000000"/>
            <w:sz w:val="24"/>
            <w:szCs w:val="24"/>
          </w:rPr>
          <w:t xml:space="preserve"> a Bacona silt loam with a surface layer of dark brown silt loam (</w:t>
        </w:r>
      </w:ins>
      <w:ins w:id="90" w:author="Shawn McMurtrey" w:date="2022-08-19T14:23:00Z">
        <w:r>
          <w:rPr>
            <w:color w:val="000000"/>
            <w:sz w:val="24"/>
            <w:szCs w:val="24"/>
          </w:rPr>
          <w:t>Thies &amp; Westlind 2005; Langridge 1987</w:t>
        </w:r>
      </w:ins>
      <w:ins w:id="91" w:author="Shawn McMurtrey" w:date="2022-08-19T14:21:00Z">
        <w:r>
          <w:rPr>
            <w:color w:val="000000"/>
            <w:sz w:val="24"/>
            <w:szCs w:val="24"/>
          </w:rPr>
          <w:t>)</w:t>
        </w:r>
      </w:ins>
      <w:ins w:id="92" w:author="Shawn McMurtrey" w:date="2022-08-19T14:23:00Z">
        <w:r>
          <w:rPr>
            <w:color w:val="000000"/>
            <w:sz w:val="24"/>
            <w:szCs w:val="24"/>
          </w:rPr>
          <w:t>.</w:t>
        </w:r>
      </w:ins>
    </w:p>
    <w:p>
      <w:pPr>
        <w:pStyle w:val="Normal"/>
        <w:spacing w:lineRule="auto" w:line="480"/>
        <w:rPr>
          <w:sz w:val="24"/>
          <w:szCs w:val="24"/>
        </w:rPr>
      </w:pPr>
      <w:r>
        <w:rPr>
          <w:sz w:val="24"/>
          <w:szCs w:val="24"/>
        </w:rPr>
      </w:r>
    </w:p>
    <w:p>
      <w:pPr>
        <w:pStyle w:val="Normal"/>
        <w:spacing w:lineRule="auto" w:line="480"/>
        <w:rPr>
          <w:sz w:val="24"/>
          <w:szCs w:val="24"/>
        </w:rPr>
      </w:pPr>
      <w:ins w:id="93" w:author="Shawn McMurtrey" w:date="2022-08-19T14:25:00Z">
        <w:r>
          <w:rPr>
            <w:sz w:val="24"/>
            <w:szCs w:val="24"/>
          </w:rPr>
          <w:t>Like the Woods Creek study area, t</w:t>
        </w:r>
      </w:ins>
      <w:ins w:id="94" w:author="Shawn McMurtrey" w:date="2022-08-19T14:01:00Z">
        <w:r>
          <w:rPr>
            <w:sz w:val="24"/>
            <w:szCs w:val="24"/>
          </w:rPr>
          <w:t>his location was</w:t>
        </w:r>
      </w:ins>
      <w:ins w:id="95" w:author="Shawn McMurtrey" w:date="2022-08-19T14:26:00Z">
        <w:r>
          <w:rPr>
            <w:sz w:val="24"/>
            <w:szCs w:val="24"/>
          </w:rPr>
          <w:t xml:space="preserve"> also</w:t>
        </w:r>
      </w:ins>
      <w:ins w:id="96" w:author="Shawn McMurtrey" w:date="2022-08-19T14:01:00Z">
        <w:r>
          <w:rPr>
            <w:sz w:val="24"/>
            <w:szCs w:val="24"/>
          </w:rPr>
          <w:t xml:space="preserve"> selected based on high incidence of  LRR.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97" w:author="Shawn McMurtrey" w:date="2022-08-19T14:26:00Z">
        <w:r>
          <w:rPr>
            <w:sz w:val="24"/>
            <w:szCs w:val="24"/>
          </w:rPr>
          <w:t>40 m</w:t>
        </w:r>
      </w:ins>
      <w:del w:id="98"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 xml:space="preserve">E-NW. </w:t>
      </w:r>
      <w:r>
        <w:rPr>
          <w:sz w:val="24"/>
          <w:szCs w:val="24"/>
        </w:rPr>
        <w:t xml:space="preserve">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99"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pPr>
        <w:pStyle w:val="Normal"/>
        <w:spacing w:lineRule="auto" w:line="480"/>
        <w:rPr>
          <w:b/>
          <w:b/>
          <w:bCs/>
          <w:sz w:val="24"/>
          <w:szCs w:val="24"/>
        </w:rPr>
      </w:pPr>
      <w:r>
        <w:rPr>
          <w:b/>
          <w:bCs/>
          <w:sz w:val="24"/>
          <w:szCs w:val="24"/>
        </w:rPr>
      </w:r>
    </w:p>
    <w:p>
      <w:pPr>
        <w:pStyle w:val="Normal"/>
        <w:spacing w:lineRule="auto" w:line="480"/>
        <w:rPr/>
      </w:pPr>
      <w:r>
        <w:rPr>
          <w:b/>
          <w:bCs/>
          <w:sz w:val="24"/>
          <w:szCs w:val="24"/>
        </w:rPr>
        <w:t>2.2.2 Plot network</w:t>
      </w:r>
    </w:p>
    <w:p>
      <w:pPr>
        <w:pStyle w:val="Normal"/>
        <w:spacing w:lineRule="auto" w:line="480"/>
        <w:rPr/>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 xml:space="preserve">immediate planting of Douglas-fir; 2) 12 year rotation of red alder followed by Douglas-fir; 3) 12 year rotation of cottonwood followed by Douglas-fir; 4) 25 year red alder to Douglas-fir; and 5) 25 year cottonwood to Douglas-fir. Five </w:t>
      </w:r>
      <w:ins w:id="100" w:author="Shawn McMurtrey" w:date="2022-09-12T06:02:00Z">
        <w:r>
          <w:rPr>
            <w:rFonts w:eastAsia="NSimSun" w:cs="Lucida Sans"/>
            <w:kern w:val="2"/>
            <w:sz w:val="24"/>
            <w:szCs w:val="24"/>
            <w:lang w:val="en-US" w:eastAsia="zh-CN" w:bidi="hi-IN"/>
          </w:rPr>
          <w:t xml:space="preserve">.02 hectare </w:t>
        </w:r>
      </w:ins>
      <w:del w:id="101" w:author="Shawn McMurtrey" w:date="2022-09-12T06:02:00Z">
        <w:r>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102" w:author="Shawn McMurtrey" w:date="2022-08-19T14:32:00Z">
        <w:r>
          <w:rPr>
            <w:rFonts w:eastAsia="NSimSun" w:cs="Lucida Sans"/>
            <w:kern w:val="2"/>
            <w:sz w:val="24"/>
            <w:szCs w:val="24"/>
            <w:lang w:val="en-US" w:eastAsia="zh-CN" w:bidi="hi-IN"/>
          </w:rPr>
          <w:delText>26.3’</w:delText>
        </w:r>
      </w:del>
      <w:ins w:id="103"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w:t>
      </w:r>
      <w:commentRangeStart w:id="14"/>
      <w:r>
        <w:rPr>
          <w:rFonts w:eastAsia="NSimSun" w:cs="Lucida Sans"/>
          <w:kern w:val="2"/>
          <w:sz w:val="24"/>
          <w:szCs w:val="24"/>
          <w:lang w:val="en-US" w:eastAsia="zh-CN" w:bidi="hi-IN"/>
        </w:rPr>
        <w:t>radius</w:t>
      </w:r>
      <w:r>
        <w:rPr>
          <w:rFonts w:eastAsia="NSimSun" w:cs="Lucida Sans"/>
          <w:kern w:val="2"/>
          <w:sz w:val="24"/>
          <w:szCs w:val="24"/>
          <w:lang w:val="en-US" w:eastAsia="zh-CN" w:bidi="hi-IN"/>
        </w:rPr>
      </w:r>
      <w:commentRangeEnd w:id="14"/>
      <w:r>
        <w:commentReference w:id="14"/>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104" w:author="Shawn McMurtrey" w:date="2022-08-19T14:32:00Z">
        <w:r>
          <w:rPr>
            <w:rFonts w:eastAsia="NSimSun" w:cs="Lucida Sans"/>
            <w:kern w:val="2"/>
            <w:sz w:val="24"/>
            <w:szCs w:val="24"/>
            <w:lang w:val="en-US" w:eastAsia="zh-CN" w:bidi="hi-IN"/>
          </w:rPr>
          <w:delText>16’</w:delText>
        </w:r>
      </w:del>
      <w:ins w:id="105"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w:t>
      </w:r>
      <w:ins w:id="106" w:author="Shawn McMurtrey" w:date="2022-09-22T22:03:00Z">
        <w:r>
          <w:rPr>
            <w:rFonts w:eastAsia="NSimSun" w:cs="Lucida Sans"/>
            <w:kern w:val="2"/>
            <w:sz w:val="24"/>
            <w:szCs w:val="24"/>
            <w:lang w:val="en-US" w:eastAsia="zh-CN" w:bidi="hi-IN"/>
          </w:rPr>
          <w:t xml:space="preserve"> (Figure 2)</w:t>
        </w:r>
      </w:ins>
      <w:r>
        <w:rPr>
          <w:rFonts w:eastAsia="NSimSun" w:cs="Lucida Sans"/>
          <w:kern w:val="2"/>
          <w:sz w:val="24"/>
          <w:szCs w:val="24"/>
          <w:lang w:val="en-US" w:eastAsia="zh-CN" w:bidi="hi-IN"/>
        </w:rPr>
        <w:t>. Plot centers were marked with metal stakes and mapped in reference to chain grid and later using GPS.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rPr/>
      </w:pPr>
      <w:r>
        <w:rPr>
          <w:rFonts w:eastAsia="NSimSun" w:cs="Lucida Sans"/>
          <w:kern w:val="2"/>
          <w:sz w:val="24"/>
          <w:szCs w:val="24"/>
          <w:lang w:val="en-US" w:eastAsia="zh-CN" w:bidi="hi-IN"/>
        </w:rPr>
        <w:t xml:space="preserve">In the fall of 1974 through spring 1975, all plots were stocked at </w:t>
      </w:r>
      <w:ins w:id="107" w:author="Shawn McMurtrey" w:date="2022-08-19T14:33:00Z">
        <w:r>
          <w:rPr>
            <w:rFonts w:eastAsia="NSimSun" w:cs="Lucida Sans"/>
            <w:kern w:val="2"/>
            <w:sz w:val="24"/>
            <w:szCs w:val="24"/>
            <w:lang w:val="en-US" w:eastAsia="zh-CN" w:bidi="hi-IN"/>
          </w:rPr>
          <w:t>2.4m</w:t>
        </w:r>
      </w:ins>
      <w:del w:id="108"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109" w:author="Shawn McMurtrey" w:date="2022-08-19T14:33:00Z">
        <w:r>
          <w:rPr>
            <w:rFonts w:eastAsia="NSimSun" w:cs="Lucida Sans"/>
            <w:kern w:val="2"/>
            <w:sz w:val="24"/>
            <w:szCs w:val="24"/>
            <w:lang w:val="en-US" w:eastAsia="zh-CN" w:bidi="hi-IN"/>
          </w:rPr>
          <w:delText>8’</w:delText>
        </w:r>
      </w:del>
      <w:ins w:id="110"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w:t>
      </w:r>
      <w:ins w:id="111" w:author="Shawn McMurtrey" w:date="2022-09-22T22:04:00Z">
        <w:r>
          <w:rPr/>
          <w:t xml:space="preserve"> </w:t>
        </w:r>
      </w:ins>
      <w:ins w:id="112" w:author="Shawn McMurtrey" w:date="2022-09-22T22:04:00Z">
        <w:r>
          <w:rPr>
            <w:rFonts w:eastAsia="NSimSun" w:cs="Lucida Sans"/>
            <w:kern w:val="2"/>
            <w:sz w:val="24"/>
            <w:szCs w:val="24"/>
            <w:lang w:val="en-US" w:eastAsia="zh-CN" w:bidi="hi-IN"/>
          </w:rPr>
          <w:t>0.4 hectare</w:t>
        </w:r>
      </w:ins>
      <w:ins w:id="113" w:author="Shawn McMurtrey" w:date="2022-09-22T22:05:00Z">
        <w:r>
          <w:rPr>
            <w:rFonts w:eastAsia="NSimSun" w:cs="Lucida Sans"/>
            <w:kern w:val="2"/>
            <w:sz w:val="24"/>
            <w:szCs w:val="24"/>
            <w:lang w:val="en-US" w:eastAsia="zh-CN" w:bidi="hi-IN"/>
          </w:rPr>
          <w:t xml:space="preserve"> </w:t>
        </w:r>
      </w:ins>
      <w:del w:id="114" w:author="Shawn McMurtrey" w:date="2022-09-22T22:04:00Z">
        <w:r>
          <w:rPr>
            <w:rFonts w:eastAsia="NSimSun" w:cs="Lucida Sans"/>
            <w:kern w:val="2"/>
            <w:sz w:val="24"/>
            <w:szCs w:val="24"/>
            <w:lang w:val="en-US" w:eastAsia="zh-CN" w:bidi="hi-IN"/>
          </w:rPr>
          <w:delText>acre</w:delText>
        </w:r>
      </w:del>
      <w:r>
        <w:rPr>
          <w:rFonts w:eastAsia="NSimSun" w:cs="Lucida Sans"/>
          <w:kern w:val="2"/>
          <w:sz w:val="24"/>
          <w:szCs w:val="24"/>
          <w:lang w:val="en-US" w:eastAsia="zh-CN" w:bidi="hi-IN"/>
        </w:rPr>
        <w:t>,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115" w:author="Shawn McMurtrey" w:date="2022-08-19T14:34:00Z">
        <w:r>
          <w:rPr>
            <w:rFonts w:eastAsia="NSimSun" w:cs="Lucida Sans"/>
            <w:kern w:val="2"/>
            <w:sz w:val="24"/>
            <w:szCs w:val="24"/>
            <w:lang w:val="en-US" w:eastAsia="zh-CN" w:bidi="hi-IN"/>
          </w:rPr>
          <w:t>ce</w:t>
        </w:r>
      </w:ins>
      <w:del w:id="116" w:author="Shawn McMurtrey" w:date="2022-08-19T14:34:00Z">
        <w:r>
          <w:rPr>
            <w:rFonts w:eastAsia="NSimSun" w:cs="Lucida Sans"/>
            <w:kern w:val="2"/>
            <w:sz w:val="24"/>
            <w:szCs w:val="24"/>
            <w:lang w:val="en-US" w:eastAsia="zh-CN" w:bidi="hi-IN"/>
          </w:rPr>
          <w:delText>s</w:delText>
        </w:r>
      </w:del>
      <w:del w:id="117"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w:t>
      </w:r>
      <w:ins w:id="118" w:author="Shawn McMurtrey" w:date="2022-09-22T22:07:00Z">
        <w:r>
          <w:rPr>
            <w:rFonts w:eastAsia="NSimSun" w:cs="Lucida Sans"/>
            <w:kern w:val="2"/>
            <w:sz w:val="24"/>
            <w:szCs w:val="24"/>
            <w:lang w:val="en-US" w:eastAsia="zh-CN" w:bidi="hi-IN"/>
          </w:rPr>
          <w:t xml:space="preserve">For a duration of two years </w:t>
        </w:r>
      </w:ins>
      <w:del w:id="119" w:author="Shawn McMurtrey" w:date="2022-09-22T22:07:00Z">
        <w:r>
          <w:rPr>
            <w:rFonts w:eastAsia="NSimSun" w:cs="Lucida Sans"/>
            <w:kern w:val="2"/>
            <w:sz w:val="24"/>
            <w:szCs w:val="24"/>
            <w:lang w:val="en-US" w:eastAsia="zh-CN" w:bidi="hi-IN"/>
          </w:rPr>
          <w:delText>D</w:delText>
        </w:r>
      </w:del>
      <w:ins w:id="120" w:author="Shawn McMurtrey" w:date="2022-09-22T22:07:00Z">
        <w:r>
          <w:rPr>
            <w:rFonts w:eastAsia="NSimSun" w:cs="Lucida Sans"/>
            <w:kern w:val="2"/>
            <w:sz w:val="24"/>
            <w:szCs w:val="24"/>
            <w:lang w:val="en-US" w:eastAsia="zh-CN" w:bidi="hi-IN"/>
          </w:rPr>
          <w:t>d</w:t>
        </w:r>
      </w:ins>
      <w:r>
        <w:rPr>
          <w:rFonts w:eastAsia="NSimSun" w:cs="Lucida Sans"/>
          <w:kern w:val="2"/>
          <w:sz w:val="24"/>
          <w:szCs w:val="24"/>
          <w:lang w:val="en-US" w:eastAsia="zh-CN" w:bidi="hi-IN"/>
        </w:rPr>
        <w:t xml:space="preserve">ead seedlings were replaced </w:t>
      </w:r>
      <w:del w:id="121" w:author="Shawn McMurtrey" w:date="2022-09-22T22:05:00Z">
        <w:r>
          <w:rPr>
            <w:rFonts w:eastAsia="NSimSun" w:cs="Lucida Sans"/>
            <w:kern w:val="2"/>
            <w:sz w:val="24"/>
            <w:szCs w:val="24"/>
            <w:lang w:val="en-US" w:eastAsia="zh-CN" w:bidi="hi-IN"/>
          </w:rPr>
          <w:delText>for</w:delText>
        </w:r>
      </w:del>
      <w:del w:id="122" w:author="Shawn McMurtrey" w:date="2022-09-22T22:07:00Z">
        <w:r>
          <w:rPr>
            <w:rFonts w:eastAsia="NSimSun" w:cs="Lucida Sans"/>
            <w:kern w:val="2"/>
            <w:sz w:val="24"/>
            <w:szCs w:val="24"/>
            <w:lang w:val="en-US" w:eastAsia="zh-CN" w:bidi="hi-IN"/>
          </w:rPr>
          <w:delText xml:space="preserve"> two years</w:delText>
        </w:r>
      </w:del>
      <w:r>
        <w:rPr>
          <w:rFonts w:eastAsia="NSimSun" w:cs="Lucida Sans"/>
          <w:kern w:val="2"/>
          <w:sz w:val="24"/>
          <w:szCs w:val="24"/>
          <w:lang w:val="en-US" w:eastAsia="zh-CN" w:bidi="hi-IN"/>
        </w:rPr>
        <w:t xml:space="preserve"> within and near subplots to maintain stocking levels during establishment.</w:t>
      </w:r>
    </w:p>
    <w:p>
      <w:pPr>
        <w:pStyle w:val="Normal"/>
        <w:spacing w:lineRule="auto" w:line="480"/>
        <w:rPr>
          <w:rFonts w:eastAsia="NSimSun" w:cs="Lucida Sans"/>
          <w:i/>
          <w:i/>
          <w:iCs/>
          <w:kern w:val="2"/>
          <w:lang w:val="en-US" w:eastAsia="zh-CN" w:bidi="hi-IN"/>
        </w:rPr>
      </w:pPr>
      <w:r>
        <w:rPr>
          <w:rFonts w:eastAsia="NSimSun" w:cs="Lucida Sans"/>
          <w:i/>
          <w:iCs/>
          <w:kern w:val="2"/>
          <w:lang w:val="en-US" w:eastAsia="zh-CN" w:bidi="hi-IN"/>
        </w:rPr>
      </w:r>
    </w:p>
    <w:p>
      <w:pPr>
        <w:pStyle w:val="Normal"/>
        <w:spacing w:lineRule="auto" w:line="480"/>
        <w:rPr/>
      </w:pPr>
      <w:r>
        <w:rPr>
          <w:rFonts w:eastAsia="NSimSun" w:cs="Lucida Sans"/>
          <w:kern w:val="2"/>
          <w:sz w:val="24"/>
          <w:szCs w:val="24"/>
          <w:lang w:val="en-US" w:eastAsia="zh-CN" w:bidi="hi-IN"/>
        </w:rPr>
        <w:t xml:space="preserve">In the fall of 1986, the 12-year hardwood rotation plots (except 2 red alder plots which were missed) were harvested and in spring 1987 Douglas-fir was planted in those plots with the same </w:t>
      </w:r>
      <w:ins w:id="123" w:author="Shawn McMurtrey" w:date="2022-08-19T14:34:00Z">
        <w:r>
          <w:rPr>
            <w:rFonts w:eastAsia="NSimSun" w:cs="Lucida Sans"/>
            <w:kern w:val="2"/>
            <w:sz w:val="24"/>
            <w:szCs w:val="24"/>
            <w:lang w:val="en-US" w:eastAsia="zh-CN" w:bidi="hi-IN"/>
          </w:rPr>
          <w:t>2.4m</w:t>
        </w:r>
      </w:ins>
      <w:del w:id="124"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25" w:author="Shawn McMurtrey" w:date="2022-08-19T14:34:00Z">
        <w:r>
          <w:rPr>
            <w:rFonts w:eastAsia="NSimSun" w:cs="Lucida Sans"/>
            <w:kern w:val="2"/>
            <w:sz w:val="24"/>
            <w:szCs w:val="24"/>
            <w:lang w:val="en-US" w:eastAsia="zh-CN" w:bidi="hi-IN"/>
          </w:rPr>
          <w:delText>8’</w:delText>
        </w:r>
      </w:del>
      <w:ins w:id="126"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spring of 2000 the 25-year hardwood plots were harvested, and Douglas-fir was again planted with </w:t>
      </w:r>
      <w:del w:id="127" w:author="Shawn McMurtrey" w:date="2022-08-19T14:35:00Z">
        <w:r>
          <w:rPr>
            <w:rFonts w:eastAsia="NSimSun" w:cs="Lucida Sans"/>
            <w:kern w:val="2"/>
            <w:sz w:val="24"/>
            <w:szCs w:val="24"/>
            <w:lang w:val="en-US" w:eastAsia="zh-CN" w:bidi="hi-IN"/>
          </w:rPr>
          <w:delText>8’</w:delText>
        </w:r>
      </w:del>
      <w:ins w:id="128"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29" w:author="Shawn McMurtrey" w:date="2022-08-19T14:35:00Z">
        <w:r>
          <w:rPr>
            <w:rFonts w:eastAsia="NSimSun" w:cs="Lucida Sans"/>
            <w:kern w:val="2"/>
            <w:sz w:val="24"/>
            <w:szCs w:val="24"/>
            <w:lang w:val="en-US" w:eastAsia="zh-CN" w:bidi="hi-IN"/>
          </w:rPr>
          <w:delText>8’</w:delText>
        </w:r>
      </w:del>
      <w:ins w:id="130"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pPr>
        <w:pStyle w:val="Normal"/>
        <w:spacing w:lineRule="auto" w:line="480"/>
        <w:rPr>
          <w:rFonts w:eastAsia="NSimSun" w:cs="Lucida Sans"/>
          <w:kern w:val="2"/>
          <w:lang w:val="en-US" w:eastAsia="zh-CN" w:bidi="hi-IN"/>
        </w:rPr>
      </w:pPr>
      <w:r>
        <w:rPr>
          <w:rFonts w:eastAsia="NSimSun" w:cs="Lucida Sans"/>
          <w:kern w:val="2"/>
          <w:lang w:val="en-US" w:eastAsia="zh-CN" w:bidi="hi-IN"/>
        </w:rPr>
      </w:r>
    </w:p>
    <w:p>
      <w:pPr>
        <w:sectPr>
          <w:headerReference w:type="default" r:id="rId19"/>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20480"/>
        </w:sectPr>
        <w:pStyle w:val="Normal"/>
        <w:spacing w:lineRule="auto" w:line="480"/>
        <w:rPr/>
      </w:pPr>
      <w:commentRangeStart w:id="15"/>
      <w:commentRangeStart w:id="16"/>
      <w:r>
        <w:rPr>
          <w:rFonts w:eastAsia="NSimSun" w:cs="Lucida Sans"/>
          <w:kern w:val="2"/>
          <w:sz w:val="24"/>
          <w:szCs w:val="24"/>
          <w:lang w:val="en-US" w:eastAsia="zh-CN" w:bidi="hi-IN"/>
        </w:rPr>
        <w:t>IPC sold site to Stimpson Lumber Company in 1993. Sold to Weyerhauser in 20??</w:t>
      </w:r>
      <w:r>
        <w:rPr>
          <w:rFonts w:eastAsia="NSimSun" w:cs="Lucida Sans"/>
          <w:kern w:val="2"/>
          <w:sz w:val="24"/>
          <w:szCs w:val="24"/>
          <w:lang w:val="en-US" w:eastAsia="zh-CN" w:bidi="hi-IN"/>
        </w:rPr>
      </w:r>
      <w:commentRangeEnd w:id="16"/>
      <w:r>
        <w:commentReference w:id="16"/>
      </w:r>
      <w:commentRangeEnd w:id="15"/>
      <w:r>
        <w:commentReference w:id="15"/>
      </w:r>
      <w:r>
        <w:rPr>
          <w:rFonts w:eastAsia="NSimSun" w:cs="Lucida Sans"/>
          <w:kern w:val="2"/>
          <w:sz w:val="24"/>
          <w:szCs w:val="24"/>
          <w:lang w:val="en-US" w:eastAsia="zh-CN" w:bidi="hi-IN"/>
        </w:rPr>
      </w:r>
    </w:p>
    <w:p>
      <w:pPr>
        <w:pStyle w:val="Normal"/>
        <w:spacing w:lineRule="auto" w:line="480"/>
        <w:rPr>
          <w:b/>
          <w:b/>
          <w:iCs/>
          <w:sz w:val="24"/>
          <w:szCs w:val="24"/>
        </w:rPr>
      </w:pPr>
      <w:r>
        <w:rPr/>
        <w:drawing>
          <wp:inline distT="0" distB="0" distL="0" distR="0">
            <wp:extent cx="7865745" cy="5381625"/>
            <wp:effectExtent l="0" t="0" r="0" b="0"/>
            <wp:docPr id="2" name="Graphic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5" descr=""/>
                    <pic:cNvPicPr>
                      <a:picLocks noChangeAspect="1" noChangeArrowheads="1"/>
                    </pic:cNvPicPr>
                  </pic:nvPicPr>
                  <pic:blipFill>
                    <a:blip r:embed="rId20"/>
                    <a:stretch>
                      <a:fillRect/>
                    </a:stretch>
                  </pic:blipFill>
                  <pic:spPr bwMode="auto">
                    <a:xfrm>
                      <a:off x="0" y="0"/>
                      <a:ext cx="7865745" cy="5381625"/>
                    </a:xfrm>
                    <a:prstGeom prst="rect">
                      <a:avLst/>
                    </a:prstGeom>
                  </pic:spPr>
                </pic:pic>
              </a:graphicData>
            </a:graphic>
          </wp:inline>
        </w:drawing>
      </w:r>
    </w:p>
    <w:p>
      <w:pPr>
        <w:sectPr>
          <w:headerReference w:type="default" r:id="rId21"/>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20480"/>
        </w:sectPr>
        <w:pStyle w:val="Normal"/>
        <w:spacing w:lineRule="auto" w:line="480"/>
        <w:rPr>
          <w:iCs/>
          <w:sz w:val="24"/>
          <w:szCs w:val="24"/>
        </w:rPr>
      </w:pPr>
      <w:r>
        <w:rPr>
          <w:b/>
          <w:iCs/>
          <w:sz w:val="24"/>
          <w:szCs w:val="24"/>
        </w:rPr>
        <w:t xml:space="preserve">Figure 2. </w:t>
      </w:r>
      <w:r>
        <w:rPr>
          <w:iCs/>
          <w:sz w:val="24"/>
          <w:szCs w:val="24"/>
        </w:rPr>
        <w:t xml:space="preserve">Hardwood rotation site near Apiary, OR.  </w:t>
      </w:r>
      <w:r>
        <w:rPr>
          <w:iCs/>
          <w:sz w:val="24"/>
          <w:szCs w:val="24"/>
          <w:highlight w:val="yellow"/>
        </w:rPr>
        <w:t>DESCRIPTION</w:t>
      </w:r>
    </w:p>
    <w:p>
      <w:pPr>
        <w:pStyle w:val="Normal"/>
        <w:spacing w:lineRule="auto" w:line="480"/>
        <w:rPr>
          <w:b/>
          <w:b/>
          <w:iCs/>
          <w:sz w:val="24"/>
          <w:szCs w:val="24"/>
        </w:rPr>
      </w:pPr>
      <w:r>
        <w:rPr>
          <w:b/>
          <w:iCs/>
          <w:sz w:val="24"/>
          <w:szCs w:val="24"/>
        </w:rPr>
        <w:t>2.2.3 Data collection</w:t>
      </w:r>
    </w:p>
    <w:p>
      <w:pPr>
        <w:pStyle w:val="Normal"/>
        <w:spacing w:lineRule="auto" w:line="480"/>
        <w:rPr>
          <w:b/>
          <w:b/>
          <w:iCs/>
          <w:sz w:val="24"/>
          <w:szCs w:val="24"/>
        </w:rPr>
      </w:pPr>
      <w:r>
        <w:rPr>
          <w:rFonts w:eastAsia="NSimSun" w:cs="Lucida Sans"/>
          <w:kern w:val="2"/>
          <w:sz w:val="24"/>
          <w:szCs w:val="24"/>
          <w:lang w:val="en-US" w:eastAsia="zh-CN" w:bidi="hi-IN"/>
        </w:rPr>
        <w:t xml:space="preserve">Tree positions were mapped, </w:t>
      </w:r>
      <w:del w:id="131" w:author="Shawn McMurtrey" w:date="2022-08-19T14:24:00Z">
        <w:r>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diameters measured, and conditions recorded multiple times across the study: 1986 (immediate Douglas-fir plots only); 1995 (Douglas-fir following 12-year hardwood rotation plots); 2011 (all plots); and 2020 (all plots).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rPr>
          <w:b/>
          <w:b/>
          <w:iCs/>
          <w:sz w:val="24"/>
          <w:szCs w:val="24"/>
        </w:rPr>
      </w:pPr>
      <w:r>
        <w:rPr>
          <w:b/>
          <w:bCs/>
          <w:iCs/>
          <w:sz w:val="24"/>
          <w:szCs w:val="24"/>
        </w:rPr>
        <w:t>2.2.4 Data cleaning and analysis</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tabs>
          <w:tab w:val="clear" w:pos="720"/>
          <w:tab w:val="left" w:pos="6390" w:leader="none"/>
        </w:tabs>
        <w:spacing w:lineRule="auto" w:line="480"/>
        <w:rPr>
          <w:b/>
          <w:b/>
          <w:iCs/>
          <w:sz w:val="24"/>
          <w:szCs w:val="24"/>
        </w:rPr>
      </w:pPr>
      <w:r>
        <w:rPr>
          <w:b/>
          <w:iCs/>
          <w:sz w:val="24"/>
          <w:szCs w:val="24"/>
        </w:rPr>
        <w:t>2.1.5 Statistical analysis</w:t>
      </w:r>
    </w:p>
    <w:p>
      <w:pPr>
        <w:pStyle w:val="Normal"/>
        <w:tabs>
          <w:tab w:val="clear" w:pos="720"/>
          <w:tab w:val="left" w:pos="6390" w:leader="none"/>
        </w:tabs>
        <w:spacing w:lineRule="auto" w:line="480"/>
        <w:rPr>
          <w:iCs/>
          <w:sz w:val="24"/>
          <w:szCs w:val="24"/>
        </w:rPr>
      </w:pPr>
      <w:r>
        <w:rPr>
          <w:iCs/>
          <w:sz w:val="24"/>
          <w:szCs w:val="24"/>
        </w:rPr>
        <w:t>Because Douglas-fir replanting was staggered for the different rotation treatments and stand measurements were not at exactly equivalent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Slopes (annual increments) across the time periods were used as response variables in the statistical analysis of growth and mortality.</w:t>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bCs/>
          <w:iCs/>
          <w:sz w:val="24"/>
          <w:szCs w:val="24"/>
        </w:rPr>
        <w:t>2.1.6 Forest Vegetation Simulator</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b/>
          <w:b/>
          <w:iCs/>
          <w:sz w:val="24"/>
          <w:szCs w:val="24"/>
        </w:rPr>
      </w:pPr>
      <w:r>
        <w:rPr>
          <w:b/>
          <w:sz w:val="28"/>
          <w:szCs w:val="28"/>
        </w:rPr>
        <w:t xml:space="preserve">3. </w:t>
      </w:r>
      <w:commentRangeStart w:id="17"/>
      <w:r>
        <w:rPr>
          <w:b/>
          <w:sz w:val="28"/>
          <w:szCs w:val="28"/>
        </w:rPr>
        <w:t>Results</w:t>
      </w:r>
      <w:commentRangeEnd w:id="17"/>
      <w:r>
        <w:commentReference w:id="17"/>
      </w:r>
      <w:r>
        <w:rPr>
          <w:b/>
          <w:sz w:val="28"/>
          <w:szCs w:val="28"/>
        </w:rPr>
      </w:r>
    </w:p>
    <w:p>
      <w:pPr>
        <w:pStyle w:val="Normal"/>
        <w:spacing w:lineRule="auto" w:line="480"/>
        <w:rPr>
          <w:b/>
          <w:b/>
          <w:iCs/>
          <w:sz w:val="24"/>
          <w:szCs w:val="24"/>
        </w:rPr>
      </w:pPr>
      <w:r>
        <w:rPr>
          <w:b/>
          <w:sz w:val="24"/>
          <w:szCs w:val="24"/>
        </w:rPr>
        <w:t xml:space="preserve">3.1 Species composition </w:t>
      </w:r>
    </w:p>
    <w:p>
      <w:pPr>
        <w:sectPr>
          <w:headerReference w:type="default" r:id="rId22"/>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20480"/>
        </w:sectPr>
        <w:pStyle w:val="Normal"/>
        <w:spacing w:lineRule="auto" w:line="480"/>
        <w:rPr>
          <w:b/>
          <w:b/>
          <w:iCs/>
          <w:sz w:val="24"/>
          <w:szCs w:val="24"/>
        </w:rPr>
      </w:pPr>
      <w:r>
        <w:rPr>
          <w:sz w:val="24"/>
          <w:szCs w:val="24"/>
        </w:rPr>
        <w:t xml:space="preserve">In 1990, the </w:t>
      </w:r>
      <w:ins w:id="132" w:author="Shawn McMurtrey" w:date="2022-08-19T14:35:00Z">
        <w:r>
          <w:rPr>
            <w:sz w:val="24"/>
            <w:szCs w:val="24"/>
          </w:rPr>
          <w:t xml:space="preserve">Woods Creek </w:t>
        </w:r>
      </w:ins>
      <w:r>
        <w:rPr>
          <w:sz w:val="24"/>
          <w:szCs w:val="24"/>
        </w:rPr>
        <w:t>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33" w:author="Shawn McMurtrey" w:date="2022-08-19T14:54:00Z">
        <w:r>
          <w:rPr>
            <w:sz w:val="24"/>
            <w:szCs w:val="24"/>
          </w:rPr>
          <w:t xml:space="preserve"> the unthinned treatment</w:t>
        </w:r>
      </w:ins>
      <w:r>
        <w:rPr>
          <w:sz w:val="24"/>
          <w:szCs w:val="24"/>
        </w:rPr>
        <w:t>, 15.3 m</w:t>
      </w:r>
      <w:r>
        <w:rPr>
          <w:b/>
          <w:bCs/>
          <w:sz w:val="24"/>
          <w:szCs w:val="24"/>
          <w:vertAlign w:val="superscript"/>
        </w:rPr>
        <w:t>2</w:t>
      </w:r>
      <w:r>
        <w:rPr>
          <w:sz w:val="24"/>
          <w:szCs w:val="24"/>
        </w:rPr>
        <w:t>ha</w:t>
      </w:r>
      <w:r>
        <w:rPr>
          <w:sz w:val="24"/>
          <w:szCs w:val="24"/>
          <w:vertAlign w:val="superscript"/>
        </w:rPr>
        <w:t>-1</w:t>
      </w:r>
      <w:r>
        <w:rPr>
          <w:sz w:val="24"/>
          <w:szCs w:val="24"/>
        </w:rPr>
        <w:t xml:space="preserve"> for </w:t>
      </w:r>
      <w:ins w:id="134" w:author="Shawn McMurtrey" w:date="2022-08-19T14:58:00Z">
        <w:r>
          <w:rPr>
            <w:sz w:val="24"/>
            <w:szCs w:val="24"/>
          </w:rPr>
          <w:t>the lightly thinned</w:t>
        </w:r>
      </w:ins>
      <w:r>
        <w:rPr>
          <w:sz w:val="24"/>
          <w:szCs w:val="24"/>
        </w:rPr>
        <w:t>, and 17.9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35" w:author="Shawn McMurtrey" w:date="2022-08-19T15:00:00Z">
        <w:r>
          <w:rPr>
            <w:sz w:val="24"/>
            <w:szCs w:val="24"/>
          </w:rPr>
          <w:t xml:space="preserve"> </w:t>
        </w:r>
      </w:ins>
      <w:ins w:id="136" w:author="Shawn McMurtrey" w:date="2022-08-19T15:01:00Z">
        <w:r>
          <w:rPr>
            <w:sz w:val="24"/>
            <w:szCs w:val="24"/>
          </w:rPr>
          <w:t xml:space="preserve">the </w:t>
        </w:r>
      </w:ins>
      <w:ins w:id="137" w:author="Shawn McMurtrey" w:date="2022-08-19T15:00:00Z">
        <w:r>
          <w:rPr>
            <w:sz w:val="24"/>
            <w:szCs w:val="24"/>
          </w:rPr>
          <w:t>thinned treat</w:t>
        </w:r>
      </w:ins>
      <w:ins w:id="138"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pPr>
        <w:pStyle w:val="Normal"/>
        <w:spacing w:lineRule="auto" w:line="480"/>
        <w:rPr>
          <w:sz w:val="24"/>
          <w:szCs w:val="24"/>
        </w:rPr>
      </w:pPr>
      <w:r>
        <w:rPr>
          <w:b/>
          <w:sz w:val="24"/>
          <w:szCs w:val="24"/>
        </w:rPr>
        <w:t>Table 1</w:t>
      </w:r>
      <w:r>
        <w:rPr>
          <w:sz w:val="24"/>
          <w:szCs w:val="24"/>
        </w:rPr>
        <w:t xml:space="preserve">: Initial and final stand summary statistics for the Woods Creek study. BA = basal area, SE = standard error.  </w:t>
      </w:r>
    </w:p>
    <w:tbl>
      <w:tblPr>
        <w:tblW w:w="10713" w:type="dxa"/>
        <w:jc w:val="left"/>
        <w:tblInd w:w="-360" w:type="dxa"/>
        <w:tblLayout w:type="fixed"/>
        <w:tblCellMar>
          <w:top w:w="0" w:type="dxa"/>
          <w:left w:w="108" w:type="dxa"/>
          <w:bottom w:w="0" w:type="dxa"/>
          <w:right w:w="108" w:type="dxa"/>
        </w:tblCellMar>
        <w:tblLook w:firstRow="1" w:noVBand="1" w:lastRow="0" w:firstColumn="1" w:lastColumn="0" w:noHBand="0" w:val="04a0"/>
      </w:tblPr>
      <w:tblGrid>
        <w:gridCol w:w="1904"/>
        <w:gridCol w:w="778"/>
        <w:gridCol w:w="1006"/>
        <w:gridCol w:w="271"/>
        <w:gridCol w:w="676"/>
        <w:gridCol w:w="405"/>
        <w:gridCol w:w="677"/>
        <w:gridCol w:w="268"/>
        <w:gridCol w:w="678"/>
        <w:gridCol w:w="403"/>
        <w:gridCol w:w="678"/>
        <w:gridCol w:w="266"/>
        <w:gridCol w:w="678"/>
        <w:gridCol w:w="403"/>
        <w:gridCol w:w="678"/>
        <w:gridCol w:w="260"/>
        <w:gridCol w:w="684"/>
      </w:tblGrid>
      <w:tr>
        <w:trPr>
          <w:trHeight w:val="300" w:hRule="atLeast"/>
        </w:trPr>
        <w:tc>
          <w:tcPr>
            <w:tcW w:w="1904"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778"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195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Unthinned</w:t>
            </w:r>
          </w:p>
        </w:tc>
        <w:tc>
          <w:tcPr>
            <w:tcW w:w="405"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Light 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r>
      <w:tr>
        <w:trPr>
          <w:trHeight w:val="20" w:hRule="atLeast"/>
        </w:trPr>
        <w:tc>
          <w:tcPr>
            <w:tcW w:w="1904"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778"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100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r>
      <w:tr>
        <w:trPr>
          <w:trHeight w:val="88" w:hRule="atLeast"/>
        </w:trPr>
        <w:tc>
          <w:tcPr>
            <w:tcW w:w="1904"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r>
        <w:trPr>
          <w:trHeight w:val="280" w:hRule="atLeast"/>
        </w:trPr>
        <w:tc>
          <w:tcPr>
            <w:tcW w:w="1904" w:type="dxa"/>
            <w:tcBorders/>
            <w:shd w:color="auto" w:fill="auto" w:val="clear"/>
            <w:vAlign w:val="bottom"/>
          </w:tcPr>
          <w:p>
            <w:pPr>
              <w:pStyle w:val="Normal"/>
              <w:widowControl w:val="false"/>
              <w:spacing w:lineRule="auto" w:line="240" w:beforeAutospacing="1" w:after="0"/>
              <w:jc w:val="center"/>
              <w:rPr>
                <w:rFonts w:eastAsia="Times New Roman"/>
                <w:sz w:val="20"/>
                <w:szCs w:val="20"/>
                <w:lang w:val="en-US"/>
              </w:rPr>
            </w:pPr>
            <w:r>
              <w:rPr>
                <w:rFonts w:eastAsia="Times New Roman"/>
                <w:sz w:val="20"/>
                <w:szCs w:val="20"/>
                <w:lang w:val="en-US"/>
              </w:rPr>
            </w:r>
          </w:p>
        </w:tc>
        <w:tc>
          <w:tcPr>
            <w:tcW w:w="7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Change w:id="0" w:author="Shawn McMurtrey" w:date="2022-09-12T05:51:00Z"/>
              </w:rPr>
              <w:t>28.2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trPr>
          <w:trHeight w:val="126" w:hRule="atLeast"/>
        </w:trPr>
        <w:tc>
          <w:tcPr>
            <w:tcW w:w="1904"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Live Douglas-fir</w:t>
            </w:r>
          </w:p>
        </w:tc>
        <w:tc>
          <w:tcPr>
            <w:tcW w:w="778"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15.99</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11.9</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5.08</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4.31</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7.8</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5.4</w:t>
            </w:r>
          </w:p>
        </w:tc>
      </w:tr>
      <w:tr>
        <w:trPr>
          <w:trHeight w:val="280" w:hRule="atLeast"/>
        </w:trPr>
        <w:tc>
          <w:tcPr>
            <w:tcW w:w="1904" w:type="dxa"/>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8"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trPr>
          <w:trHeight w:val="280" w:hRule="atLeast"/>
        </w:trPr>
        <w:tc>
          <w:tcPr>
            <w:tcW w:w="1904"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Western hemlock</w:t>
            </w:r>
          </w:p>
        </w:tc>
        <w:tc>
          <w:tcPr>
            <w:tcW w:w="778" w:type="dxa"/>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trPr>
          <w:trHeight w:val="280" w:hRule="atLeast"/>
        </w:trPr>
        <w:tc>
          <w:tcPr>
            <w:tcW w:w="1904"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78"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6.02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4.14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pPrChange w:id="0" w:author="Shawn McMurtrey" w:date="2022-09-12T05:46:00Z">
                <w:pPr>
                  <w:jc w:val="center"/>
                  <w:widowControl w:val="false"/>
                  <w:spacing w:lineRule="auto" w:line="480"/>
                </w:pPr>
              </w:pPrChange>
              <w:rPr>
                <w:rFonts w:eastAsia="Times New Roman"/>
                <w:color w:val="000000" w:themeColor="text1"/>
                <w:sz w:val="20"/>
                <w:szCs w:val="20"/>
                <w:lang w:val="en-US"/>
              </w:rPr>
            </w:pPr>
            <w:r>
              <w:rPr>
                <w:rFonts w:eastAsia="Times New Roman"/>
                <w:color w:val="000000" w:themeColor="text1"/>
                <w:sz w:val="20"/>
                <w:szCs w:val="20"/>
                <w:lang w:val="en-US"/>
              </w:rPr>
              <w:t>2.08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3.18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pPrChange w:id="0" w:author="Shawn McMurtrey" w:date="2022-09-12T05:54:00Z">
                <w:pPr>
                  <w:jc w:val="center"/>
                  <w:widowControl w:val="false"/>
                  <w:spacing w:lineRule="auto" w:line="480"/>
                </w:pPr>
              </w:pPrChange>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3.4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6.49</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2.27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2.02</w:t>
            </w:r>
          </w:p>
        </w:tc>
      </w:tr>
      <w:tr>
        <w:trPr>
          <w:trHeight w:val="280" w:hRule="atLeast"/>
        </w:trPr>
        <w:tc>
          <w:tcPr>
            <w:tcW w:w="1904"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8"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trPr>
          <w:trHeight w:val="280" w:hRule="atLeast"/>
        </w:trPr>
        <w:tc>
          <w:tcPr>
            <w:tcW w:w="1904"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other species</w:t>
            </w:r>
          </w:p>
        </w:tc>
        <w:tc>
          <w:tcPr>
            <w:tcW w:w="7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trPr>
          <w:trHeight w:val="280" w:hRule="atLeast"/>
        </w:trPr>
        <w:tc>
          <w:tcPr>
            <w:tcW w:w="1904"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78"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3.74</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4.65</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0.5</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0.93</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0.62</w:t>
            </w:r>
          </w:p>
        </w:tc>
      </w:tr>
      <w:tr>
        <w:trPr>
          <w:trHeight w:val="280" w:hRule="atLeast"/>
        </w:trPr>
        <w:tc>
          <w:tcPr>
            <w:tcW w:w="1904"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8"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trPr>
          <w:trHeight w:val="290" w:hRule="atLeast"/>
        </w:trPr>
        <w:tc>
          <w:tcPr>
            <w:tcW w:w="1904"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Total</w:t>
              <w:br/>
              <w:t>live trees</w:t>
            </w:r>
          </w:p>
        </w:tc>
        <w:tc>
          <w:tcPr>
            <w:tcW w:w="7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trPr>
          <w:trHeight w:val="290" w:hRule="atLeast"/>
        </w:trPr>
        <w:tc>
          <w:tcPr>
            <w:tcW w:w="1904"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78"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25.87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7.07</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7.13</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3.94</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0.88</w:t>
            </w:r>
          </w:p>
        </w:tc>
      </w:tr>
      <w:tr>
        <w:trPr>
          <w:trHeight w:val="300" w:hRule="atLeast"/>
        </w:trPr>
        <w:tc>
          <w:tcPr>
            <w:tcW w:w="1904"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8"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206</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trPr>
          <w:trHeight w:val="290" w:hRule="atLeast"/>
        </w:trPr>
        <w:tc>
          <w:tcPr>
            <w:tcW w:w="1904"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Total BA of</w:t>
            </w:r>
          </w:p>
        </w:tc>
        <w:tc>
          <w:tcPr>
            <w:tcW w:w="7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14.1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6.1</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7.8</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11.2</w:t>
            </w:r>
          </w:p>
        </w:tc>
      </w:tr>
      <w:tr>
        <w:trPr>
          <w:trHeight w:val="290" w:hRule="atLeast"/>
        </w:trPr>
        <w:tc>
          <w:tcPr>
            <w:tcW w:w="1904" w:type="dxa"/>
            <w:tcBorders>
              <w:bottom w:val="single" w:sz="4" w:space="0" w:color="000000"/>
            </w:tcBorders>
            <w:shd w:color="auto" w:fill="auto" w:val="clear"/>
            <w:vAlign w:val="center"/>
          </w:tcPr>
          <w:p>
            <w:pPr>
              <w:pStyle w:val="Normal"/>
              <w:widowControl w:val="false"/>
              <w:spacing w:lineRule="auto" w:line="240" w:beforeAutospacing="1" w:after="0"/>
              <w:jc w:val="center"/>
              <w:rPr>
                <w:b/>
                <w:b/>
                <w:bCs/>
                <w:sz w:val="20"/>
                <w:szCs w:val="20"/>
              </w:rPr>
            </w:pPr>
            <w:r>
              <w:rPr>
                <w:rFonts w:eastAsia="Times New Roman"/>
                <w:b/>
                <w:bCs/>
                <w:sz w:val="20"/>
                <w:szCs w:val="20"/>
                <w:lang w:val="en-US"/>
              </w:rPr>
              <w:t>Douglas-fir</w:t>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78" w:type="dxa"/>
            <w:tcBorders>
              <w:bottom w:val="single" w:sz="4"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1.3</w:t>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2.3</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2.1</w:t>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3.1</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2.8</w:t>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3.2</w:t>
            </w:r>
          </w:p>
        </w:tc>
      </w:tr>
      <w:tr>
        <w:trPr>
          <w:trHeight w:val="300" w:hRule="atLeast"/>
        </w:trPr>
        <w:tc>
          <w:tcPr>
            <w:tcW w:w="1904" w:type="dxa"/>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78" w:type="dxa"/>
            <w:tcBorders/>
            <w:shd w:color="auto" w:fill="auto" w:val="clear"/>
            <w:vAlign w:val="bottom"/>
          </w:tcPr>
          <w:p>
            <w:pPr>
              <w:pStyle w:val="Normal"/>
              <w:widowControl w:val="false"/>
              <w:spacing w:lineRule="auto" w:line="240"/>
              <w:rPr>
                <w:rFonts w:eastAsia="Times New Roman"/>
                <w:b/>
                <w:b/>
                <w:bCs/>
                <w:sz w:val="20"/>
                <w:szCs w:val="20"/>
                <w:lang w:val="en-US"/>
              </w:rPr>
            </w:pPr>
            <w:r>
              <w:rPr>
                <w:rFonts w:eastAsia="Times New Roman"/>
                <w:b/>
                <w:bCs/>
                <w:sz w:val="20"/>
                <w:szCs w:val="20"/>
                <w:lang w:val="en-US"/>
              </w:rPr>
              <w:t>Total</w:t>
            </w:r>
          </w:p>
        </w:tc>
        <w:tc>
          <w:tcPr>
            <w:tcW w:w="100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81%</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86%</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71%</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82%</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r>
      <w:tr>
        <w:trPr>
          <w:trHeight w:val="290" w:hRule="exact"/>
        </w:trPr>
        <w:tc>
          <w:tcPr>
            <w:tcW w:w="1904" w:type="dxa"/>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of total trees</w:t>
              <w:br/>
            </w:r>
          </w:p>
        </w:tc>
        <w:tc>
          <w:tcPr>
            <w:tcW w:w="7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bl>
    <w:p>
      <w:pPr>
        <w:sectPr>
          <w:headerReference w:type="default" r:id="rId23"/>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20480"/>
        </w:sectPr>
      </w:pPr>
    </w:p>
    <w:p>
      <w:pPr>
        <w:pStyle w:val="Normal"/>
        <w:spacing w:lineRule="auto" w:line="480"/>
        <w:rPr>
          <w:sz w:val="24"/>
          <w:szCs w:val="24"/>
        </w:rPr>
      </w:pPr>
      <w:r>
        <w:rPr>
          <w:b/>
          <w:sz w:val="24"/>
          <w:szCs w:val="24"/>
        </w:rPr>
        <w:t>3.2 Statistical analysis</w:t>
      </w:r>
    </w:p>
    <w:p>
      <w:pPr>
        <w:pStyle w:val="Normal"/>
        <w:spacing w:lineRule="auto" w:line="480"/>
        <w:rPr>
          <w:sz w:val="24"/>
          <w:szCs w:val="24"/>
        </w:rPr>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723"/>
        <w:gridCol w:w="1484"/>
        <w:gridCol w:w="1555"/>
        <w:gridCol w:w="1585"/>
        <w:gridCol w:w="1578"/>
        <w:gridCol w:w="1424"/>
      </w:tblGrid>
      <w:tr>
        <w:trPr/>
        <w:tc>
          <w:tcPr>
            <w:tcW w:w="1723"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Source of Variation</w:t>
            </w:r>
          </w:p>
        </w:tc>
        <w:tc>
          <w:tcPr>
            <w:tcW w:w="1484"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Degrees of Freedom</w:t>
            </w:r>
          </w:p>
        </w:tc>
        <w:tc>
          <w:tcPr>
            <w:tcW w:w="155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Sum of Squares</w:t>
            </w:r>
          </w:p>
        </w:tc>
        <w:tc>
          <w:tcPr>
            <w:tcW w:w="158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Mean Square</w:t>
            </w:r>
          </w:p>
        </w:tc>
        <w:tc>
          <w:tcPr>
            <w:tcW w:w="1578"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24"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723"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484"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0.01048</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0.00524</w:t>
            </w:r>
          </w:p>
        </w:tc>
        <w:tc>
          <w:tcPr>
            <w:tcW w:w="1578"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0.484</w:t>
            </w:r>
          </w:p>
        </w:tc>
        <w:tc>
          <w:tcPr>
            <w:tcW w:w="1424"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0.629</w:t>
            </w:r>
          </w:p>
        </w:tc>
      </w:tr>
      <w:tr>
        <w:trPr/>
        <w:tc>
          <w:tcPr>
            <w:tcW w:w="1723"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484"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0.12985</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0.01082</w:t>
            </w:r>
          </w:p>
        </w:tc>
        <w:tc>
          <w:tcPr>
            <w:tcW w:w="1578" w:type="dxa"/>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424" w:type="dxa"/>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r>
    </w:tbl>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3.3 Prevalence rate of root disease </w:t>
      </w:r>
    </w:p>
    <w:p>
      <w:pPr>
        <w:pStyle w:val="Normal"/>
        <w:spacing w:lineRule="auto" w:line="480"/>
        <w:rPr>
          <w:sz w:val="24"/>
          <w:szCs w:val="24"/>
        </w:rPr>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w:t>
      </w:r>
      <w:commentRangeStart w:id="18"/>
      <w:commentRangeStart w:id="19"/>
      <w:commentRangeStart w:id="20"/>
      <w:commentRangeStart w:id="21"/>
      <w:r>
        <w:rPr>
          <w:sz w:val="24"/>
          <w:szCs w:val="24"/>
          <w:highlight w:val="white"/>
        </w:rPr>
        <w:t xml:space="preserve">Total tree mortality from LRR in </w:t>
      </w:r>
      <w:ins w:id="140" w:author="Shawn McMurtrey" w:date="2022-08-19T14:54:00Z">
        <w:r>
          <w:rPr>
            <w:sz w:val="24"/>
            <w:szCs w:val="24"/>
            <w:highlight w:val="white"/>
          </w:rPr>
          <w:t xml:space="preserve">unthinned </w:t>
        </w:r>
      </w:ins>
      <w:r>
        <w:rPr>
          <w:sz w:val="24"/>
          <w:szCs w:val="24"/>
          <w:highlight w:val="white"/>
        </w:rPr>
        <w:t xml:space="preserve">stands was 25.4% (n = 92/361), 36.9% (n=72/195) in </w:t>
      </w:r>
      <w:ins w:id="141" w:author="Shawn McMurtrey" w:date="2022-08-19T14:58:00Z">
        <w:r>
          <w:rPr>
            <w:sz w:val="24"/>
            <w:szCs w:val="24"/>
            <w:highlight w:val="white"/>
          </w:rPr>
          <w:t>the stands that were lightly t</w:t>
        </w:r>
      </w:ins>
      <w:ins w:id="142" w:author="Shawn McMurtrey" w:date="2022-08-19T14:59:00Z">
        <w:r>
          <w:rPr>
            <w:sz w:val="24"/>
            <w:szCs w:val="24"/>
            <w:highlight w:val="white"/>
          </w:rPr>
          <w:t>hinned</w:t>
        </w:r>
      </w:ins>
      <w:r>
        <w:rPr>
          <w:sz w:val="24"/>
          <w:szCs w:val="24"/>
          <w:highlight w:val="white"/>
        </w:rPr>
        <w:t xml:space="preserve">, and 34.8% (n = 60/172) in </w:t>
      </w:r>
      <w:ins w:id="143" w:author="Shawn McMurtrey" w:date="2022-08-19T15:01:00Z">
        <w:r>
          <w:rPr>
            <w:sz w:val="24"/>
            <w:szCs w:val="24"/>
            <w:highlight w:val="white"/>
          </w:rPr>
          <w:t>thinned stands</w:t>
        </w:r>
      </w:ins>
      <w:r>
        <w:rPr>
          <w:sz w:val="24"/>
          <w:szCs w:val="24"/>
          <w:highlight w:val="white"/>
        </w:rPr>
        <w:t xml:space="preserve">. These values were calculated by taking cumulative LRR mortality from 1990 – 2020 over total live tree counts from 2020. </w:t>
      </w:r>
      <w:r>
        <w:rPr>
          <w:sz w:val="24"/>
          <w:szCs w:val="24"/>
          <w:highlight w:val="white"/>
        </w:rPr>
      </w:r>
      <w:commentRangeEnd w:id="21"/>
      <w:r>
        <w:commentReference w:id="21"/>
      </w:r>
      <w:r>
        <w:rPr>
          <w:sz w:val="24"/>
          <w:szCs w:val="24"/>
          <w:highlight w:val="white"/>
        </w:rPr>
      </w:r>
      <w:commentRangeEnd w:id="20"/>
      <w:r>
        <w:commentReference w:id="20"/>
      </w:r>
      <w:r>
        <w:rPr>
          <w:sz w:val="24"/>
          <w:szCs w:val="24"/>
          <w:highlight w:val="white"/>
        </w:rPr>
      </w:r>
      <w:commentRangeEnd w:id="19"/>
      <w:r>
        <w:commentReference w:id="19"/>
      </w:r>
      <w:commentRangeEnd w:id="18"/>
      <w:r>
        <w:commentReference w:id="18"/>
      </w:r>
      <w:r>
        <w:rPr>
          <w:sz w:val="24"/>
          <w:szCs w:val="24"/>
          <w:highlight w:val="white"/>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commentRangeStart w:id="22"/>
      <w:r>
        <w:rPr/>
        <w:drawing>
          <wp:inline distT="0" distB="0" distL="0" distR="0">
            <wp:extent cx="5943600" cy="2971800"/>
            <wp:effectExtent l="0" t="0" r="0" b="0"/>
            <wp:docPr id="3"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descr=""/>
                    <pic:cNvPicPr>
                      <a:picLocks noChangeAspect="1" noChangeArrowheads="1"/>
                    </pic:cNvPicPr>
                  </pic:nvPicPr>
                  <pic:blipFill>
                    <a:blip r:embed="rId24"/>
                    <a:stretch>
                      <a:fillRect/>
                    </a:stretch>
                  </pic:blipFill>
                  <pic:spPr bwMode="auto">
                    <a:xfrm>
                      <a:off x="0" y="0"/>
                      <a:ext cx="5943600" cy="2971800"/>
                    </a:xfrm>
                    <a:prstGeom prst="rect">
                      <a:avLst/>
                    </a:prstGeom>
                  </pic:spPr>
                </pic:pic>
              </a:graphicData>
            </a:graphic>
          </wp:inline>
        </w:drawing>
      </w:r>
      <w:commentRangeEnd w:id="22"/>
      <w:r>
        <w:commentReference w:id="22"/>
      </w:r>
      <w:r>
        <w:rPr/>
      </w:r>
    </w:p>
    <w:p>
      <w:pPr>
        <w:pStyle w:val="Normal"/>
        <w:spacing w:lineRule="auto" w:line="480"/>
        <w:rPr>
          <w:sz w:val="24"/>
          <w:szCs w:val="24"/>
        </w:rPr>
      </w:pPr>
      <w:r>
        <w:rPr>
          <w:sz w:val="24"/>
          <w:szCs w:val="24"/>
        </w:rPr>
      </w:r>
    </w:p>
    <w:p>
      <w:pPr>
        <w:pStyle w:val="Normal"/>
        <w:spacing w:lineRule="auto" w:line="480"/>
        <w:rPr>
          <w:sz w:val="24"/>
          <w:szCs w:val="24"/>
        </w:rPr>
      </w:pPr>
      <w:commentRangeStart w:id="23"/>
      <w:r>
        <w:rPr/>
        <w:drawing>
          <wp:inline distT="0" distB="0" distL="0" distR="0">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a:picLocks noChangeAspect="1" noChangeArrowheads="1"/>
                    </pic:cNvPicPr>
                  </pic:nvPicPr>
                  <pic:blipFill>
                    <a:blip r:embed="rId25"/>
                    <a:stretch>
                      <a:fillRect/>
                    </a:stretch>
                  </pic:blipFill>
                  <pic:spPr bwMode="auto">
                    <a:xfrm>
                      <a:off x="0" y="0"/>
                      <a:ext cx="5943600" cy="5943600"/>
                    </a:xfrm>
                    <a:prstGeom prst="rect">
                      <a:avLst/>
                    </a:prstGeom>
                  </pic:spPr>
                </pic:pic>
              </a:graphicData>
            </a:graphic>
          </wp:inline>
        </w:drawing>
      </w:r>
      <w:commentRangeEnd w:id="23"/>
      <w:r>
        <w:commentReference w:id="23"/>
      </w:r>
      <w:r>
        <w:rPr/>
      </w:r>
    </w:p>
    <w:p>
      <w:pPr>
        <w:pStyle w:val="Normal"/>
        <w:spacing w:lineRule="auto" w:line="480"/>
        <w:rPr>
          <w:sz w:val="24"/>
          <w:szCs w:val="24"/>
        </w:rPr>
      </w:pPr>
      <w:r>
        <w:rPr>
          <w:b/>
          <w:sz w:val="24"/>
          <w:szCs w:val="24"/>
        </w:rPr>
        <w:t xml:space="preserve">Figure 2: </w:t>
      </w:r>
      <w:r>
        <w:rPr>
          <w:sz w:val="24"/>
          <w:szCs w:val="24"/>
        </w:rPr>
        <w:t xml:space="preserve">Percent of total tree mortality from LRR at initial and final time points.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LRR was found within at least 40% of the plots in all 15 of the total stands</w:t>
      </w:r>
      <w:ins w:id="144" w:author="Shawn McMurtrey" w:date="2022-09-22T22:14:00Z">
        <w:r>
          <w:rPr>
            <w:sz w:val="24"/>
            <w:szCs w:val="24"/>
          </w:rPr>
          <w:t xml:space="preserve"> (Figure 1)</w:t>
        </w:r>
      </w:ins>
      <w:r>
        <w:rPr>
          <w:sz w:val="24"/>
          <w:szCs w:val="24"/>
        </w:rPr>
        <w:t xml:space="preserve">. </w:t>
      </w:r>
      <w:ins w:id="145" w:author="Shawn McMurtrey" w:date="2022-09-22T22:16:00Z">
        <w:r>
          <w:rPr>
            <w:sz w:val="24"/>
            <w:szCs w:val="24"/>
          </w:rPr>
          <w:t>By the time the study concluded,</w:t>
        </w:r>
      </w:ins>
      <w:ins w:id="146" w:author="Shawn McMurtrey" w:date="2022-09-22T22:18:00Z">
        <w:r>
          <w:rPr>
            <w:sz w:val="24"/>
            <w:szCs w:val="24"/>
          </w:rPr>
          <w:t xml:space="preserve"> LRR had been found in </w:t>
        </w:r>
      </w:ins>
      <w:r>
        <w:rPr>
          <w:sz w:val="24"/>
          <w:szCs w:val="24"/>
        </w:rPr>
        <w:t xml:space="preserve">100% of the plots within two of the  </w:t>
      </w:r>
      <w:ins w:id="147" w:author="Shawn McMurtrey" w:date="2022-08-19T14:54:00Z">
        <w:r>
          <w:rPr>
            <w:sz w:val="24"/>
            <w:szCs w:val="24"/>
          </w:rPr>
          <w:t xml:space="preserve">unthinned </w:t>
        </w:r>
      </w:ins>
      <w:r>
        <w:rPr>
          <w:sz w:val="24"/>
          <w:szCs w:val="24"/>
        </w:rPr>
        <w:t>stands, two of the stands</w:t>
      </w:r>
      <w:ins w:id="148" w:author="Shawn McMurtrey" w:date="2022-08-19T14:59:00Z">
        <w:r>
          <w:rPr>
            <w:sz w:val="24"/>
            <w:szCs w:val="24"/>
          </w:rPr>
          <w:t xml:space="preserve"> with light thinning</w:t>
        </w:r>
      </w:ins>
      <w:r>
        <w:rPr>
          <w:sz w:val="24"/>
          <w:szCs w:val="24"/>
        </w:rPr>
        <w:t xml:space="preserve">, and one of the </w:t>
      </w:r>
      <w:ins w:id="149" w:author="Shawn McMurtrey" w:date="2022-08-19T15:01:00Z">
        <w:r>
          <w:rPr>
            <w:sz w:val="24"/>
            <w:szCs w:val="24"/>
          </w:rPr>
          <w:t>thinned</w:t>
        </w:r>
      </w:ins>
      <w:r>
        <w:rPr>
          <w:sz w:val="24"/>
          <w:szCs w:val="24"/>
        </w:rPr>
        <w:t xml:space="preserve"> stands. When the plots were established in 1985, LRR was present within 59% (n = 44/75) of the plots. By the end of the study, it had been found within 83% (n=62/75) of the plots </w:t>
      </w:r>
      <w:del w:id="150" w:author="Shawn McMurtrey" w:date="2022-09-22T22:21:00Z">
        <w:r>
          <w:rPr>
            <w:sz w:val="24"/>
            <w:szCs w:val="24"/>
          </w:rPr>
          <w:delText>(</w:delText>
        </w:r>
      </w:del>
      <w:del w:id="151" w:author="Shawn McMurtrey" w:date="2022-09-22T22:21:00Z">
        <w:r>
          <w:rPr>
            <w:b/>
            <w:sz w:val="24"/>
            <w:szCs w:val="24"/>
          </w:rPr>
          <w:delText>Table 3</w:delText>
        </w:r>
      </w:del>
      <w:del w:id="152" w:author="Shawn McMurtrey" w:date="2022-09-22T22:21:00Z">
        <w:r>
          <w:rPr>
            <w:sz w:val="24"/>
            <w:szCs w:val="24"/>
          </w:rPr>
          <w:delText>)</w:delText>
        </w:r>
      </w:del>
      <w:ins w:id="153" w:author="Shawn McMurtrey" w:date="2022-09-22T22:21:00Z">
        <w:r>
          <w:rPr>
            <w:sz w:val="24"/>
            <w:szCs w:val="24"/>
          </w:rPr>
          <w:t xml:space="preserve"> At the stand level, </w:t>
        </w:r>
      </w:ins>
      <w:ins w:id="154" w:author="Shawn McMurtrey" w:date="2022-09-22T22:22:00Z">
        <w:r>
          <w:rPr>
            <w:sz w:val="24"/>
            <w:szCs w:val="24"/>
          </w:rPr>
          <w:t>92%</w:t>
        </w:r>
      </w:ins>
      <w:ins w:id="155" w:author="Shawn McMurtrey" w:date="2022-09-22T22:23:00Z">
        <w:r>
          <w:rPr>
            <w:sz w:val="24"/>
            <w:szCs w:val="24"/>
          </w:rPr>
          <w:t xml:space="preserve"> (n = 23/25)</w:t>
        </w:r>
      </w:ins>
      <w:ins w:id="156" w:author="Shawn McMurtrey" w:date="2022-09-22T22:22:00Z">
        <w:r>
          <w:rPr>
            <w:sz w:val="24"/>
            <w:szCs w:val="24"/>
          </w:rPr>
          <w:t xml:space="preserve"> of the plots in the unthinned stand</w:t>
        </w:r>
      </w:ins>
      <w:ins w:id="157" w:author="Shawn McMurtrey" w:date="2022-09-22T22:23:00Z">
        <w:r>
          <w:rPr>
            <w:sz w:val="24"/>
            <w:szCs w:val="24"/>
          </w:rPr>
          <w:t>s, 80%</w:t>
        </w:r>
      </w:ins>
      <w:ins w:id="158" w:author="Shawn McMurtrey" w:date="2022-09-22T22:24:00Z">
        <w:r>
          <w:rPr>
            <w:sz w:val="24"/>
            <w:szCs w:val="24"/>
          </w:rPr>
          <w:t xml:space="preserve"> (20/25)</w:t>
        </w:r>
      </w:ins>
      <w:ins w:id="159" w:author="Shawn McMurtrey" w:date="2022-09-22T22:23:00Z">
        <w:r>
          <w:rPr>
            <w:sz w:val="24"/>
            <w:szCs w:val="24"/>
          </w:rPr>
          <w:t xml:space="preserve"> of the plots in the lightly thin</w:t>
        </w:r>
      </w:ins>
      <w:ins w:id="160" w:author="Shawn McMurtrey" w:date="2022-09-22T22:24:00Z">
        <w:r>
          <w:rPr>
            <w:sz w:val="24"/>
            <w:szCs w:val="24"/>
          </w:rPr>
          <w:t>ned stands, and 76% (n =</w:t>
        </w:r>
      </w:ins>
      <w:ins w:id="161" w:author="Shawn McMurtrey" w:date="2022-09-22T22:25:00Z">
        <w:r>
          <w:rPr>
            <w:sz w:val="24"/>
            <w:szCs w:val="24"/>
          </w:rPr>
          <w:t xml:space="preserve"> 62/75)</w:t>
        </w:r>
      </w:ins>
      <w:ins w:id="162" w:author="Shawn McMurtrey" w:date="2022-09-22T22:23:00Z">
        <w:r>
          <w:rPr>
            <w:sz w:val="24"/>
            <w:szCs w:val="24"/>
          </w:rPr>
          <w:t xml:space="preserve"> </w:t>
        </w:r>
      </w:ins>
      <w:ins w:id="163" w:author="Shawn McMurtrey" w:date="2022-09-22T22:25:00Z">
        <w:r>
          <w:rPr>
            <w:sz w:val="24"/>
            <w:szCs w:val="24"/>
          </w:rPr>
          <w:t>of the plots in the thinned stands</w:t>
        </w:r>
      </w:ins>
      <w:ins w:id="164" w:author="Shawn McMurtrey" w:date="2022-09-22T22:22:00Z">
        <w:r>
          <w:rPr>
            <w:sz w:val="24"/>
            <w:szCs w:val="24"/>
          </w:rPr>
          <w:t xml:space="preserve"> had confirmed LRR</w:t>
        </w:r>
      </w:ins>
      <w:ins w:id="165" w:author="Shawn McMurtrey" w:date="2022-09-22T22:23:00Z">
        <w:r>
          <w:rPr>
            <w:sz w:val="24"/>
            <w:szCs w:val="24"/>
          </w:rPr>
          <w:t xml:space="preserve"> by the end of the study period.</w:t>
        </w:r>
      </w:ins>
      <w:del w:id="166" w:author="Shawn McMurtrey" w:date="2022-09-22T22:21:00Z">
        <w:r>
          <w:rPr>
            <w:sz w:val="24"/>
            <w:szCs w:val="24"/>
          </w:rPr>
          <w:delText>.</w:delText>
        </w:r>
      </w:del>
      <w:ins w:id="167" w:author="Shawn McMurtrey" w:date="2022-09-22T22:23:00Z">
        <w:r>
          <w:rPr>
            <w:sz w:val="24"/>
            <w:szCs w:val="24"/>
          </w:rPr>
          <w:t xml:space="preserve"> </w:t>
        </w:r>
      </w:ins>
      <w:del w:id="168" w:author="Shawn McMurtrey" w:date="2022-09-22T22:21:00Z">
        <w:r>
          <w:rPr>
            <w:sz w:val="24"/>
            <w:szCs w:val="24"/>
          </w:rPr>
          <w:delText xml:space="preserve"> </w:delText>
        </w:r>
      </w:del>
    </w:p>
    <w:p>
      <w:pPr>
        <w:pStyle w:val="Normal"/>
        <w:spacing w:lineRule="auto" w:line="480"/>
        <w:rPr>
          <w:sz w:val="24"/>
          <w:szCs w:val="24"/>
        </w:rPr>
      </w:pPr>
      <w:r>
        <w:rPr>
          <w:sz w:val="24"/>
          <w:szCs w:val="24"/>
        </w:rPr>
      </w:r>
    </w:p>
    <w:p>
      <w:pPr>
        <w:pStyle w:val="Normal"/>
        <w:spacing w:lineRule="auto" w:line="480"/>
        <w:rPr>
          <w:sz w:val="24"/>
          <w:szCs w:val="24"/>
        </w:rPr>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vertAlign w:val="superscript"/>
        </w:rPr>
        <w:t>-1</w:t>
      </w:r>
      <w:r>
        <w:rPr>
          <w:sz w:val="24"/>
          <w:szCs w:val="24"/>
        </w:rPr>
        <w:t>)</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pPr>
        <w:pStyle w:val="Normal"/>
        <w:spacing w:lineRule="auto" w:line="480"/>
        <w:rPr>
          <w:sz w:val="24"/>
          <w:szCs w:val="24"/>
          <w:highlight w:val="white"/>
        </w:rPr>
      </w:pPr>
      <w:r>
        <w:rPr>
          <w:sz w:val="24"/>
          <w:szCs w:val="24"/>
          <w:highlight w:val="white"/>
        </w:rPr>
      </w:r>
    </w:p>
    <w:tbl>
      <w:tblPr>
        <w:tblW w:w="9360" w:type="dxa"/>
        <w:jc w:val="left"/>
        <w:tblInd w:w="220" w:type="dxa"/>
        <w:tblLayout w:type="fixed"/>
        <w:tblCellMar>
          <w:top w:w="100" w:type="dxa"/>
          <w:left w:w="100" w:type="dxa"/>
          <w:bottom w:w="100" w:type="dxa"/>
          <w:right w:w="100" w:type="dxa"/>
        </w:tblCellMar>
        <w:tblLook w:firstRow="1" w:noVBand="1" w:lastRow="0" w:firstColumn="1" w:lastColumn="0" w:noHBand="0" w:val="04a0"/>
      </w:tblPr>
      <w:tblGrid>
        <w:gridCol w:w="1735"/>
        <w:gridCol w:w="1701"/>
        <w:gridCol w:w="1697"/>
        <w:gridCol w:w="1710"/>
        <w:gridCol w:w="2517"/>
      </w:tblGrid>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Observed</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FVS</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WRDM</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Confirmed LRR</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Unthinned</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78.19903</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90.70344</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76.84222</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92% (n = 23/25)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52.38183</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64.05731</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51.80894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80% (n = 20/25)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Thin</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61.32331</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68.29341</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58.83134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76% (n = 19/25)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Total</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191.90417</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223.05416</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187.4825</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commentRangeStart w:id="24"/>
            <w:r>
              <w:rPr>
                <w:rFonts w:eastAsia="Times New Roman"/>
                <w:lang w:val="en-US"/>
              </w:rPr>
              <w:t>83% (n = 62/75) </w:t>
            </w:r>
            <w:commentRangeEnd w:id="24"/>
            <w:r>
              <w:commentReference w:id="24"/>
            </w:r>
            <w:r>
              <w:rPr>
                <w:rFonts w:eastAsia="Times New Roman"/>
                <w:lang w:val="en-US"/>
              </w:rPr>
            </w:r>
          </w:p>
        </w:tc>
      </w:tr>
    </w:tbl>
    <w:p>
      <w:pPr>
        <w:pStyle w:val="Normal"/>
        <w:spacing w:lineRule="auto" w:line="480"/>
        <w:rPr>
          <w:sz w:val="24"/>
          <w:szCs w:val="24"/>
        </w:rPr>
      </w:pPr>
      <w:r>
        <w:rPr>
          <w:sz w:val="24"/>
          <w:szCs w:val="24"/>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rPr>
      </w:pPr>
      <w:r>
        <w:rPr>
          <w:b/>
          <w:sz w:val="24"/>
          <w:szCs w:val="24"/>
        </w:rPr>
        <w:t>3.3 Forest Vegetation Simulator and Western Root Disease Models</w:t>
      </w:r>
    </w:p>
    <w:p>
      <w:pPr>
        <w:pStyle w:val="Normal"/>
        <w:spacing w:lineRule="auto" w:line="480"/>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w:t>
      </w:r>
      <w:del w:id="169" w:author="Shawn McMurtrey" w:date="2022-09-22T22:26:00Z">
        <w:r>
          <w:rPr>
            <w:sz w:val="24"/>
            <w:szCs w:val="24"/>
            <w:highlight w:val="white"/>
          </w:rPr>
          <w:delText>as accurate</w:delText>
        </w:r>
      </w:del>
      <w:r>
        <w:rPr>
          <w:sz w:val="24"/>
          <w:szCs w:val="24"/>
          <w:highlight w:val="white"/>
        </w:rPr>
        <w:t xml:space="preserve"> statistically significant for the years of 2009 and 2020 </w:t>
      </w:r>
      <w:ins w:id="170" w:author="Shawn McMurtrey" w:date="2022-09-22T22:27:00Z">
        <w:r>
          <w:rPr>
            <w:sz w:val="24"/>
            <w:szCs w:val="24"/>
            <w:highlight w:val="white"/>
          </w:rPr>
          <w:t xml:space="preserve">in both the control and thinned </w:t>
        </w:r>
      </w:ins>
      <w:ins w:id="171" w:author="Shawn McMurtrey" w:date="2022-09-22T22:28:00Z">
        <w:r>
          <w:rPr>
            <w:sz w:val="24"/>
            <w:szCs w:val="24"/>
            <w:highlight w:val="white"/>
          </w:rPr>
          <w:t>stands</w:t>
        </w:r>
      </w:ins>
      <w:ins w:id="172" w:author="Shawn McMurtrey" w:date="2022-09-22T22:30:00Z">
        <w:r>
          <w:rPr>
            <w:sz w:val="24"/>
            <w:szCs w:val="24"/>
            <w:highlight w:val="white"/>
          </w:rPr>
          <w:t xml:space="preserve"> </w:t>
        </w:r>
      </w:ins>
      <w:del w:id="173" w:author="Shawn McMurtrey" w:date="2022-09-22T22:30:00Z">
        <w:r>
          <w:rPr>
            <w:sz w:val="24"/>
            <w:szCs w:val="24"/>
            <w:highlight w:val="white"/>
          </w:rPr>
          <w:delText>(</w:delText>
        </w:r>
      </w:del>
      <w:del w:id="174" w:author="Shawn McMurtrey" w:date="2022-09-22T22:30:00Z">
        <w:r>
          <w:rPr>
            <w:b/>
            <w:bCs/>
            <w:sz w:val="24"/>
            <w:szCs w:val="24"/>
            <w:highlight w:val="white"/>
          </w:rPr>
          <w:delText>Figure 3 and</w:delText>
        </w:r>
      </w:del>
      <w:del w:id="175" w:author="Shawn McMurtrey" w:date="2022-09-22T22:26:00Z">
        <w:r>
          <w:rPr>
            <w:b/>
            <w:bCs/>
            <w:sz w:val="24"/>
            <w:szCs w:val="24"/>
            <w:highlight w:val="white"/>
          </w:rPr>
          <w:delText xml:space="preserve"> Table 3</w:delText>
        </w:r>
      </w:del>
      <w:del w:id="176" w:author="Shawn McMurtrey" w:date="2022-09-22T22:30:00Z">
        <w:r>
          <w:rPr>
            <w:b/>
            <w:bCs/>
            <w:sz w:val="24"/>
            <w:szCs w:val="24"/>
            <w:highlight w:val="white"/>
          </w:rPr>
          <w:delText>)</w:delText>
        </w:r>
      </w:del>
      <w:r>
        <w:rPr>
          <w:sz w:val="24"/>
          <w:szCs w:val="24"/>
          <w:highlight w:val="white"/>
        </w:rPr>
        <w:t>.</w:t>
      </w:r>
      <w:ins w:id="177" w:author="Shawn McMurtrey" w:date="2022-09-22T22:28:00Z">
        <w:r>
          <w:rPr>
            <w:sz w:val="24"/>
            <w:szCs w:val="24"/>
            <w:highlight w:val="white"/>
          </w:rPr>
          <w:t xml:space="preserve"> The </w:t>
        </w:r>
      </w:ins>
      <w:ins w:id="178" w:author="Shawn McMurtrey" w:date="2022-09-22T22:29:00Z">
        <w:r>
          <w:rPr>
            <w:sz w:val="24"/>
            <w:szCs w:val="24"/>
            <w:highlight w:val="white"/>
          </w:rPr>
          <w:t xml:space="preserve">basal area predictions made by the </w:t>
        </w:r>
      </w:ins>
      <w:ins w:id="179" w:author="Shawn McMurtrey" w:date="2022-09-22T22:28:00Z">
        <w:r>
          <w:rPr>
            <w:sz w:val="24"/>
            <w:szCs w:val="24"/>
            <w:highlight w:val="white"/>
          </w:rPr>
          <w:t xml:space="preserve">WRDM was statistically significant </w:t>
        </w:r>
      </w:ins>
      <w:ins w:id="180" w:author="Shawn McMurtrey" w:date="2022-09-22T22:29:00Z">
        <w:r>
          <w:rPr>
            <w:sz w:val="24"/>
            <w:szCs w:val="24"/>
            <w:highlight w:val="white"/>
          </w:rPr>
          <w:t>when compared with observed data for all three treatment areas in 2020</w:t>
        </w:r>
      </w:ins>
      <w:ins w:id="181" w:author="Shawn McMurtrey" w:date="2022-09-22T22:30:00Z">
        <w:r>
          <w:rPr>
            <w:sz w:val="24"/>
            <w:szCs w:val="24"/>
            <w:highlight w:val="white"/>
          </w:rPr>
          <w:t xml:space="preserve"> (Figure 3)</w:t>
        </w:r>
      </w:ins>
      <w:ins w:id="182" w:author="Shawn McMurtrey" w:date="2022-09-22T22:29:00Z">
        <w:r>
          <w:rPr>
            <w:sz w:val="24"/>
            <w:szCs w:val="24"/>
            <w:highlight w:val="white"/>
          </w:rPr>
          <w:t>.</w:t>
        </w:r>
      </w:ins>
      <w:del w:id="183" w:author="Shawn McMurtrey" w:date="2022-09-22T22:28:00Z">
        <w:r>
          <w:rPr>
            <w:sz w:val="24"/>
            <w:szCs w:val="24"/>
            <w:highlight w:val="white"/>
          </w:rPr>
          <w:delText xml:space="preserve"> </w:delText>
        </w:r>
      </w:del>
    </w:p>
    <w:p>
      <w:pPr>
        <w:pStyle w:val="Normal"/>
        <w:spacing w:lineRule="auto" w:line="480"/>
        <w:rPr>
          <w:b/>
          <w:b/>
          <w:sz w:val="24"/>
          <w:szCs w:val="24"/>
        </w:rPr>
      </w:pPr>
      <w:r>
        <w:rPr>
          <w:b/>
          <w:sz w:val="24"/>
          <w:szCs w:val="24"/>
        </w:rPr>
      </w:r>
    </w:p>
    <w:p>
      <w:pPr>
        <w:pStyle w:val="Normal"/>
        <w:spacing w:lineRule="auto" w:line="480"/>
        <w:rPr>
          <w:b/>
          <w:b/>
          <w:sz w:val="24"/>
          <w:szCs w:val="24"/>
        </w:rPr>
      </w:pPr>
      <w:r>
        <w:rPr/>
        <w:commentReference w:id="25"/>
      </w:r>
    </w:p>
    <w:p>
      <w:pPr>
        <w:pStyle w:val="Normal"/>
        <w:spacing w:lineRule="auto" w:line="480"/>
        <w:rPr>
          <w:b/>
          <w:b/>
          <w:sz w:val="24"/>
          <w:szCs w:val="24"/>
        </w:rPr>
      </w:pPr>
      <w:r>
        <w:rPr>
          <w:b/>
          <w:sz w:val="24"/>
          <w:szCs w:val="24"/>
        </w:rPr>
      </w:r>
    </w:p>
    <w:p>
      <w:pPr>
        <w:pStyle w:val="Normal"/>
        <w:spacing w:lineRule="auto" w:line="480"/>
        <w:rPr>
          <w:b/>
          <w:b/>
          <w:sz w:val="24"/>
          <w:szCs w:val="24"/>
        </w:rPr>
      </w:pPr>
      <w:r>
        <w:rPr/>
        <w:drawing>
          <wp:inline distT="0" distB="0" distL="0" distR="0">
            <wp:extent cx="5943600" cy="3390900"/>
            <wp:effectExtent l="0" t="0" r="0" b="0"/>
            <wp:docPr id="5"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7" descr=""/>
                    <pic:cNvPicPr>
                      <a:picLocks noChangeAspect="1" noChangeArrowheads="1"/>
                    </pic:cNvPicPr>
                  </pic:nvPicPr>
                  <pic:blipFill>
                    <a:blip r:embed="rId26"/>
                    <a:stretch>
                      <a:fillRect/>
                    </a:stretch>
                  </pic:blipFill>
                  <pic:spPr bwMode="auto">
                    <a:xfrm>
                      <a:off x="0" y="0"/>
                      <a:ext cx="5943600" cy="3390900"/>
                    </a:xfrm>
                    <a:prstGeom prst="rect">
                      <a:avLst/>
                    </a:prstGeom>
                  </pic:spPr>
                </pic:pic>
              </a:graphicData>
            </a:graphic>
          </wp:inline>
        </w:drawing>
      </w:r>
    </w:p>
    <w:p>
      <w:pPr>
        <w:pStyle w:val="Normal"/>
        <w:spacing w:lineRule="auto" w:line="480"/>
        <w:rPr>
          <w:b/>
          <w:b/>
          <w:sz w:val="24"/>
          <w:szCs w:val="24"/>
        </w:rPr>
      </w:pPr>
      <w:r>
        <w:rPr/>
        <w:drawing>
          <wp:inline distT="0" distB="0" distL="0" distR="0">
            <wp:extent cx="5943600" cy="3390900"/>
            <wp:effectExtent l="0" t="0" r="0" b="0"/>
            <wp:docPr id="6"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6" descr=""/>
                    <pic:cNvPicPr>
                      <a:picLocks noChangeAspect="1" noChangeArrowheads="1"/>
                    </pic:cNvPicPr>
                  </pic:nvPicPr>
                  <pic:blipFill>
                    <a:blip r:embed="rId27"/>
                    <a:stretch>
                      <a:fillRect/>
                    </a:stretch>
                  </pic:blipFill>
                  <pic:spPr bwMode="auto">
                    <a:xfrm>
                      <a:off x="0" y="0"/>
                      <a:ext cx="5943600" cy="3390900"/>
                    </a:xfrm>
                    <a:prstGeom prst="rect">
                      <a:avLst/>
                    </a:prstGeom>
                  </pic:spPr>
                </pic:pic>
              </a:graphicData>
            </a:graphic>
          </wp:inline>
        </w:drawing>
      </w:r>
    </w:p>
    <w:p>
      <w:pPr>
        <w:pStyle w:val="Normal"/>
        <w:spacing w:lineRule="auto" w:line="480"/>
        <w:rPr>
          <w:b/>
          <w:b/>
          <w:sz w:val="24"/>
          <w:szCs w:val="24"/>
        </w:rPr>
      </w:pPr>
      <w:commentRangeStart w:id="26"/>
      <w:commentRangeStart w:id="27"/>
      <w:commentRangeStart w:id="28"/>
      <w:r>
        <w:rPr/>
        <w:drawing>
          <wp:inline distT="0" distB="0" distL="0" distR="0">
            <wp:extent cx="5943600" cy="3390900"/>
            <wp:effectExtent l="0" t="0" r="0" b="0"/>
            <wp:docPr id="7"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 descr=""/>
                    <pic:cNvPicPr>
                      <a:picLocks noChangeAspect="1" noChangeArrowheads="1"/>
                    </pic:cNvPicPr>
                  </pic:nvPicPr>
                  <pic:blipFill>
                    <a:blip r:embed="rId28"/>
                    <a:stretch>
                      <a:fillRect/>
                    </a:stretch>
                  </pic:blipFill>
                  <pic:spPr bwMode="auto">
                    <a:xfrm>
                      <a:off x="0" y="0"/>
                      <a:ext cx="5943600" cy="3390900"/>
                    </a:xfrm>
                    <a:prstGeom prst="rect">
                      <a:avLst/>
                    </a:prstGeom>
                  </pic:spPr>
                </pic:pic>
              </a:graphicData>
            </a:graphic>
          </wp:inline>
        </w:drawing>
      </w:r>
      <w:r>
        <w:rPr/>
      </w:r>
      <w:commentRangeEnd w:id="28"/>
      <w:r>
        <w:commentReference w:id="28"/>
      </w:r>
      <w:r>
        <w:rPr/>
      </w:r>
      <w:commentRangeEnd w:id="27"/>
      <w:r>
        <w:commentReference w:id="27"/>
      </w:r>
      <w:commentRangeEnd w:id="26"/>
      <w:r>
        <w:commentReference w:id="26"/>
      </w:r>
      <w:r>
        <w:rPr/>
      </w:r>
    </w:p>
    <w:p>
      <w:pPr>
        <w:pStyle w:val="Normal"/>
        <w:spacing w:lineRule="auto" w:line="480"/>
        <w:rPr>
          <w:b/>
          <w:b/>
          <w:sz w:val="24"/>
          <w:szCs w:val="24"/>
        </w:rPr>
      </w:pPr>
      <w:r>
        <w:rPr/>
        <w:drawing>
          <wp:inline distT="0" distB="0" distL="0" distR="0">
            <wp:extent cx="5943600" cy="3067050"/>
            <wp:effectExtent l="0" t="0" r="0" b="0"/>
            <wp:docPr id="8"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3" descr=""/>
                    <pic:cNvPicPr>
                      <a:picLocks noChangeAspect="1" noChangeArrowheads="1"/>
                    </pic:cNvPicPr>
                  </pic:nvPicPr>
                  <pic:blipFill>
                    <a:blip r:embed="rId29"/>
                    <a:stretch>
                      <a:fillRect/>
                    </a:stretch>
                  </pic:blipFill>
                  <pic:spPr bwMode="auto">
                    <a:xfrm>
                      <a:off x="0" y="0"/>
                      <a:ext cx="5943600" cy="3067050"/>
                    </a:xfrm>
                    <a:prstGeom prst="rect">
                      <a:avLst/>
                    </a:prstGeom>
                  </pic:spPr>
                </pic:pic>
              </a:graphicData>
            </a:graphic>
          </wp:inline>
        </w:drawing>
      </w:r>
    </w:p>
    <w:p>
      <w:pPr>
        <w:pStyle w:val="Normal"/>
        <w:spacing w:lineRule="auto" w:line="480"/>
        <w:rPr>
          <w:b/>
          <w:b/>
          <w:sz w:val="24"/>
          <w:szCs w:val="24"/>
          <w:ins w:id="185" w:author="Shawn McMurtrey" w:date="2022-08-15T05:43:00Z"/>
        </w:rPr>
      </w:pPr>
      <w:ins w:id="184" w:author="Shawn McMurtrey" w:date="2022-08-15T05:43:00Z">
        <w:r>
          <w:rPr>
            <w:b/>
            <w:sz w:val="24"/>
            <w:szCs w:val="24"/>
          </w:rPr>
        </w:r>
      </w:ins>
    </w:p>
    <w:p>
      <w:pPr>
        <w:sectPr>
          <w:headerReference w:type="default" r:id="rId30"/>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20480"/>
        </w:sectPr>
        <w:pStyle w:val="Normal"/>
        <w:spacing w:lineRule="auto" w:line="480"/>
        <w:rPr>
          <w:sz w:val="24"/>
          <w:szCs w:val="24"/>
        </w:rPr>
      </w:pPr>
      <w:r>
        <w:rPr>
          <w:b/>
          <w:sz w:val="24"/>
          <w:szCs w:val="24"/>
        </w:rPr>
        <w:t>Figure 3:</w:t>
      </w:r>
      <w:r>
        <w:rPr>
          <w:sz w:val="24"/>
          <w:szCs w:val="24"/>
        </w:rPr>
        <w:t xml:space="preserve"> Definitive data compared with modelled data depicting mean basal area of the 15 stands. A = </w:t>
      </w:r>
      <w:ins w:id="186" w:author="Shawn McMurtrey" w:date="2022-08-15T05:48:00Z">
        <w:r>
          <w:rPr>
            <w:sz w:val="24"/>
            <w:szCs w:val="24"/>
          </w:rPr>
          <w:t>unthinned</w:t>
        </w:r>
      </w:ins>
      <w:r>
        <w:rPr>
          <w:sz w:val="24"/>
          <w:szCs w:val="24"/>
        </w:rPr>
        <w:t xml:space="preserve"> stands, B = </w:t>
      </w:r>
      <w:ins w:id="187" w:author="Shawn McMurtrey" w:date="2022-08-15T05:49:00Z">
        <w:r>
          <w:rPr>
            <w:sz w:val="24"/>
            <w:szCs w:val="24"/>
          </w:rPr>
          <w:t>light</w:t>
        </w:r>
      </w:ins>
      <w:r>
        <w:rPr>
          <w:sz w:val="24"/>
          <w:szCs w:val="24"/>
        </w:rPr>
        <w:t>ly</w:t>
      </w:r>
      <w:ins w:id="188" w:author="Shawn McMurtrey" w:date="2022-08-15T05:49:00Z">
        <w:r>
          <w:rPr>
            <w:sz w:val="24"/>
            <w:szCs w:val="24"/>
          </w:rPr>
          <w:t xml:space="preserve"> thin</w:t>
        </w:r>
      </w:ins>
      <w:r>
        <w:rPr>
          <w:sz w:val="24"/>
          <w:szCs w:val="24"/>
        </w:rPr>
        <w:t xml:space="preserve">ned stands, C = </w:t>
      </w:r>
      <w:ins w:id="189" w:author="Shawn McMurtrey" w:date="2022-08-15T05:49:00Z">
        <w:r>
          <w:rPr>
            <w:sz w:val="24"/>
            <w:szCs w:val="24"/>
          </w:rPr>
          <w:t>thinned</w:t>
        </w:r>
      </w:ins>
      <w:r>
        <w:rPr>
          <w:sz w:val="24"/>
          <w:szCs w:val="24"/>
        </w:rPr>
        <w:t xml:space="preserve"> stands. </w:t>
      </w:r>
      <w:ins w:id="190" w:author="Shawn McMurtrey" w:date="2022-08-15T05:52:00Z">
        <w:r>
          <w:rPr>
            <w:sz w:val="24"/>
            <w:szCs w:val="24"/>
          </w:rPr>
          <w:t>Error bars are representative of the standard error.</w:t>
        </w:r>
      </w:ins>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4</w:t>
      </w:r>
      <w:r>
        <w:rPr>
          <w:sz w:val="24"/>
          <w:szCs w:val="24"/>
        </w:rPr>
        <w:t xml:space="preserve">: </w:t>
      </w:r>
      <w:del w:id="191" w:author="Shawn McMurtrey" w:date="2022-09-11T19:07:00Z">
        <w:r>
          <w:rPr>
            <w:sz w:val="24"/>
            <w:szCs w:val="24"/>
          </w:rPr>
          <w:delText>I</w:delText>
        </w:r>
      </w:del>
      <w:r>
        <w:rPr>
          <w:sz w:val="24"/>
          <w:szCs w:val="24"/>
        </w:rPr>
        <w:t xml:space="preserve">Stand level summary statistics for the Apiary study. SE = standard error.  </w:t>
      </w:r>
    </w:p>
    <w:tbl>
      <w:tblPr>
        <w:tblW w:w="1467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896"/>
        <w:gridCol w:w="747"/>
        <w:gridCol w:w="604"/>
        <w:gridCol w:w="631"/>
        <w:gridCol w:w="660"/>
        <w:gridCol w:w="632"/>
        <w:gridCol w:w="79"/>
        <w:gridCol w:w="609"/>
        <w:gridCol w:w="635"/>
        <w:gridCol w:w="634"/>
        <w:gridCol w:w="628"/>
        <w:gridCol w:w="91"/>
        <w:gridCol w:w="629"/>
        <w:gridCol w:w="631"/>
        <w:gridCol w:w="632"/>
        <w:gridCol w:w="627"/>
        <w:gridCol w:w="91"/>
        <w:gridCol w:w="632"/>
        <w:gridCol w:w="632"/>
        <w:gridCol w:w="628"/>
        <w:gridCol w:w="631"/>
        <w:gridCol w:w="91"/>
        <w:gridCol w:w="628"/>
        <w:gridCol w:w="632"/>
        <w:gridCol w:w="628"/>
        <w:gridCol w:w="708"/>
      </w:tblGrid>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47" w:type="dxa"/>
            <w:tcBorders>
              <w:top w:val="single" w:sz="4" w:space="0" w:color="000000"/>
            </w:tcBorders>
            <w:vAlign w:val="bottom"/>
          </w:tcPr>
          <w:p>
            <w:pPr>
              <w:pStyle w:val="Normal"/>
              <w:widowControl w:val="false"/>
              <w:rPr>
                <w:sz w:val="20"/>
                <w:szCs w:val="20"/>
              </w:rPr>
            </w:pPr>
            <w:r>
              <w:rPr>
                <w:sz w:val="20"/>
                <w:szCs w:val="20"/>
              </w:rPr>
            </w:r>
          </w:p>
        </w:tc>
        <w:tc>
          <w:tcPr>
            <w:tcW w:w="2527"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Red Alder</w:t>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2506"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Cottonwood</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19"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Red Alder</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3"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Cottonwood</w:t>
            </w:r>
          </w:p>
        </w:tc>
        <w:tc>
          <w:tcPr>
            <w:tcW w:w="91" w:type="dxa"/>
            <w:tcBorders>
              <w:top w:val="single" w:sz="4" w:space="0" w:color="000000"/>
            </w:tcBorders>
            <w:vAlign w:val="center"/>
          </w:tcPr>
          <w:p>
            <w:pPr>
              <w:pStyle w:val="Normal"/>
              <w:widowControl w:val="false"/>
              <w:rPr>
                <w:sz w:val="20"/>
                <w:szCs w:val="20"/>
              </w:rPr>
            </w:pPr>
            <w:r>
              <w:rPr>
                <w:sz w:val="20"/>
                <w:szCs w:val="20"/>
              </w:rPr>
            </w:r>
          </w:p>
        </w:tc>
        <w:tc>
          <w:tcPr>
            <w:tcW w:w="2596" w:type="dxa"/>
            <w:gridSpan w:val="4"/>
            <w:tcBorders>
              <w:top w:val="single" w:sz="4" w:space="0" w:color="000000"/>
              <w:bottom w:val="single" w:sz="4" w:space="0" w:color="000000"/>
            </w:tcBorders>
            <w:vAlign w:val="center"/>
          </w:tcPr>
          <w:p>
            <w:pPr>
              <w:pStyle w:val="Normal"/>
              <w:widowControl w:val="false"/>
              <w:rPr>
                <w:sz w:val="20"/>
                <w:szCs w:val="20"/>
              </w:rPr>
            </w:pPr>
            <w:r>
              <w:rPr>
                <w:b/>
                <w:sz w:val="20"/>
                <w:szCs w:val="20"/>
              </w:rPr>
              <w:t>Immediate Douglas-fir</w:t>
            </w:r>
          </w:p>
        </w:tc>
      </w:tr>
      <w:tr>
        <w:trPr>
          <w:trHeight w:val="256" w:hRule="atLeast"/>
        </w:trPr>
        <w:tc>
          <w:tcPr>
            <w:tcW w:w="896" w:type="dxa"/>
            <w:vMerge w:val="restart"/>
            <w:tcBorders/>
            <w:vAlign w:val="bottom"/>
          </w:tcPr>
          <w:p>
            <w:pPr>
              <w:pStyle w:val="Normal"/>
              <w:widowControl w:val="false"/>
              <w:jc w:val="center"/>
              <w:rPr>
                <w:b/>
                <w:b/>
                <w:sz w:val="20"/>
                <w:szCs w:val="20"/>
              </w:rPr>
            </w:pPr>
            <w:r>
              <w:rPr>
                <w:b/>
                <w:sz w:val="20"/>
                <w:szCs w:val="20"/>
              </w:rPr>
              <w:t xml:space="preserve">Live </w:t>
              <w:br/>
              <w:t>stems</w:t>
            </w:r>
          </w:p>
          <w:p>
            <w:pPr>
              <w:pStyle w:val="Normal"/>
              <w:widowControl w:val="false"/>
              <w:jc w:val="center"/>
              <w:rPr>
                <w:b/>
                <w:b/>
                <w:sz w:val="20"/>
                <w:szCs w:val="20"/>
              </w:rPr>
            </w:pPr>
            <w:r>
              <w:rPr>
                <w:b/>
                <w:sz w:val="20"/>
                <w:szCs w:val="20"/>
              </w:rPr>
            </w:r>
          </w:p>
        </w:tc>
        <w:tc>
          <w:tcPr>
            <w:tcW w:w="747" w:type="dxa"/>
            <w:tcBorders/>
            <w:vAlign w:val="bottom"/>
          </w:tcPr>
          <w:p>
            <w:pPr>
              <w:pStyle w:val="Normal"/>
              <w:widowControl w:val="false"/>
              <w:rPr>
                <w:sz w:val="20"/>
                <w:szCs w:val="20"/>
              </w:rPr>
            </w:pPr>
            <w:r>
              <w:rPr>
                <w:sz w:val="20"/>
                <w:szCs w:val="20"/>
              </w:rPr>
              <w:t>Year</w:t>
            </w:r>
          </w:p>
        </w:tc>
        <w:tc>
          <w:tcPr>
            <w:tcW w:w="604"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60"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2"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1987</w:t>
            </w:r>
          </w:p>
        </w:tc>
        <w:tc>
          <w:tcPr>
            <w:tcW w:w="635"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34"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28"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32" w:type="dxa"/>
            <w:tcBorders>
              <w:top w:val="single" w:sz="4" w:space="0" w:color="000000"/>
            </w:tcBorders>
            <w:vAlign w:val="bottom"/>
          </w:tcPr>
          <w:p>
            <w:pPr>
              <w:pStyle w:val="Normal"/>
              <w:widowControl w:val="false"/>
              <w:jc w:val="right"/>
              <w:rPr>
                <w:sz w:val="20"/>
                <w:szCs w:val="20"/>
              </w:rPr>
            </w:pPr>
            <w:r>
              <w:rPr>
                <w:sz w:val="20"/>
                <w:szCs w:val="20"/>
              </w:rPr>
              <w:t>2011</w:t>
            </w:r>
          </w:p>
        </w:tc>
        <w:tc>
          <w:tcPr>
            <w:tcW w:w="627"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t>1987</w:t>
            </w:r>
          </w:p>
        </w:tc>
        <w:tc>
          <w:tcPr>
            <w:tcW w:w="632" w:type="dxa"/>
            <w:tcBorders>
              <w:top w:val="single" w:sz="4" w:space="0" w:color="000000"/>
            </w:tcBorders>
            <w:vAlign w:val="bottom"/>
          </w:tcPr>
          <w:p>
            <w:pPr>
              <w:pStyle w:val="Normal"/>
              <w:widowControl w:val="false"/>
              <w:jc w:val="right"/>
              <w:rPr>
                <w:sz w:val="20"/>
                <w:szCs w:val="20"/>
              </w:rPr>
            </w:pPr>
            <w:r>
              <w:rPr>
                <w:sz w:val="20"/>
                <w:szCs w:val="20"/>
              </w:rPr>
              <w:t>1995</w:t>
            </w:r>
          </w:p>
        </w:tc>
        <w:tc>
          <w:tcPr>
            <w:tcW w:w="628" w:type="dxa"/>
            <w:tcBorders>
              <w:top w:val="single" w:sz="4" w:space="0" w:color="000000"/>
            </w:tcBorders>
            <w:vAlign w:val="bottom"/>
          </w:tcPr>
          <w:p>
            <w:pPr>
              <w:pStyle w:val="Normal"/>
              <w:widowControl w:val="false"/>
              <w:jc w:val="right"/>
              <w:rPr>
                <w:sz w:val="20"/>
                <w:szCs w:val="20"/>
              </w:rPr>
            </w:pPr>
            <w:r>
              <w:rPr>
                <w:sz w:val="20"/>
                <w:szCs w:val="20"/>
              </w:rPr>
              <w:t>2011</w:t>
            </w:r>
          </w:p>
        </w:tc>
        <w:tc>
          <w:tcPr>
            <w:tcW w:w="631"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1987</w:t>
            </w:r>
          </w:p>
        </w:tc>
        <w:tc>
          <w:tcPr>
            <w:tcW w:w="632" w:type="dxa"/>
            <w:tcBorders>
              <w:top w:val="single" w:sz="4" w:space="0" w:color="000000"/>
            </w:tcBorders>
            <w:vAlign w:val="bottom"/>
          </w:tcPr>
          <w:p>
            <w:pPr>
              <w:pStyle w:val="Normal"/>
              <w:widowControl w:val="false"/>
              <w:jc w:val="right"/>
              <w:rPr>
                <w:sz w:val="20"/>
                <w:szCs w:val="20"/>
              </w:rPr>
            </w:pPr>
            <w:r>
              <w:rPr>
                <w:sz w:val="20"/>
                <w:szCs w:val="20"/>
              </w:rPr>
              <w:t>1995</w:t>
            </w:r>
          </w:p>
        </w:tc>
        <w:tc>
          <w:tcPr>
            <w:tcW w:w="628" w:type="dxa"/>
            <w:tcBorders>
              <w:top w:val="single" w:sz="4" w:space="0" w:color="000000"/>
            </w:tcBorders>
            <w:vAlign w:val="bottom"/>
          </w:tcPr>
          <w:p>
            <w:pPr>
              <w:pStyle w:val="Normal"/>
              <w:widowControl w:val="false"/>
              <w:jc w:val="right"/>
              <w:rPr>
                <w:sz w:val="20"/>
                <w:szCs w:val="20"/>
              </w:rPr>
            </w:pPr>
            <w:r>
              <w:rPr>
                <w:sz w:val="20"/>
                <w:szCs w:val="20"/>
              </w:rPr>
              <w:t>2011</w:t>
            </w:r>
          </w:p>
        </w:tc>
        <w:tc>
          <w:tcPr>
            <w:tcW w:w="708" w:type="dxa"/>
            <w:tcBorders>
              <w:top w:val="single" w:sz="4" w:space="0" w:color="000000"/>
            </w:tcBorders>
            <w:vAlign w:val="bottom"/>
          </w:tcPr>
          <w:p>
            <w:pPr>
              <w:pStyle w:val="Normal"/>
              <w:widowControl w:val="false"/>
              <w:jc w:val="right"/>
              <w:rPr>
                <w:sz w:val="20"/>
                <w:szCs w:val="20"/>
              </w:rPr>
            </w:pPr>
            <w:r>
              <w:rPr>
                <w:sz w:val="20"/>
                <w:szCs w:val="20"/>
              </w:rPr>
              <w:t>2020</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7" w:type="dxa"/>
            <w:tcBorders/>
            <w:vAlign w:val="bottom"/>
          </w:tcPr>
          <w:p>
            <w:pPr>
              <w:pStyle w:val="Normal"/>
              <w:widowControl w:val="false"/>
              <w:rPr>
                <w:sz w:val="20"/>
                <w:szCs w:val="20"/>
              </w:rPr>
            </w:pPr>
            <w:r>
              <w:rPr>
                <w:sz w:val="20"/>
                <w:szCs w:val="20"/>
              </w:rPr>
              <w:t>Age</w:t>
            </w:r>
          </w:p>
        </w:tc>
        <w:tc>
          <w:tcPr>
            <w:tcW w:w="604"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8</w:t>
            </w:r>
          </w:p>
        </w:tc>
        <w:tc>
          <w:tcPr>
            <w:tcW w:w="660" w:type="dxa"/>
            <w:tcBorders>
              <w:bottom w:val="single" w:sz="4" w:space="0" w:color="000000"/>
            </w:tcBorders>
            <w:vAlign w:val="bottom"/>
          </w:tcPr>
          <w:p>
            <w:pPr>
              <w:pStyle w:val="Normal"/>
              <w:widowControl w:val="false"/>
              <w:jc w:val="right"/>
              <w:rPr>
                <w:sz w:val="20"/>
                <w:szCs w:val="20"/>
              </w:rPr>
            </w:pPr>
            <w:r>
              <w:rPr>
                <w:sz w:val="20"/>
                <w:szCs w:val="20"/>
              </w:rPr>
              <w:t>24</w:t>
            </w:r>
          </w:p>
        </w:tc>
        <w:tc>
          <w:tcPr>
            <w:tcW w:w="632" w:type="dxa"/>
            <w:tcBorders>
              <w:bottom w:val="single" w:sz="4" w:space="0" w:color="000000"/>
            </w:tcBorders>
            <w:vAlign w:val="bottom"/>
          </w:tcPr>
          <w:p>
            <w:pPr>
              <w:pStyle w:val="Normal"/>
              <w:widowControl w:val="false"/>
              <w:jc w:val="right"/>
              <w:rPr>
                <w:sz w:val="20"/>
                <w:szCs w:val="20"/>
              </w:rPr>
            </w:pPr>
            <w:r>
              <w:rPr>
                <w:sz w:val="20"/>
                <w:szCs w:val="20"/>
              </w:rPr>
              <w:t>33</w:t>
            </w:r>
          </w:p>
        </w:tc>
        <w:tc>
          <w:tcPr>
            <w:tcW w:w="79" w:type="dxa"/>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w:t>
            </w:r>
          </w:p>
        </w:tc>
        <w:tc>
          <w:tcPr>
            <w:tcW w:w="634" w:type="dxa"/>
            <w:tcBorders>
              <w:bottom w:val="single" w:sz="4" w:space="0" w:color="000000"/>
            </w:tcBorders>
            <w:vAlign w:val="bottom"/>
          </w:tcPr>
          <w:p>
            <w:pPr>
              <w:pStyle w:val="Normal"/>
              <w:widowControl w:val="false"/>
              <w:jc w:val="right"/>
              <w:rPr>
                <w:sz w:val="20"/>
                <w:szCs w:val="20"/>
              </w:rPr>
            </w:pPr>
            <w:r>
              <w:rPr>
                <w:sz w:val="20"/>
                <w:szCs w:val="20"/>
              </w:rPr>
              <w:t>24</w:t>
            </w:r>
          </w:p>
        </w:tc>
        <w:tc>
          <w:tcPr>
            <w:tcW w:w="628" w:type="dxa"/>
            <w:tcBorders>
              <w:bottom w:val="single" w:sz="4" w:space="0" w:color="000000"/>
            </w:tcBorders>
            <w:vAlign w:val="bottom"/>
          </w:tcPr>
          <w:p>
            <w:pPr>
              <w:pStyle w:val="Normal"/>
              <w:widowControl w:val="false"/>
              <w:jc w:val="right"/>
              <w:rPr>
                <w:sz w:val="20"/>
                <w:szCs w:val="20"/>
              </w:rPr>
            </w:pPr>
            <w:r>
              <w:rPr>
                <w:sz w:val="20"/>
                <w:szCs w:val="20"/>
              </w:rPr>
              <w:t>33</w:t>
            </w:r>
          </w:p>
        </w:tc>
        <w:tc>
          <w:tcPr>
            <w:tcW w:w="91"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11</w:t>
            </w:r>
          </w:p>
        </w:tc>
        <w:tc>
          <w:tcPr>
            <w:tcW w:w="627"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11</w:t>
            </w:r>
          </w:p>
        </w:tc>
        <w:tc>
          <w:tcPr>
            <w:tcW w:w="631"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12</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w:t>
            </w:r>
          </w:p>
        </w:tc>
        <w:tc>
          <w:tcPr>
            <w:tcW w:w="708" w:type="dxa"/>
            <w:tcBorders>
              <w:bottom w:val="single" w:sz="4" w:space="0" w:color="000000"/>
            </w:tcBorders>
            <w:vAlign w:val="bottom"/>
          </w:tcPr>
          <w:p>
            <w:pPr>
              <w:pStyle w:val="Normal"/>
              <w:widowControl w:val="false"/>
              <w:jc w:val="right"/>
              <w:rPr>
                <w:sz w:val="20"/>
                <w:szCs w:val="20"/>
              </w:rPr>
            </w:pPr>
            <w:r>
              <w:rPr>
                <w:sz w:val="20"/>
                <w:szCs w:val="20"/>
              </w:rPr>
              <w:t>45</w:t>
            </w:r>
          </w:p>
        </w:tc>
      </w:tr>
      <w:tr>
        <w:trPr>
          <w:trHeight w:val="256" w:hRule="atLeast"/>
        </w:trPr>
        <w:tc>
          <w:tcPr>
            <w:tcW w:w="896" w:type="dxa"/>
            <w:vMerge w:val="continue"/>
            <w:tcBorders/>
            <w:vAlign w:val="center"/>
          </w:tcPr>
          <w:p>
            <w:pPr>
              <w:pStyle w:val="Normal"/>
              <w:widowControl w:val="false"/>
              <w:jc w:val="center"/>
              <w:rPr>
                <w:b/>
                <w:b/>
                <w:sz w:val="20"/>
                <w:szCs w:val="20"/>
              </w:rPr>
            </w:pPr>
            <w:r>
              <w:rPr>
                <w:b/>
                <w:sz w:val="20"/>
                <w:szCs w:val="20"/>
              </w:rPr>
            </w:r>
          </w:p>
        </w:tc>
        <w:tc>
          <w:tcPr>
            <w:tcW w:w="747" w:type="dxa"/>
            <w:tcBorders/>
            <w:vAlign w:val="bottom"/>
          </w:tcPr>
          <w:p>
            <w:pPr>
              <w:pStyle w:val="Normal"/>
              <w:widowControl w:val="false"/>
              <w:rPr>
                <w:sz w:val="20"/>
                <w:szCs w:val="20"/>
              </w:rPr>
            </w:pPr>
            <w:r>
              <w:rPr>
                <w:sz w:val="20"/>
                <w:szCs w:val="20"/>
              </w:rPr>
              <w:t>mean</w:t>
            </w:r>
          </w:p>
        </w:tc>
        <w:tc>
          <w:tcPr>
            <w:tcW w:w="604"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163.0</w:t>
            </w:r>
          </w:p>
        </w:tc>
        <w:tc>
          <w:tcPr>
            <w:tcW w:w="660" w:type="dxa"/>
            <w:tcBorders>
              <w:top w:val="single" w:sz="4" w:space="0" w:color="000000"/>
            </w:tcBorders>
            <w:vAlign w:val="bottom"/>
          </w:tcPr>
          <w:p>
            <w:pPr>
              <w:pStyle w:val="Normal"/>
              <w:widowControl w:val="false"/>
              <w:jc w:val="right"/>
              <w:rPr>
                <w:sz w:val="20"/>
                <w:szCs w:val="20"/>
              </w:rPr>
            </w:pPr>
            <w:r>
              <w:rPr>
                <w:sz w:val="20"/>
                <w:szCs w:val="20"/>
              </w:rPr>
              <w:t>106.7</w:t>
            </w:r>
          </w:p>
        </w:tc>
        <w:tc>
          <w:tcPr>
            <w:tcW w:w="632" w:type="dxa"/>
            <w:tcBorders>
              <w:top w:val="single" w:sz="4" w:space="0" w:color="000000"/>
            </w:tcBorders>
            <w:vAlign w:val="bottom"/>
          </w:tcPr>
          <w:p>
            <w:pPr>
              <w:pStyle w:val="Normal"/>
              <w:widowControl w:val="false"/>
              <w:jc w:val="right"/>
              <w:rPr>
                <w:sz w:val="20"/>
                <w:szCs w:val="20"/>
              </w:rPr>
            </w:pPr>
            <w:r>
              <w:rPr>
                <w:sz w:val="20"/>
                <w:szCs w:val="20"/>
              </w:rPr>
              <w:t>57.0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NA</w:t>
            </w:r>
          </w:p>
        </w:tc>
        <w:tc>
          <w:tcPr>
            <w:tcW w:w="635" w:type="dxa"/>
            <w:tcBorders>
              <w:top w:val="single" w:sz="4" w:space="0" w:color="000000"/>
            </w:tcBorders>
            <w:vAlign w:val="bottom"/>
          </w:tcPr>
          <w:p>
            <w:pPr>
              <w:pStyle w:val="Normal"/>
              <w:widowControl w:val="false"/>
              <w:jc w:val="right"/>
              <w:rPr>
                <w:sz w:val="20"/>
                <w:szCs w:val="20"/>
              </w:rPr>
            </w:pPr>
            <w:r>
              <w:rPr>
                <w:sz w:val="20"/>
                <w:szCs w:val="20"/>
              </w:rPr>
              <w:t>161.4</w:t>
            </w:r>
          </w:p>
        </w:tc>
        <w:tc>
          <w:tcPr>
            <w:tcW w:w="634" w:type="dxa"/>
            <w:tcBorders>
              <w:top w:val="single" w:sz="4" w:space="0" w:color="000000"/>
            </w:tcBorders>
            <w:vAlign w:val="bottom"/>
          </w:tcPr>
          <w:p>
            <w:pPr>
              <w:pStyle w:val="Normal"/>
              <w:widowControl w:val="false"/>
              <w:jc w:val="right"/>
              <w:rPr>
                <w:sz w:val="20"/>
                <w:szCs w:val="20"/>
              </w:rPr>
            </w:pPr>
            <w:r>
              <w:rPr>
                <w:sz w:val="20"/>
                <w:szCs w:val="20"/>
              </w:rPr>
              <w:t>127.0</w:t>
            </w:r>
          </w:p>
        </w:tc>
        <w:tc>
          <w:tcPr>
            <w:tcW w:w="628" w:type="dxa"/>
            <w:tcBorders>
              <w:top w:val="single" w:sz="4" w:space="0" w:color="000000"/>
            </w:tcBorders>
            <w:vAlign w:val="bottom"/>
          </w:tcPr>
          <w:p>
            <w:pPr>
              <w:pStyle w:val="Normal"/>
              <w:widowControl w:val="false"/>
              <w:jc w:val="right"/>
              <w:rPr>
                <w:sz w:val="20"/>
                <w:szCs w:val="20"/>
              </w:rPr>
            </w:pPr>
            <w:r>
              <w:rPr>
                <w:sz w:val="20"/>
                <w:szCs w:val="20"/>
              </w:rPr>
              <w:t>74.6</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131.6</w:t>
            </w:r>
          </w:p>
        </w:tc>
        <w:tc>
          <w:tcPr>
            <w:tcW w:w="627" w:type="dxa"/>
            <w:tcBorders>
              <w:top w:val="single" w:sz="4" w:space="0" w:color="000000"/>
            </w:tcBorders>
            <w:vAlign w:val="bottom"/>
          </w:tcPr>
          <w:p>
            <w:pPr>
              <w:pStyle w:val="Normal"/>
              <w:widowControl w:val="false"/>
              <w:jc w:val="right"/>
              <w:rPr>
                <w:sz w:val="20"/>
                <w:szCs w:val="20"/>
              </w:rPr>
            </w:pPr>
            <w:r>
              <w:rPr>
                <w:sz w:val="20"/>
                <w:szCs w:val="20"/>
              </w:rPr>
              <w:t>121.0</w:t>
            </w:r>
          </w:p>
        </w:tc>
        <w:tc>
          <w:tcPr>
            <w:tcW w:w="91" w:type="dxa"/>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NA</w:t>
            </w:r>
          </w:p>
        </w:tc>
        <w:tc>
          <w:tcPr>
            <w:tcW w:w="628" w:type="dxa"/>
            <w:tcBorders>
              <w:top w:val="single" w:sz="4" w:space="0" w:color="000000"/>
            </w:tcBorders>
            <w:vAlign w:val="bottom"/>
          </w:tcPr>
          <w:p>
            <w:pPr>
              <w:pStyle w:val="Normal"/>
              <w:widowControl w:val="false"/>
              <w:jc w:val="right"/>
              <w:rPr>
                <w:sz w:val="20"/>
                <w:szCs w:val="20"/>
              </w:rPr>
            </w:pPr>
            <w:r>
              <w:rPr>
                <w:sz w:val="20"/>
                <w:szCs w:val="20"/>
              </w:rPr>
              <w:t>164.8</w:t>
            </w:r>
          </w:p>
        </w:tc>
        <w:tc>
          <w:tcPr>
            <w:tcW w:w="631" w:type="dxa"/>
            <w:tcBorders>
              <w:top w:val="single" w:sz="4" w:space="0" w:color="000000"/>
            </w:tcBorders>
            <w:vAlign w:val="bottom"/>
          </w:tcPr>
          <w:p>
            <w:pPr>
              <w:pStyle w:val="Normal"/>
              <w:widowControl w:val="false"/>
              <w:jc w:val="right"/>
              <w:rPr>
                <w:sz w:val="20"/>
                <w:szCs w:val="20"/>
              </w:rPr>
            </w:pPr>
            <w:r>
              <w:rPr>
                <w:sz w:val="20"/>
                <w:szCs w:val="20"/>
              </w:rPr>
              <w:t>132.6</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157.6</w:t>
            </w:r>
          </w:p>
        </w:tc>
        <w:tc>
          <w:tcPr>
            <w:tcW w:w="632" w:type="dxa"/>
            <w:tcBorders>
              <w:top w:val="single" w:sz="4" w:space="0" w:color="000000"/>
            </w:tcBorders>
            <w:vAlign w:val="bottom"/>
          </w:tcPr>
          <w:p>
            <w:pPr>
              <w:pStyle w:val="Normal"/>
              <w:widowControl w:val="false"/>
              <w:jc w:val="right"/>
              <w:rPr>
                <w:sz w:val="20"/>
                <w:szCs w:val="20"/>
              </w:rPr>
            </w:pPr>
            <w:r>
              <w:rPr>
                <w:sz w:val="20"/>
                <w:szCs w:val="20"/>
              </w:rPr>
              <w:t>NA</w:t>
            </w:r>
          </w:p>
        </w:tc>
        <w:tc>
          <w:tcPr>
            <w:tcW w:w="628" w:type="dxa"/>
            <w:tcBorders>
              <w:top w:val="single" w:sz="4" w:space="0" w:color="000000"/>
            </w:tcBorders>
            <w:vAlign w:val="bottom"/>
          </w:tcPr>
          <w:p>
            <w:pPr>
              <w:pStyle w:val="Normal"/>
              <w:widowControl w:val="false"/>
              <w:jc w:val="right"/>
              <w:rPr>
                <w:sz w:val="20"/>
                <w:szCs w:val="20"/>
              </w:rPr>
            </w:pPr>
            <w:r>
              <w:rPr>
                <w:sz w:val="20"/>
                <w:szCs w:val="20"/>
              </w:rPr>
              <w:t>73.2</w:t>
            </w:r>
          </w:p>
        </w:tc>
        <w:tc>
          <w:tcPr>
            <w:tcW w:w="708" w:type="dxa"/>
            <w:tcBorders>
              <w:top w:val="single" w:sz="4" w:space="0" w:color="000000"/>
            </w:tcBorders>
            <w:vAlign w:val="bottom"/>
          </w:tcPr>
          <w:p>
            <w:pPr>
              <w:pStyle w:val="Normal"/>
              <w:widowControl w:val="false"/>
              <w:jc w:val="right"/>
              <w:rPr>
                <w:sz w:val="20"/>
                <w:szCs w:val="20"/>
              </w:rPr>
            </w:pPr>
            <w:r>
              <w:rPr>
                <w:sz w:val="20"/>
                <w:szCs w:val="20"/>
              </w:rPr>
              <w:t>55.6</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7" w:type="dxa"/>
            <w:tcBorders/>
            <w:vAlign w:val="bottom"/>
          </w:tcPr>
          <w:p>
            <w:pPr>
              <w:pStyle w:val="Normal"/>
              <w:widowControl w:val="false"/>
              <w:rPr>
                <w:sz w:val="20"/>
                <w:szCs w:val="20"/>
              </w:rPr>
            </w:pPr>
            <w:r>
              <w:rPr>
                <w:sz w:val="20"/>
                <w:szCs w:val="20"/>
              </w:rPr>
              <w:t>SE</w:t>
            </w:r>
          </w:p>
        </w:tc>
        <w:tc>
          <w:tcPr>
            <w:tcW w:w="604"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2.6</w:t>
            </w:r>
          </w:p>
        </w:tc>
        <w:tc>
          <w:tcPr>
            <w:tcW w:w="660" w:type="dxa"/>
            <w:tcBorders/>
            <w:vAlign w:val="bottom"/>
          </w:tcPr>
          <w:p>
            <w:pPr>
              <w:pStyle w:val="Normal"/>
              <w:widowControl w:val="false"/>
              <w:jc w:val="right"/>
              <w:rPr>
                <w:sz w:val="20"/>
                <w:szCs w:val="20"/>
              </w:rPr>
            </w:pPr>
            <w:r>
              <w:rPr>
                <w:sz w:val="20"/>
                <w:szCs w:val="20"/>
              </w:rPr>
              <w:t>5.6</w:t>
            </w:r>
          </w:p>
        </w:tc>
        <w:tc>
          <w:tcPr>
            <w:tcW w:w="632" w:type="dxa"/>
            <w:tcBorders/>
            <w:vAlign w:val="bottom"/>
          </w:tcPr>
          <w:p>
            <w:pPr>
              <w:pStyle w:val="Normal"/>
              <w:widowControl w:val="false"/>
              <w:jc w:val="right"/>
              <w:rPr>
                <w:sz w:val="20"/>
                <w:szCs w:val="20"/>
              </w:rPr>
            </w:pPr>
            <w:r>
              <w:rPr>
                <w:sz w:val="20"/>
                <w:szCs w:val="20"/>
              </w:rPr>
              <w:t>1.5</w:t>
            </w:r>
          </w:p>
        </w:tc>
        <w:tc>
          <w:tcPr>
            <w:tcW w:w="79" w:type="dxa"/>
            <w:tcBorders/>
            <w:vAlign w:val="bottom"/>
          </w:tcPr>
          <w:p>
            <w:pPr>
              <w:pStyle w:val="Normal"/>
              <w:widowControl w:val="false"/>
              <w:jc w:val="right"/>
              <w:rPr>
                <w:sz w:val="20"/>
                <w:szCs w:val="20"/>
              </w:rPr>
            </w:pPr>
            <w:r>
              <w:rPr>
                <w:sz w:val="20"/>
                <w:szCs w:val="20"/>
              </w:rPr>
            </w:r>
          </w:p>
        </w:tc>
        <w:tc>
          <w:tcPr>
            <w:tcW w:w="609" w:type="dxa"/>
            <w:tcBorders/>
            <w:vAlign w:val="bottom"/>
          </w:tcPr>
          <w:p>
            <w:pPr>
              <w:pStyle w:val="Normal"/>
              <w:widowControl w:val="false"/>
              <w:jc w:val="right"/>
              <w:rPr>
                <w:sz w:val="20"/>
                <w:szCs w:val="20"/>
              </w:rPr>
            </w:pPr>
            <w:r>
              <w:rPr>
                <w:sz w:val="20"/>
                <w:szCs w:val="20"/>
              </w:rPr>
              <w:t>NA</w:t>
            </w:r>
          </w:p>
        </w:tc>
        <w:tc>
          <w:tcPr>
            <w:tcW w:w="635" w:type="dxa"/>
            <w:tcBorders/>
            <w:vAlign w:val="bottom"/>
          </w:tcPr>
          <w:p>
            <w:pPr>
              <w:pStyle w:val="Normal"/>
              <w:widowControl w:val="false"/>
              <w:jc w:val="right"/>
              <w:rPr>
                <w:sz w:val="20"/>
                <w:szCs w:val="20"/>
              </w:rPr>
            </w:pPr>
            <w:r>
              <w:rPr>
                <w:sz w:val="20"/>
                <w:szCs w:val="20"/>
              </w:rPr>
              <w:t>2.7</w:t>
            </w:r>
          </w:p>
        </w:tc>
        <w:tc>
          <w:tcPr>
            <w:tcW w:w="634" w:type="dxa"/>
            <w:tcBorders/>
            <w:vAlign w:val="bottom"/>
          </w:tcPr>
          <w:p>
            <w:pPr>
              <w:pStyle w:val="Normal"/>
              <w:widowControl w:val="false"/>
              <w:jc w:val="right"/>
              <w:rPr>
                <w:sz w:val="20"/>
                <w:szCs w:val="20"/>
              </w:rPr>
            </w:pPr>
            <w:r>
              <w:rPr>
                <w:sz w:val="20"/>
                <w:szCs w:val="20"/>
              </w:rPr>
              <w:t>5.8</w:t>
            </w:r>
          </w:p>
        </w:tc>
        <w:tc>
          <w:tcPr>
            <w:tcW w:w="628" w:type="dxa"/>
            <w:tcBorders/>
            <w:vAlign w:val="bottom"/>
          </w:tcPr>
          <w:p>
            <w:pPr>
              <w:pStyle w:val="Normal"/>
              <w:widowControl w:val="false"/>
              <w:jc w:val="right"/>
              <w:rPr>
                <w:sz w:val="20"/>
                <w:szCs w:val="20"/>
              </w:rPr>
            </w:pPr>
            <w:r>
              <w:rPr>
                <w:sz w:val="20"/>
                <w:szCs w:val="20"/>
              </w:rPr>
              <w:t>6.9</w:t>
            </w:r>
          </w:p>
        </w:tc>
        <w:tc>
          <w:tcPr>
            <w:tcW w:w="91"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11.7</w:t>
            </w:r>
          </w:p>
        </w:tc>
        <w:tc>
          <w:tcPr>
            <w:tcW w:w="627" w:type="dxa"/>
            <w:tcBorders/>
            <w:vAlign w:val="bottom"/>
          </w:tcPr>
          <w:p>
            <w:pPr>
              <w:pStyle w:val="Normal"/>
              <w:widowControl w:val="false"/>
              <w:jc w:val="right"/>
              <w:rPr>
                <w:sz w:val="20"/>
                <w:szCs w:val="20"/>
              </w:rPr>
            </w:pPr>
            <w:r>
              <w:rPr>
                <w:sz w:val="20"/>
                <w:szCs w:val="20"/>
              </w:rPr>
              <w:t>10.2</w:t>
            </w:r>
          </w:p>
        </w:tc>
        <w:tc>
          <w:tcPr>
            <w:tcW w:w="91" w:type="dxa"/>
            <w:tcBorders/>
            <w:vAlign w:val="bottom"/>
          </w:tcPr>
          <w:p>
            <w:pPr>
              <w:pStyle w:val="Normal"/>
              <w:widowControl w:val="false"/>
              <w:jc w:val="right"/>
              <w:rPr>
                <w:sz w:val="20"/>
                <w:szCs w:val="20"/>
              </w:rPr>
            </w:pPr>
            <w:r>
              <w:rPr>
                <w:sz w:val="20"/>
                <w:szCs w:val="20"/>
              </w:rPr>
            </w:r>
          </w:p>
        </w:tc>
        <w:tc>
          <w:tcPr>
            <w:tcW w:w="632"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NA</w:t>
            </w:r>
          </w:p>
        </w:tc>
        <w:tc>
          <w:tcPr>
            <w:tcW w:w="628" w:type="dxa"/>
            <w:tcBorders/>
            <w:vAlign w:val="bottom"/>
          </w:tcPr>
          <w:p>
            <w:pPr>
              <w:pStyle w:val="Normal"/>
              <w:widowControl w:val="false"/>
              <w:jc w:val="right"/>
              <w:rPr>
                <w:sz w:val="20"/>
                <w:szCs w:val="20"/>
              </w:rPr>
            </w:pPr>
            <w:r>
              <w:rPr>
                <w:sz w:val="20"/>
                <w:szCs w:val="20"/>
              </w:rPr>
              <w:t>9.7</w:t>
            </w:r>
          </w:p>
        </w:tc>
        <w:tc>
          <w:tcPr>
            <w:tcW w:w="631" w:type="dxa"/>
            <w:tcBorders/>
            <w:vAlign w:val="bottom"/>
          </w:tcPr>
          <w:p>
            <w:pPr>
              <w:pStyle w:val="Normal"/>
              <w:widowControl w:val="false"/>
              <w:jc w:val="right"/>
              <w:rPr>
                <w:sz w:val="20"/>
                <w:szCs w:val="20"/>
              </w:rPr>
            </w:pPr>
            <w:r>
              <w:rPr>
                <w:sz w:val="20"/>
                <w:szCs w:val="20"/>
              </w:rPr>
              <w:t>5.6</w:t>
            </w:r>
          </w:p>
        </w:tc>
        <w:tc>
          <w:tcPr>
            <w:tcW w:w="91" w:type="dxa"/>
            <w:tcBorders/>
            <w:vAlign w:val="bottom"/>
          </w:tcPr>
          <w:p>
            <w:pPr>
              <w:pStyle w:val="Normal"/>
              <w:widowControl w:val="false"/>
              <w:jc w:val="right"/>
              <w:rPr>
                <w:sz w:val="20"/>
                <w:szCs w:val="20"/>
              </w:rPr>
            </w:pPr>
            <w:r>
              <w:rPr>
                <w:sz w:val="20"/>
                <w:szCs w:val="20"/>
              </w:rPr>
            </w:r>
          </w:p>
        </w:tc>
        <w:tc>
          <w:tcPr>
            <w:tcW w:w="628" w:type="dxa"/>
            <w:tcBorders/>
            <w:vAlign w:val="bottom"/>
          </w:tcPr>
          <w:p>
            <w:pPr>
              <w:pStyle w:val="Normal"/>
              <w:widowControl w:val="false"/>
              <w:jc w:val="right"/>
              <w:rPr>
                <w:sz w:val="20"/>
                <w:szCs w:val="20"/>
              </w:rPr>
            </w:pPr>
            <w:r>
              <w:rPr>
                <w:sz w:val="20"/>
                <w:szCs w:val="20"/>
              </w:rPr>
              <w:t>7.7</w:t>
            </w:r>
          </w:p>
        </w:tc>
        <w:tc>
          <w:tcPr>
            <w:tcW w:w="632" w:type="dxa"/>
            <w:tcBorders/>
            <w:vAlign w:val="bottom"/>
          </w:tcPr>
          <w:p>
            <w:pPr>
              <w:pStyle w:val="Normal"/>
              <w:widowControl w:val="false"/>
              <w:jc w:val="right"/>
              <w:rPr>
                <w:sz w:val="20"/>
                <w:szCs w:val="20"/>
              </w:rPr>
            </w:pPr>
            <w:r>
              <w:rPr>
                <w:sz w:val="20"/>
                <w:szCs w:val="20"/>
              </w:rPr>
              <w:t>NA</w:t>
            </w:r>
          </w:p>
        </w:tc>
        <w:tc>
          <w:tcPr>
            <w:tcW w:w="628" w:type="dxa"/>
            <w:tcBorders/>
            <w:vAlign w:val="bottom"/>
          </w:tcPr>
          <w:p>
            <w:pPr>
              <w:pStyle w:val="Normal"/>
              <w:widowControl w:val="false"/>
              <w:jc w:val="right"/>
              <w:rPr>
                <w:sz w:val="20"/>
                <w:szCs w:val="20"/>
              </w:rPr>
            </w:pPr>
            <w:r>
              <w:rPr>
                <w:sz w:val="20"/>
                <w:szCs w:val="20"/>
              </w:rPr>
              <w:t>4.5</w:t>
            </w:r>
          </w:p>
        </w:tc>
        <w:tc>
          <w:tcPr>
            <w:tcW w:w="708" w:type="dxa"/>
            <w:tcBorders/>
            <w:vAlign w:val="bottom"/>
          </w:tcPr>
          <w:p>
            <w:pPr>
              <w:pStyle w:val="Normal"/>
              <w:widowControl w:val="false"/>
              <w:jc w:val="right"/>
              <w:rPr>
                <w:sz w:val="20"/>
                <w:szCs w:val="20"/>
              </w:rPr>
            </w:pPr>
            <w:r>
              <w:rPr>
                <w:sz w:val="20"/>
                <w:szCs w:val="20"/>
              </w:rPr>
              <w:t>4.1</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7" w:type="dxa"/>
            <w:tcBorders/>
            <w:vAlign w:val="bottom"/>
          </w:tcPr>
          <w:p>
            <w:pPr>
              <w:pStyle w:val="Normal"/>
              <w:widowControl w:val="false"/>
              <w:rPr>
                <w:sz w:val="20"/>
                <w:szCs w:val="20"/>
              </w:rPr>
            </w:pPr>
            <w:r>
              <w:rPr>
                <w:sz w:val="20"/>
                <w:szCs w:val="20"/>
              </w:rPr>
              <w:t>Total</w:t>
            </w:r>
          </w:p>
        </w:tc>
        <w:tc>
          <w:tcPr>
            <w:tcW w:w="604"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489</w:t>
            </w:r>
          </w:p>
        </w:tc>
        <w:tc>
          <w:tcPr>
            <w:tcW w:w="660" w:type="dxa"/>
            <w:tcBorders>
              <w:bottom w:val="single" w:sz="4" w:space="0" w:color="000000"/>
            </w:tcBorders>
            <w:vAlign w:val="bottom"/>
          </w:tcPr>
          <w:p>
            <w:pPr>
              <w:pStyle w:val="Normal"/>
              <w:widowControl w:val="false"/>
              <w:jc w:val="right"/>
              <w:rPr>
                <w:sz w:val="20"/>
                <w:szCs w:val="20"/>
              </w:rPr>
            </w:pPr>
            <w:r>
              <w:rPr>
                <w:sz w:val="20"/>
                <w:szCs w:val="20"/>
              </w:rPr>
              <w:t>320</w:t>
            </w:r>
          </w:p>
        </w:tc>
        <w:tc>
          <w:tcPr>
            <w:tcW w:w="632" w:type="dxa"/>
            <w:tcBorders>
              <w:bottom w:val="single" w:sz="4" w:space="0" w:color="000000"/>
            </w:tcBorders>
            <w:vAlign w:val="bottom"/>
          </w:tcPr>
          <w:p>
            <w:pPr>
              <w:pStyle w:val="Normal"/>
              <w:widowControl w:val="false"/>
              <w:jc w:val="right"/>
              <w:rPr>
                <w:sz w:val="20"/>
                <w:szCs w:val="20"/>
              </w:rPr>
            </w:pPr>
            <w:r>
              <w:rPr>
                <w:sz w:val="20"/>
                <w:szCs w:val="20"/>
              </w:rPr>
              <w:t>171</w:t>
            </w:r>
          </w:p>
        </w:tc>
        <w:tc>
          <w:tcPr>
            <w:tcW w:w="79" w:type="dxa"/>
            <w:tcBorders>
              <w:bottom w:val="single" w:sz="4" w:space="0" w:color="000000"/>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807</w:t>
            </w:r>
          </w:p>
        </w:tc>
        <w:tc>
          <w:tcPr>
            <w:tcW w:w="634" w:type="dxa"/>
            <w:tcBorders>
              <w:bottom w:val="single" w:sz="4" w:space="0" w:color="000000"/>
            </w:tcBorders>
            <w:vAlign w:val="bottom"/>
          </w:tcPr>
          <w:p>
            <w:pPr>
              <w:pStyle w:val="Normal"/>
              <w:widowControl w:val="false"/>
              <w:jc w:val="right"/>
              <w:rPr>
                <w:sz w:val="20"/>
                <w:szCs w:val="20"/>
              </w:rPr>
            </w:pPr>
            <w:r>
              <w:rPr>
                <w:sz w:val="20"/>
                <w:szCs w:val="20"/>
              </w:rPr>
              <w:t>635</w:t>
            </w:r>
          </w:p>
        </w:tc>
        <w:tc>
          <w:tcPr>
            <w:tcW w:w="628" w:type="dxa"/>
            <w:tcBorders>
              <w:bottom w:val="single" w:sz="4" w:space="0" w:color="000000"/>
            </w:tcBorders>
            <w:vAlign w:val="bottom"/>
          </w:tcPr>
          <w:p>
            <w:pPr>
              <w:pStyle w:val="Normal"/>
              <w:widowControl w:val="false"/>
              <w:jc w:val="right"/>
              <w:rPr>
                <w:sz w:val="20"/>
                <w:szCs w:val="20"/>
              </w:rPr>
            </w:pPr>
            <w:r>
              <w:rPr>
                <w:sz w:val="20"/>
                <w:szCs w:val="20"/>
              </w:rPr>
              <w:t>373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658</w:t>
            </w:r>
          </w:p>
        </w:tc>
        <w:tc>
          <w:tcPr>
            <w:tcW w:w="627" w:type="dxa"/>
            <w:tcBorders>
              <w:bottom w:val="single" w:sz="4" w:space="0" w:color="000000"/>
            </w:tcBorders>
            <w:vAlign w:val="bottom"/>
          </w:tcPr>
          <w:p>
            <w:pPr>
              <w:pStyle w:val="Normal"/>
              <w:widowControl w:val="false"/>
              <w:jc w:val="right"/>
              <w:rPr>
                <w:sz w:val="20"/>
                <w:szCs w:val="20"/>
              </w:rPr>
            </w:pPr>
            <w:r>
              <w:rPr>
                <w:sz w:val="20"/>
                <w:szCs w:val="20"/>
              </w:rPr>
              <w:t>605</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824</w:t>
            </w:r>
          </w:p>
        </w:tc>
        <w:tc>
          <w:tcPr>
            <w:tcW w:w="631" w:type="dxa"/>
            <w:tcBorders>
              <w:bottom w:val="single" w:sz="4" w:space="0" w:color="000000"/>
            </w:tcBorders>
            <w:vAlign w:val="bottom"/>
          </w:tcPr>
          <w:p>
            <w:pPr>
              <w:pStyle w:val="Normal"/>
              <w:widowControl w:val="false"/>
              <w:jc w:val="right"/>
              <w:rPr>
                <w:sz w:val="20"/>
                <w:szCs w:val="20"/>
              </w:rPr>
            </w:pPr>
            <w:r>
              <w:rPr>
                <w:sz w:val="20"/>
                <w:szCs w:val="20"/>
              </w:rPr>
              <w:t>663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788</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366</w:t>
            </w:r>
          </w:p>
        </w:tc>
        <w:tc>
          <w:tcPr>
            <w:tcW w:w="708" w:type="dxa"/>
            <w:tcBorders>
              <w:bottom w:val="single" w:sz="4" w:space="0" w:color="000000"/>
            </w:tcBorders>
            <w:vAlign w:val="bottom"/>
          </w:tcPr>
          <w:p>
            <w:pPr>
              <w:pStyle w:val="Normal"/>
              <w:widowControl w:val="false"/>
              <w:jc w:val="right"/>
              <w:rPr>
                <w:sz w:val="20"/>
                <w:szCs w:val="20"/>
              </w:rPr>
            </w:pPr>
            <w:r>
              <w:rPr>
                <w:sz w:val="20"/>
                <w:szCs w:val="20"/>
              </w:rPr>
              <w:t>278</w:t>
            </w:r>
          </w:p>
        </w:tc>
      </w:tr>
      <w:tr>
        <w:trPr>
          <w:trHeight w:val="230" w:hRule="atLeast"/>
        </w:trPr>
        <w:tc>
          <w:tcPr>
            <w:tcW w:w="896" w:type="dxa"/>
            <w:vMerge w:val="restart"/>
            <w:tcBorders>
              <w:bottom w:val="single" w:sz="4" w:space="0" w:color="000000"/>
            </w:tcBorders>
            <w:vAlign w:val="bottom"/>
          </w:tcPr>
          <w:p>
            <w:pPr>
              <w:pStyle w:val="Normal"/>
              <w:widowControl w:val="false"/>
              <w:spacing w:lineRule="auto" w:line="240"/>
              <w:jc w:val="center"/>
              <w:rPr>
                <w:b/>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7" w:type="dxa"/>
            <w:tcBorders/>
          </w:tcPr>
          <w:p>
            <w:pPr>
              <w:pStyle w:val="Normal"/>
              <w:widowControl w:val="false"/>
              <w:rPr>
                <w:sz w:val="24"/>
                <w:szCs w:val="24"/>
              </w:rPr>
            </w:pPr>
            <w:r>
              <w:rPr>
                <w:sz w:val="24"/>
                <w:szCs w:val="24"/>
              </w:rPr>
            </w:r>
          </w:p>
        </w:tc>
        <w:tc>
          <w:tcPr>
            <w:tcW w:w="604"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60"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79" w:type="dxa"/>
            <w:tcBorders/>
          </w:tcPr>
          <w:p>
            <w:pPr>
              <w:pStyle w:val="Normal"/>
              <w:widowControl w:val="false"/>
              <w:rPr>
                <w:sz w:val="24"/>
                <w:szCs w:val="24"/>
              </w:rPr>
            </w:pPr>
            <w:r>
              <w:rPr>
                <w:sz w:val="24"/>
                <w:szCs w:val="24"/>
              </w:rPr>
            </w:r>
          </w:p>
        </w:tc>
        <w:tc>
          <w:tcPr>
            <w:tcW w:w="609" w:type="dxa"/>
            <w:tcBorders/>
          </w:tcPr>
          <w:p>
            <w:pPr>
              <w:pStyle w:val="Normal"/>
              <w:widowControl w:val="false"/>
              <w:rPr>
                <w:sz w:val="24"/>
                <w:szCs w:val="24"/>
              </w:rPr>
            </w:pPr>
            <w:r>
              <w:rPr>
                <w:sz w:val="24"/>
                <w:szCs w:val="24"/>
              </w:rPr>
            </w:r>
          </w:p>
        </w:tc>
        <w:tc>
          <w:tcPr>
            <w:tcW w:w="635" w:type="dxa"/>
            <w:tcBorders/>
          </w:tcPr>
          <w:p>
            <w:pPr>
              <w:pStyle w:val="Normal"/>
              <w:widowControl w:val="false"/>
              <w:rPr>
                <w:sz w:val="24"/>
                <w:szCs w:val="24"/>
              </w:rPr>
            </w:pPr>
            <w:r>
              <w:rPr>
                <w:sz w:val="24"/>
                <w:szCs w:val="24"/>
              </w:rPr>
            </w:r>
          </w:p>
        </w:tc>
        <w:tc>
          <w:tcPr>
            <w:tcW w:w="634"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27"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708" w:type="dxa"/>
            <w:tcBorders/>
          </w:tcPr>
          <w:p>
            <w:pPr>
              <w:pStyle w:val="Normal"/>
              <w:widowControl w:val="false"/>
              <w:rPr>
                <w:sz w:val="24"/>
                <w:szCs w:val="24"/>
              </w:rPr>
            </w:pPr>
            <w:r>
              <w:rPr>
                <w:sz w:val="24"/>
                <w:szCs w:val="24"/>
              </w:rPr>
            </w:r>
          </w:p>
        </w:tc>
      </w:tr>
      <w:tr>
        <w:trPr>
          <w:trHeight w:val="126" w:hRule="atLeast"/>
        </w:trPr>
        <w:tc>
          <w:tcPr>
            <w:tcW w:w="896" w:type="dxa"/>
            <w:vMerge w:val="continue"/>
            <w:tcBorders/>
            <w:vAlign w:val="center"/>
          </w:tcPr>
          <w:p>
            <w:pPr>
              <w:pStyle w:val="Normal"/>
              <w:widowControl w:val="false"/>
              <w:spacing w:lineRule="auto" w:line="240"/>
              <w:jc w:val="center"/>
              <w:rPr>
                <w:sz w:val="20"/>
                <w:szCs w:val="20"/>
              </w:rPr>
            </w:pPr>
            <w:r>
              <w:rPr>
                <w:sz w:val="20"/>
                <w:szCs w:val="20"/>
              </w:rPr>
            </w:r>
          </w:p>
        </w:tc>
        <w:tc>
          <w:tcPr>
            <w:tcW w:w="747" w:type="dxa"/>
            <w:tcBorders/>
            <w:vAlign w:val="bottom"/>
          </w:tcPr>
          <w:p>
            <w:pPr>
              <w:pStyle w:val="Normal"/>
              <w:widowControl w:val="false"/>
              <w:spacing w:lineRule="auto" w:line="240"/>
              <w:rPr>
                <w:sz w:val="20"/>
                <w:szCs w:val="20"/>
              </w:rPr>
            </w:pPr>
            <w:r>
              <w:rPr>
                <w:sz w:val="20"/>
                <w:szCs w:val="20"/>
              </w:rPr>
            </w:r>
          </w:p>
          <w:p>
            <w:pPr>
              <w:pStyle w:val="Normal"/>
              <w:widowControl w:val="false"/>
              <w:spacing w:lineRule="auto" w:line="240"/>
              <w:rPr>
                <w:sz w:val="20"/>
                <w:szCs w:val="20"/>
              </w:rPr>
            </w:pPr>
            <w:r>
              <w:rPr>
                <w:sz w:val="20"/>
                <w:szCs w:val="20"/>
              </w:rPr>
              <w:t>mean</w:t>
            </w:r>
          </w:p>
        </w:tc>
        <w:tc>
          <w:tcPr>
            <w:tcW w:w="604"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4.7</w:t>
            </w:r>
          </w:p>
        </w:tc>
        <w:tc>
          <w:tcPr>
            <w:tcW w:w="660" w:type="dxa"/>
            <w:tcBorders/>
            <w:vAlign w:val="bottom"/>
          </w:tcPr>
          <w:p>
            <w:pPr>
              <w:pStyle w:val="Normal"/>
              <w:widowControl w:val="false"/>
              <w:spacing w:lineRule="auto" w:line="240"/>
              <w:jc w:val="right"/>
              <w:rPr>
                <w:sz w:val="20"/>
                <w:szCs w:val="20"/>
              </w:rPr>
            </w:pPr>
            <w:r>
              <w:rPr>
                <w:sz w:val="20"/>
                <w:szCs w:val="20"/>
              </w:rPr>
              <w:t>33.9</w:t>
            </w:r>
          </w:p>
        </w:tc>
        <w:tc>
          <w:tcPr>
            <w:tcW w:w="632" w:type="dxa"/>
            <w:tcBorders/>
            <w:vAlign w:val="bottom"/>
          </w:tcPr>
          <w:p>
            <w:pPr>
              <w:pStyle w:val="Normal"/>
              <w:widowControl w:val="false"/>
              <w:spacing w:lineRule="auto" w:line="240"/>
              <w:jc w:val="right"/>
              <w:rPr>
                <w:sz w:val="20"/>
                <w:szCs w:val="20"/>
              </w:rPr>
            </w:pPr>
            <w:r>
              <w:rPr>
                <w:sz w:val="20"/>
                <w:szCs w:val="20"/>
              </w:rPr>
              <w:t>33.3</w:t>
            </w:r>
          </w:p>
        </w:tc>
        <w:tc>
          <w:tcPr>
            <w:tcW w:w="79" w:type="dxa"/>
            <w:tcBorders/>
            <w:vAlign w:val="bottom"/>
          </w:tcPr>
          <w:p>
            <w:pPr>
              <w:pStyle w:val="Normal"/>
              <w:widowControl w:val="false"/>
              <w:spacing w:lineRule="auto" w:line="240"/>
              <w:jc w:val="right"/>
              <w:rPr>
                <w:sz w:val="20"/>
                <w:szCs w:val="20"/>
              </w:rPr>
            </w:pPr>
            <w:r>
              <w:rPr>
                <w:sz w:val="20"/>
                <w:szCs w:val="20"/>
              </w:rPr>
            </w:r>
          </w:p>
        </w:tc>
        <w:tc>
          <w:tcPr>
            <w:tcW w:w="609" w:type="dxa"/>
            <w:tcBorders/>
            <w:vAlign w:val="bottom"/>
          </w:tcPr>
          <w:p>
            <w:pPr>
              <w:pStyle w:val="Normal"/>
              <w:widowControl w:val="false"/>
              <w:spacing w:lineRule="auto" w:line="240"/>
              <w:jc w:val="right"/>
              <w:rPr>
                <w:sz w:val="20"/>
                <w:szCs w:val="20"/>
              </w:rPr>
            </w:pPr>
            <w:r>
              <w:rPr>
                <w:sz w:val="20"/>
                <w:szCs w:val="20"/>
              </w:rPr>
              <w:t>NA</w:t>
            </w:r>
          </w:p>
        </w:tc>
        <w:tc>
          <w:tcPr>
            <w:tcW w:w="635" w:type="dxa"/>
            <w:tcBorders/>
            <w:vAlign w:val="bottom"/>
          </w:tcPr>
          <w:p>
            <w:pPr>
              <w:pStyle w:val="Normal"/>
              <w:widowControl w:val="false"/>
              <w:spacing w:lineRule="auto" w:line="240"/>
              <w:jc w:val="right"/>
              <w:rPr>
                <w:sz w:val="20"/>
                <w:szCs w:val="20"/>
              </w:rPr>
            </w:pPr>
            <w:r>
              <w:rPr>
                <w:sz w:val="20"/>
                <w:szCs w:val="20"/>
              </w:rPr>
              <w:t>1.4</w:t>
            </w:r>
          </w:p>
        </w:tc>
        <w:tc>
          <w:tcPr>
            <w:tcW w:w="634" w:type="dxa"/>
            <w:tcBorders/>
            <w:vAlign w:val="bottom"/>
          </w:tcPr>
          <w:p>
            <w:pPr>
              <w:pStyle w:val="Normal"/>
              <w:widowControl w:val="false"/>
              <w:spacing w:lineRule="auto" w:line="240"/>
              <w:jc w:val="right"/>
              <w:rPr>
                <w:sz w:val="20"/>
                <w:szCs w:val="20"/>
              </w:rPr>
            </w:pPr>
            <w:r>
              <w:rPr>
                <w:sz w:val="20"/>
                <w:szCs w:val="20"/>
              </w:rPr>
              <w:t>30.6</w:t>
            </w:r>
          </w:p>
        </w:tc>
        <w:tc>
          <w:tcPr>
            <w:tcW w:w="628" w:type="dxa"/>
            <w:tcBorders/>
            <w:vAlign w:val="bottom"/>
          </w:tcPr>
          <w:p>
            <w:pPr>
              <w:pStyle w:val="Normal"/>
              <w:widowControl w:val="false"/>
              <w:spacing w:lineRule="auto" w:line="240"/>
              <w:jc w:val="right"/>
              <w:rPr>
                <w:sz w:val="20"/>
                <w:szCs w:val="20"/>
              </w:rPr>
            </w:pPr>
            <w:r>
              <w:rPr>
                <w:sz w:val="20"/>
                <w:szCs w:val="20"/>
              </w:rPr>
              <w:t>34.1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10.8</w:t>
            </w:r>
          </w:p>
        </w:tc>
        <w:tc>
          <w:tcPr>
            <w:tcW w:w="627" w:type="dxa"/>
            <w:tcBorders/>
            <w:vAlign w:val="bottom"/>
          </w:tcPr>
          <w:p>
            <w:pPr>
              <w:pStyle w:val="Normal"/>
              <w:widowControl w:val="false"/>
              <w:spacing w:lineRule="auto" w:line="240"/>
              <w:jc w:val="right"/>
              <w:rPr>
                <w:sz w:val="20"/>
                <w:szCs w:val="20"/>
              </w:rPr>
            </w:pPr>
            <w:r>
              <w:rPr>
                <w:sz w:val="20"/>
                <w:szCs w:val="20"/>
              </w:rPr>
              <w:t>27.8</w:t>
            </w:r>
          </w:p>
        </w:tc>
        <w:tc>
          <w:tcPr>
            <w:tcW w:w="91" w:type="dxa"/>
            <w:tcBorders/>
            <w:vAlign w:val="bottom"/>
          </w:tcPr>
          <w:p>
            <w:pPr>
              <w:pStyle w:val="Normal"/>
              <w:widowControl w:val="false"/>
              <w:spacing w:lineRule="auto" w:line="240"/>
              <w:jc w:val="right"/>
              <w:rPr>
                <w:sz w:val="20"/>
                <w:szCs w:val="20"/>
              </w:rPr>
            </w:pPr>
            <w:r>
              <w:rPr>
                <w:sz w:val="20"/>
                <w:szCs w:val="20"/>
              </w:rPr>
            </w:r>
          </w:p>
        </w:tc>
        <w:tc>
          <w:tcPr>
            <w:tcW w:w="632"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NA</w:t>
            </w:r>
          </w:p>
        </w:tc>
        <w:tc>
          <w:tcPr>
            <w:tcW w:w="628" w:type="dxa"/>
            <w:tcBorders/>
            <w:vAlign w:val="bottom"/>
          </w:tcPr>
          <w:p>
            <w:pPr>
              <w:pStyle w:val="Normal"/>
              <w:widowControl w:val="false"/>
              <w:spacing w:lineRule="auto" w:line="240"/>
              <w:jc w:val="right"/>
              <w:rPr>
                <w:sz w:val="20"/>
                <w:szCs w:val="20"/>
              </w:rPr>
            </w:pPr>
            <w:r>
              <w:rPr>
                <w:sz w:val="20"/>
                <w:szCs w:val="20"/>
              </w:rPr>
              <w:t>7.9</w:t>
            </w:r>
          </w:p>
        </w:tc>
        <w:tc>
          <w:tcPr>
            <w:tcW w:w="631" w:type="dxa"/>
            <w:tcBorders/>
            <w:vAlign w:val="bottom"/>
          </w:tcPr>
          <w:p>
            <w:pPr>
              <w:pStyle w:val="Normal"/>
              <w:widowControl w:val="false"/>
              <w:spacing w:lineRule="auto" w:line="240"/>
              <w:jc w:val="right"/>
              <w:rPr>
                <w:sz w:val="20"/>
                <w:szCs w:val="20"/>
              </w:rPr>
            </w:pPr>
            <w:r>
              <w:rPr>
                <w:sz w:val="20"/>
                <w:szCs w:val="20"/>
              </w:rPr>
              <w:t>19.1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8" w:type="dxa"/>
            <w:tcBorders/>
            <w:vAlign w:val="bottom"/>
          </w:tcPr>
          <w:p>
            <w:pPr>
              <w:pStyle w:val="Normal"/>
              <w:widowControl w:val="false"/>
              <w:spacing w:lineRule="auto" w:line="240"/>
              <w:jc w:val="right"/>
              <w:rPr>
                <w:sz w:val="20"/>
                <w:szCs w:val="20"/>
              </w:rPr>
            </w:pPr>
            <w:r>
              <w:rPr>
                <w:sz w:val="20"/>
                <w:szCs w:val="20"/>
              </w:rPr>
              <w:t>8.1</w:t>
            </w:r>
          </w:p>
        </w:tc>
        <w:tc>
          <w:tcPr>
            <w:tcW w:w="632" w:type="dxa"/>
            <w:tcBorders/>
            <w:vAlign w:val="bottom"/>
          </w:tcPr>
          <w:p>
            <w:pPr>
              <w:pStyle w:val="Normal"/>
              <w:widowControl w:val="false"/>
              <w:spacing w:lineRule="auto" w:line="240"/>
              <w:jc w:val="right"/>
              <w:rPr>
                <w:sz w:val="20"/>
                <w:szCs w:val="20"/>
              </w:rPr>
            </w:pPr>
            <w:r>
              <w:rPr>
                <w:sz w:val="20"/>
                <w:szCs w:val="20"/>
              </w:rPr>
              <w:t>NA</w:t>
            </w:r>
          </w:p>
        </w:tc>
        <w:tc>
          <w:tcPr>
            <w:tcW w:w="628" w:type="dxa"/>
            <w:tcBorders/>
            <w:vAlign w:val="bottom"/>
          </w:tcPr>
          <w:p>
            <w:pPr>
              <w:pStyle w:val="Normal"/>
              <w:widowControl w:val="false"/>
              <w:spacing w:lineRule="auto" w:line="240"/>
              <w:jc w:val="right"/>
              <w:rPr>
                <w:sz w:val="20"/>
                <w:szCs w:val="20"/>
              </w:rPr>
            </w:pPr>
            <w:r>
              <w:rPr>
                <w:sz w:val="20"/>
                <w:szCs w:val="20"/>
              </w:rPr>
              <w:t>44.0</w:t>
            </w:r>
          </w:p>
        </w:tc>
        <w:tc>
          <w:tcPr>
            <w:tcW w:w="708" w:type="dxa"/>
            <w:tcBorders/>
            <w:vAlign w:val="bottom"/>
          </w:tcPr>
          <w:p>
            <w:pPr>
              <w:pStyle w:val="Normal"/>
              <w:widowControl w:val="false"/>
              <w:spacing w:lineRule="auto" w:line="240"/>
              <w:jc w:val="right"/>
              <w:rPr>
                <w:sz w:val="20"/>
                <w:szCs w:val="20"/>
              </w:rPr>
            </w:pPr>
            <w:r>
              <w:rPr>
                <w:sz w:val="20"/>
                <w:szCs w:val="20"/>
              </w:rPr>
              <w:t>46.4</w:t>
            </w:r>
          </w:p>
        </w:tc>
      </w:tr>
      <w:tr>
        <w:trPr>
          <w:trHeight w:val="70" w:hRule="atLeast"/>
        </w:trPr>
        <w:tc>
          <w:tcPr>
            <w:tcW w:w="896" w:type="dxa"/>
            <w:vMerge w:val="continue"/>
            <w:tcBorders>
              <w:bottom w:val="single" w:sz="4" w:space="0" w:color="000000"/>
            </w:tcBorders>
            <w:vAlign w:val="bottom"/>
          </w:tcPr>
          <w:p>
            <w:pPr>
              <w:pStyle w:val="Normal"/>
              <w:widowControl w:val="false"/>
              <w:spacing w:lineRule="auto" w:line="240"/>
              <w:rPr>
                <w:sz w:val="20"/>
                <w:szCs w:val="20"/>
              </w:rPr>
            </w:pPr>
            <w:r>
              <w:rPr>
                <w:sz w:val="20"/>
                <w:szCs w:val="20"/>
              </w:rPr>
            </w:r>
          </w:p>
        </w:tc>
        <w:tc>
          <w:tcPr>
            <w:tcW w:w="747" w:type="dxa"/>
            <w:tcBorders>
              <w:bottom w:val="single" w:sz="4" w:space="0" w:color="000000"/>
            </w:tcBorders>
            <w:vAlign w:val="bottom"/>
          </w:tcPr>
          <w:p>
            <w:pPr>
              <w:pStyle w:val="Normal"/>
              <w:widowControl w:val="false"/>
              <w:spacing w:lineRule="auto" w:line="240"/>
              <w:rPr>
                <w:sz w:val="20"/>
                <w:szCs w:val="20"/>
              </w:rPr>
            </w:pPr>
            <w:r>
              <w:rPr>
                <w:sz w:val="20"/>
                <w:szCs w:val="20"/>
              </w:rPr>
              <w:t>SE</w:t>
            </w:r>
          </w:p>
        </w:tc>
        <w:tc>
          <w:tcPr>
            <w:tcW w:w="604"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60" w:type="dxa"/>
            <w:tcBorders>
              <w:bottom w:val="single" w:sz="4" w:space="0" w:color="000000"/>
            </w:tcBorders>
            <w:vAlign w:val="bottom"/>
          </w:tcPr>
          <w:p>
            <w:pPr>
              <w:pStyle w:val="Normal"/>
              <w:widowControl w:val="false"/>
              <w:spacing w:lineRule="auto" w:line="240"/>
              <w:jc w:val="right"/>
              <w:rPr>
                <w:sz w:val="20"/>
                <w:szCs w:val="20"/>
              </w:rPr>
            </w:pPr>
            <w:r>
              <w:rPr>
                <w:sz w:val="20"/>
                <w:szCs w:val="20"/>
              </w:rPr>
              <w:t>2.2</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79"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0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spacing w:lineRule="auto" w:line="240"/>
              <w:jc w:val="right"/>
              <w:rPr>
                <w:sz w:val="20"/>
                <w:szCs w:val="20"/>
              </w:rPr>
            </w:pPr>
            <w:r>
              <w:rPr>
                <w:sz w:val="20"/>
                <w:szCs w:val="20"/>
              </w:rPr>
              <w:t>0.3</w:t>
            </w:r>
          </w:p>
        </w:tc>
        <w:tc>
          <w:tcPr>
            <w:tcW w:w="634" w:type="dxa"/>
            <w:tcBorders>
              <w:bottom w:val="single" w:sz="4" w:space="0" w:color="000000"/>
            </w:tcBorders>
            <w:vAlign w:val="bottom"/>
          </w:tcPr>
          <w:p>
            <w:pPr>
              <w:pStyle w:val="Normal"/>
              <w:widowControl w:val="false"/>
              <w:spacing w:lineRule="auto" w:line="240"/>
              <w:jc w:val="right"/>
              <w:rPr>
                <w:sz w:val="20"/>
                <w:szCs w:val="20"/>
              </w:rPr>
            </w:pPr>
            <w:r>
              <w:rPr>
                <w:sz w:val="20"/>
                <w:szCs w:val="20"/>
              </w:rPr>
              <w:t>3.4</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4.3</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0.9</w:t>
            </w:r>
          </w:p>
        </w:tc>
        <w:tc>
          <w:tcPr>
            <w:tcW w:w="627" w:type="dxa"/>
            <w:tcBorders>
              <w:bottom w:val="single" w:sz="4" w:space="0" w:color="000000"/>
            </w:tcBorders>
            <w:vAlign w:val="bottom"/>
          </w:tcPr>
          <w:p>
            <w:pPr>
              <w:pStyle w:val="Normal"/>
              <w:widowControl w:val="false"/>
              <w:spacing w:lineRule="auto" w:line="240"/>
              <w:jc w:val="right"/>
              <w:rPr>
                <w:sz w:val="20"/>
                <w:szCs w:val="20"/>
              </w:rPr>
            </w:pPr>
            <w:r>
              <w:rPr>
                <w:sz w:val="20"/>
                <w:szCs w:val="20"/>
              </w:rPr>
              <w:t>1.8</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1.5</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3.1</w:t>
            </w:r>
          </w:p>
        </w:tc>
        <w:tc>
          <w:tcPr>
            <w:tcW w:w="708" w:type="dxa"/>
            <w:tcBorders>
              <w:bottom w:val="single" w:sz="4" w:space="0" w:color="000000"/>
            </w:tcBorders>
            <w:vAlign w:val="bottom"/>
          </w:tcPr>
          <w:p>
            <w:pPr>
              <w:pStyle w:val="Normal"/>
              <w:widowControl w:val="false"/>
              <w:spacing w:lineRule="auto" w:line="240"/>
              <w:jc w:val="right"/>
              <w:rPr>
                <w:sz w:val="20"/>
                <w:szCs w:val="20"/>
              </w:rPr>
            </w:pPr>
            <w:r>
              <w:rPr>
                <w:sz w:val="20"/>
                <w:szCs w:val="20"/>
              </w:rPr>
              <w:t>4.6</w:t>
            </w:r>
          </w:p>
        </w:tc>
      </w:tr>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47" w:type="dxa"/>
            <w:tcBorders>
              <w:top w:val="single" w:sz="4" w:space="0" w:color="000000"/>
            </w:tcBorders>
            <w:vAlign w:val="bottom"/>
          </w:tcPr>
          <w:p>
            <w:pPr>
              <w:pStyle w:val="Normal"/>
              <w:widowControl w:val="false"/>
              <w:rPr>
                <w:sz w:val="20"/>
                <w:szCs w:val="20"/>
              </w:rPr>
            </w:pPr>
            <w:r>
              <w:rPr>
                <w:sz w:val="20"/>
                <w:szCs w:val="20"/>
              </w:rPr>
            </w:r>
          </w:p>
        </w:tc>
        <w:tc>
          <w:tcPr>
            <w:tcW w:w="604"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660" w:type="dxa"/>
            <w:tcBorders>
              <w:top w:val="single" w:sz="4" w:space="0" w:color="000000"/>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609" w:type="dxa"/>
            <w:tcBorders>
              <w:top w:val="single" w:sz="4" w:space="0" w:color="000000"/>
            </w:tcBorders>
            <w:vAlign w:val="bottom"/>
          </w:tcPr>
          <w:p>
            <w:pPr>
              <w:pStyle w:val="Normal"/>
              <w:widowControl w:val="false"/>
              <w:rPr>
                <w:sz w:val="20"/>
                <w:szCs w:val="20"/>
              </w:rPr>
            </w:pPr>
            <w:r>
              <w:rPr>
                <w:sz w:val="20"/>
                <w:szCs w:val="20"/>
              </w:rPr>
            </w:r>
          </w:p>
        </w:tc>
        <w:tc>
          <w:tcPr>
            <w:tcW w:w="635" w:type="dxa"/>
            <w:tcBorders>
              <w:top w:val="single" w:sz="4" w:space="0" w:color="000000"/>
            </w:tcBorders>
            <w:vAlign w:val="bottom"/>
          </w:tcPr>
          <w:p>
            <w:pPr>
              <w:pStyle w:val="Normal"/>
              <w:widowControl w:val="false"/>
              <w:jc w:val="right"/>
              <w:rPr>
                <w:sz w:val="20"/>
                <w:szCs w:val="20"/>
              </w:rPr>
            </w:pPr>
            <w:r>
              <w:rPr>
                <w:sz w:val="20"/>
                <w:szCs w:val="20"/>
              </w:rPr>
            </w:r>
          </w:p>
        </w:tc>
        <w:tc>
          <w:tcPr>
            <w:tcW w:w="634" w:type="dxa"/>
            <w:tcBorders>
              <w:top w:val="single" w:sz="4" w:space="0" w:color="000000"/>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627"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708" w:type="dxa"/>
            <w:tcBorders>
              <w:top w:val="single" w:sz="4" w:space="0" w:color="000000"/>
            </w:tcBorders>
            <w:vAlign w:val="bottom"/>
          </w:tcPr>
          <w:p>
            <w:pPr>
              <w:pStyle w:val="Normal"/>
              <w:widowControl w:val="false"/>
              <w:jc w:val="right"/>
              <w:rPr>
                <w:sz w:val="20"/>
                <w:szCs w:val="20"/>
              </w:rPr>
            </w:pPr>
            <w:r>
              <w:rPr>
                <w:sz w:val="20"/>
                <w:szCs w:val="20"/>
              </w:rPr>
            </w:r>
          </w:p>
        </w:tc>
      </w:tr>
    </w:tbl>
    <w:p>
      <w:pPr>
        <w:sectPr>
          <w:headerReference w:type="default" r:id="rId31"/>
          <w:type w:val="nextPage"/>
          <w:pgSz w:orient="landscape" w:w="15840" w:h="12240"/>
          <w:pgMar w:left="864" w:right="2016" w:header="1440" w:top="1497" w:footer="0" w:bottom="1440" w:gutter="0"/>
          <w:lnNumType w:countBy="1" w:restart="continuous" w:distance="283"/>
          <w:pgNumType w:start="1" w:fmt="decimal"/>
          <w:formProt w:val="false"/>
          <w:textDirection w:val="lrTb"/>
          <w:docGrid w:type="default" w:linePitch="299" w:charSpace="20480"/>
        </w:sectPr>
      </w:pPr>
    </w:p>
    <w:p>
      <w:pPr>
        <w:pStyle w:val="Normal"/>
        <w:spacing w:lineRule="auto" w:line="480"/>
        <w:rPr>
          <w:sz w:val="24"/>
          <w:szCs w:val="24"/>
        </w:rPr>
      </w:pPr>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7865745" cy="4719320"/>
            <wp:effectExtent l="0" t="0" r="0" b="0"/>
            <wp:wrapSquare wrapText="largest"/>
            <wp:docPr id="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pic:cNvPicPr>
                      <a:picLocks noChangeAspect="1" noChangeArrowheads="1"/>
                    </pic:cNvPicPr>
                  </pic:nvPicPr>
                  <pic:blipFill>
                    <a:blip r:embed="rId32"/>
                    <a:stretch>
                      <a:fillRect/>
                    </a:stretch>
                  </pic:blipFill>
                  <pic:spPr bwMode="auto">
                    <a:xfrm>
                      <a:off x="0" y="0"/>
                      <a:ext cx="7865745" cy="4719320"/>
                    </a:xfrm>
                    <a:prstGeom prst="rect">
                      <a:avLst/>
                    </a:prstGeom>
                  </pic:spPr>
                </pic:pic>
              </a:graphicData>
            </a:graphic>
          </wp:anchor>
        </w:drawing>
      </w:r>
      <w:r>
        <w:rPr>
          <w:b/>
          <w:sz w:val="24"/>
          <w:szCs w:val="24"/>
        </w:rPr>
        <w:t>Figure 4.</w:t>
      </w:r>
      <w:r>
        <w:rPr>
          <w:sz w:val="24"/>
          <w:szCs w:val="24"/>
        </w:rPr>
        <w:t xml:space="preserve"> Stand mean +/- SE basal area (A) and cumulative proportion of mortality (B) by tree age and rotation treatment in the Apiary study.</w:t>
      </w:r>
    </w:p>
    <w:p>
      <w:pPr>
        <w:pStyle w:val="Normal"/>
        <w:spacing w:lineRule="auto" w:line="480"/>
        <w:rPr>
          <w:sz w:val="24"/>
          <w:szCs w:val="24"/>
        </w:rPr>
      </w:pPr>
      <w:r>
        <w:rPr/>
      </w:r>
    </w:p>
    <w:p>
      <w:pPr>
        <w:pStyle w:val="Normal"/>
        <w:spacing w:lineRule="auto" w:line="480"/>
        <w:rPr>
          <w:sz w:val="24"/>
          <w:szCs w:val="24"/>
        </w:rPr>
      </w:pPr>
      <w:r>
        <w:rPr/>
      </w:r>
    </w:p>
    <w:p>
      <w:pPr>
        <w:pStyle w:val="Normal"/>
        <w:spacing w:lineRule="auto" w:line="480"/>
        <w:rPr>
          <w:sz w:val="24"/>
          <w:szCs w:val="24"/>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7230110" cy="4257040"/>
            <wp:effectExtent l="0" t="0" r="0" b="0"/>
            <wp:wrapSquare wrapText="largest"/>
            <wp:docPr id="1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
                    <pic:cNvPicPr>
                      <a:picLocks noChangeAspect="1" noChangeArrowheads="1"/>
                    </pic:cNvPicPr>
                  </pic:nvPicPr>
                  <pic:blipFill>
                    <a:blip r:embed="rId33"/>
                    <a:stretch>
                      <a:fillRect/>
                    </a:stretch>
                  </pic:blipFill>
                  <pic:spPr bwMode="auto">
                    <a:xfrm>
                      <a:off x="0" y="0"/>
                      <a:ext cx="7230110" cy="4257040"/>
                    </a:xfrm>
                    <a:prstGeom prst="rect">
                      <a:avLst/>
                    </a:prstGeom>
                  </pic:spPr>
                </pic:pic>
              </a:graphicData>
            </a:graphic>
          </wp:anchor>
        </w:drawing>
      </w:r>
      <w:r>
        <w:rPr>
          <w:b/>
          <w:bCs/>
          <w:sz w:val="24"/>
          <w:szCs w:val="24"/>
        </w:rPr>
        <w:t>Figure 5</w:t>
      </w:r>
      <w:r>
        <w:rPr>
          <w:sz w:val="24"/>
          <w:szCs w:val="24"/>
        </w:rPr>
        <w:t>. Stand mean (+/- SE) annual live basal area increment (m</w:t>
      </w:r>
      <w:r>
        <w:rPr>
          <w:sz w:val="24"/>
          <w:szCs w:val="24"/>
          <w:vertAlign w:val="superscript"/>
        </w:rPr>
        <w:t>2</w:t>
      </w:r>
      <w:r>
        <w:rPr>
          <w:sz w:val="24"/>
          <w:szCs w:val="24"/>
        </w:rPr>
        <w:t xml:space="preserve"> ha</w:t>
      </w:r>
      <w:r>
        <w:rPr>
          <w:sz w:val="24"/>
          <w:szCs w:val="24"/>
          <w:vertAlign w:val="superscript"/>
        </w:rPr>
        <w:t>-1</w:t>
      </w:r>
      <w:r>
        <w:rPr>
          <w:sz w:val="24"/>
          <w:szCs w:val="24"/>
        </w:rPr>
        <w:t xml:space="preserve"> year</w:t>
      </w:r>
      <w:r>
        <w:rPr>
          <w:sz w:val="24"/>
          <w:szCs w:val="24"/>
          <w:vertAlign w:val="superscript"/>
        </w:rPr>
        <w:t>-1</w:t>
      </w:r>
      <w:r>
        <w:rPr>
          <w:position w:val="0"/>
          <w:sz w:val="24"/>
          <w:sz w:val="24"/>
          <w:szCs w:val="24"/>
          <w:vertAlign w:val="baseline"/>
        </w:rPr>
        <w:t xml:space="preserve">) by treatment across early, middle and late measurement periods. Bars that do not share letters within panels indicate significant differences by Tukey’s HSD post-hoc test. </w:t>
      </w:r>
      <w:r>
        <w:br w:type="page"/>
      </w:r>
    </w:p>
    <w:p>
      <w:pPr>
        <w:pStyle w:val="Normal"/>
        <w:spacing w:lineRule="auto" w:line="480"/>
        <w:rPr/>
      </w:pPr>
      <w: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7439660" cy="4463415"/>
            <wp:effectExtent l="0" t="0" r="0" b="0"/>
            <wp:wrapSquare wrapText="largest"/>
            <wp:docPr id="11"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
                    <pic:cNvPicPr>
                      <a:picLocks noChangeAspect="1" noChangeArrowheads="1"/>
                    </pic:cNvPicPr>
                  </pic:nvPicPr>
                  <pic:blipFill>
                    <a:blip r:embed="rId34"/>
                    <a:stretch>
                      <a:fillRect/>
                    </a:stretch>
                  </pic:blipFill>
                  <pic:spPr bwMode="auto">
                    <a:xfrm>
                      <a:off x="0" y="0"/>
                      <a:ext cx="7439660" cy="4463415"/>
                    </a:xfrm>
                    <a:prstGeom prst="rect">
                      <a:avLst/>
                    </a:prstGeom>
                  </pic:spPr>
                </pic:pic>
              </a:graphicData>
            </a:graphic>
          </wp:anchor>
        </w:drawing>
      </w:r>
    </w:p>
    <w:p>
      <w:pPr>
        <w:pStyle w:val="Normal"/>
        <w:spacing w:lineRule="auto" w:line="480"/>
        <w:rPr>
          <w:sz w:val="24"/>
          <w:szCs w:val="24"/>
        </w:rPr>
      </w:pPr>
      <w:r>
        <w:rPr>
          <w:b/>
          <w:bCs/>
          <w:sz w:val="24"/>
          <w:szCs w:val="24"/>
        </w:rPr>
        <w:t>Figure 6</w:t>
      </w:r>
      <w:r>
        <w:rPr>
          <w:sz w:val="24"/>
          <w:szCs w:val="24"/>
        </w:rPr>
        <w:t xml:space="preserve">. Stand mean (+/- 95% CI) annual porportion of mortality </w:t>
      </w:r>
      <w:r>
        <w:rPr>
          <w:position w:val="0"/>
          <w:sz w:val="24"/>
          <w:sz w:val="24"/>
          <w:szCs w:val="24"/>
          <w:vertAlign w:val="baseline"/>
        </w:rPr>
        <w:t>by treatment across early, middle and late measurement periods. Bars that do not share letters within panels indicate significant differences by Tukey’s HSD post-hoc test performed on arcsine square root transformed proportions.</w:t>
      </w:r>
      <w:r>
        <w:br w:type="page"/>
      </w:r>
    </w:p>
    <w:p>
      <w:pPr>
        <w:pStyle w:val="Normal"/>
        <w:spacing w:lineRule="auto" w:line="480"/>
        <w:rPr>
          <w:sz w:val="24"/>
          <w:szCs w:val="24"/>
        </w:rPr>
      </w:pPr>
      <w:r>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7058660" cy="4234815"/>
            <wp:effectExtent l="0" t="0" r="0" b="0"/>
            <wp:wrapSquare wrapText="largest"/>
            <wp:docPr id="12"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
                    <pic:cNvPicPr>
                      <a:picLocks noChangeAspect="1" noChangeArrowheads="1"/>
                    </pic:cNvPicPr>
                  </pic:nvPicPr>
                  <pic:blipFill>
                    <a:blip r:embed="rId35"/>
                    <a:stretch>
                      <a:fillRect/>
                    </a:stretch>
                  </pic:blipFill>
                  <pic:spPr bwMode="auto">
                    <a:xfrm>
                      <a:off x="0" y="0"/>
                      <a:ext cx="7058660" cy="4234815"/>
                    </a:xfrm>
                    <a:prstGeom prst="rect">
                      <a:avLst/>
                    </a:prstGeom>
                  </pic:spPr>
                </pic:pic>
              </a:graphicData>
            </a:graphic>
          </wp:anchor>
        </w:drawing>
      </w:r>
    </w:p>
    <w:p>
      <w:pPr>
        <w:pStyle w:val="Normal"/>
        <w:spacing w:lineRule="auto" w:line="480"/>
        <w:rPr>
          <w:sz w:val="24"/>
          <w:szCs w:val="24"/>
        </w:rPr>
      </w:pPr>
      <w:r>
        <w:rPr>
          <w:position w:val="0"/>
          <w:sz w:val="24"/>
          <w:sz w:val="24"/>
          <w:szCs w:val="24"/>
          <w:vertAlign w:val="baseline"/>
        </w:rPr>
        <w:t xml:space="preserve"> </w:t>
      </w:r>
      <w:r>
        <w:rPr>
          <w:b/>
          <w:bCs/>
          <w:position w:val="0"/>
          <w:sz w:val="24"/>
          <w:sz w:val="24"/>
          <w:szCs w:val="24"/>
          <w:vertAlign w:val="baseline"/>
        </w:rPr>
        <w:t>Figure 7</w:t>
      </w:r>
      <w:r>
        <w:rPr>
          <w:position w:val="0"/>
          <w:sz w:val="24"/>
          <w:sz w:val="24"/>
          <w:szCs w:val="24"/>
          <w:vertAlign w:val="baseline"/>
        </w:rPr>
        <w:t>. Stand mean (+/- 95% CI) annual porportion of mortality attributed to laminated root rot by treatment across early, middle and late measurement periods. Bars that do not share letters within panels indicate significant differences by Tukey’s HSD post-hoc test performed on arcsine square root transformed proportions.</w:t>
      </w:r>
      <w:r>
        <w:br w:type="page"/>
      </w:r>
    </w:p>
    <w:p>
      <w:pPr>
        <w:pStyle w:val="Normal"/>
        <w:spacing w:lineRule="auto" w:line="480"/>
        <w:rPr/>
      </w:pPr>
      <w:r>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7325360" cy="4394835"/>
            <wp:effectExtent l="0" t="0" r="0" b="0"/>
            <wp:wrapSquare wrapText="largest"/>
            <wp:docPr id="13"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7" descr=""/>
                    <pic:cNvPicPr>
                      <a:picLocks noChangeAspect="1" noChangeArrowheads="1"/>
                    </pic:cNvPicPr>
                  </pic:nvPicPr>
                  <pic:blipFill>
                    <a:blip r:embed="rId36"/>
                    <a:stretch>
                      <a:fillRect/>
                    </a:stretch>
                  </pic:blipFill>
                  <pic:spPr bwMode="auto">
                    <a:xfrm>
                      <a:off x="0" y="0"/>
                      <a:ext cx="7325360" cy="4394835"/>
                    </a:xfrm>
                    <a:prstGeom prst="rect">
                      <a:avLst/>
                    </a:prstGeom>
                  </pic:spPr>
                </pic:pic>
              </a:graphicData>
            </a:graphic>
          </wp:anchor>
        </w:drawing>
      </w:r>
    </w:p>
    <w:p>
      <w:pPr>
        <w:pStyle w:val="Normal"/>
        <w:spacing w:lineRule="auto" w:line="480"/>
        <w:rPr>
          <w:sz w:val="24"/>
          <w:szCs w:val="24"/>
        </w:rPr>
      </w:pPr>
      <w:r>
        <w:rPr>
          <w:b/>
          <w:bCs/>
          <w:sz w:val="24"/>
          <w:szCs w:val="24"/>
        </w:rPr>
        <w:t>Figure 8</w:t>
      </w:r>
      <w:r>
        <w:rPr>
          <w:sz w:val="24"/>
          <w:szCs w:val="24"/>
        </w:rPr>
        <w:t xml:space="preserve">. Stand mean (+/- 95% CI) annual porportion of mortality attributed to suppression </w:t>
      </w:r>
      <w:r>
        <w:rPr>
          <w:position w:val="0"/>
          <w:sz w:val="24"/>
          <w:sz w:val="24"/>
          <w:szCs w:val="24"/>
          <w:vertAlign w:val="baseline"/>
        </w:rPr>
        <w:t>by treatment across early, middle and late measurement periods. Bars that do not share letters within panels indicate significant differences by Tukey’s HSD post-hoc test performed on arcsine square root transformed proportions.</w:t>
      </w:r>
    </w:p>
    <w:p>
      <w:pPr>
        <w:pStyle w:val="Normal"/>
        <w:spacing w:lineRule="auto" w:line="480"/>
        <w:rPr>
          <w:sz w:val="24"/>
          <w:szCs w:val="24"/>
        </w:rPr>
      </w:pPr>
      <w:r>
        <w:rPr/>
        <w:drawing>
          <wp:inline distT="0" distB="0" distL="0" distR="0">
            <wp:extent cx="7865745" cy="4719320"/>
            <wp:effectExtent l="0" t="0" r="0" b="0"/>
            <wp:docPr id="14" name="Graphic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phic 3" descr=""/>
                    <pic:cNvPicPr>
                      <a:picLocks noChangeAspect="1" noChangeArrowheads="1"/>
                    </pic:cNvPicPr>
                  </pic:nvPicPr>
                  <pic:blipFill>
                    <a:blip r:embed="rId37"/>
                    <a:stretch>
                      <a:fillRect/>
                    </a:stretch>
                  </pic:blipFill>
                  <pic:spPr bwMode="auto">
                    <a:xfrm>
                      <a:off x="0" y="0"/>
                      <a:ext cx="7865745" cy="4719320"/>
                    </a:xfrm>
                    <a:prstGeom prst="rect">
                      <a:avLst/>
                    </a:prstGeom>
                  </pic:spPr>
                </pic:pic>
              </a:graphicData>
            </a:graphic>
          </wp:inline>
        </w:drawing>
      </w:r>
    </w:p>
    <w:p>
      <w:pPr>
        <w:pStyle w:val="Normal"/>
        <w:spacing w:lineRule="auto" w:line="480"/>
        <w:rPr>
          <w:sz w:val="24"/>
          <w:szCs w:val="24"/>
        </w:rPr>
      </w:pPr>
      <w:r>
        <w:rPr>
          <w:b/>
          <w:sz w:val="24"/>
          <w:szCs w:val="24"/>
        </w:rPr>
        <w:t>Figure 5.</w:t>
      </w:r>
      <w:r>
        <w:rPr>
          <w:sz w:val="24"/>
          <w:szCs w:val="24"/>
        </w:rPr>
        <w:t xml:space="preserve"> Douglas-fir survival over time in immediate Douglas-fir treatment vs 12-year hardwood rotation treatments. in the Apiary study.</w:t>
      </w:r>
    </w:p>
    <w:p>
      <w:pPr>
        <w:pStyle w:val="Normal"/>
        <w:spacing w:lineRule="auto" w:line="480"/>
        <w:rPr>
          <w:sz w:val="24"/>
          <w:szCs w:val="24"/>
        </w:rPr>
      </w:pPr>
      <w:commentRangeStart w:id="29"/>
      <w:r>
        <w:rPr/>
        <w:drawing>
          <wp:inline distT="0" distB="0" distL="0" distR="0">
            <wp:extent cx="7865745" cy="4719320"/>
            <wp:effectExtent l="0" t="0" r="0" b="0"/>
            <wp:docPr id="15" name="Graphic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4" descr=""/>
                    <pic:cNvPicPr>
                      <a:picLocks noChangeAspect="1" noChangeArrowheads="1"/>
                    </pic:cNvPicPr>
                  </pic:nvPicPr>
                  <pic:blipFill>
                    <a:blip r:embed="rId38"/>
                    <a:stretch>
                      <a:fillRect/>
                    </a:stretch>
                  </pic:blipFill>
                  <pic:spPr bwMode="auto">
                    <a:xfrm>
                      <a:off x="0" y="0"/>
                      <a:ext cx="7865745" cy="4719320"/>
                    </a:xfrm>
                    <a:prstGeom prst="rect">
                      <a:avLst/>
                    </a:prstGeom>
                  </pic:spPr>
                </pic:pic>
              </a:graphicData>
            </a:graphic>
          </wp:inline>
        </w:drawing>
      </w:r>
      <w:commentRangeEnd w:id="29"/>
      <w:r>
        <w:commentReference w:id="29"/>
      </w:r>
      <w:r>
        <w:rPr/>
      </w:r>
    </w:p>
    <w:p>
      <w:pPr>
        <w:pStyle w:val="Normal"/>
        <w:spacing w:lineRule="auto" w:line="480"/>
        <w:rPr>
          <w:sz w:val="24"/>
          <w:szCs w:val="24"/>
        </w:rPr>
      </w:pPr>
      <w:r>
        <w:rPr>
          <w:b/>
          <w:sz w:val="24"/>
          <w:szCs w:val="24"/>
        </w:rPr>
        <w:t>Figure 6.</w:t>
      </w:r>
      <w:r>
        <w:rPr>
          <w:sz w:val="24"/>
          <w:szCs w:val="24"/>
        </w:rPr>
        <w:t xml:space="preserve"> Douglas-fir survival over time in continuous DF treatment vs 12-year rotation treatments. in the Apiary study. Mortality is divided by suspected cause (LRR= laminated root rot, SUP= suppression)</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7315200" cy="3657600"/>
            <wp:effectExtent l="0" t="0" r="0" b="0"/>
            <wp:wrapSquare wrapText="largest"/>
            <wp:docPr id="1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 descr=""/>
                    <pic:cNvPicPr>
                      <a:picLocks noChangeAspect="1" noChangeArrowheads="1"/>
                    </pic:cNvPicPr>
                  </pic:nvPicPr>
                  <pic:blipFill>
                    <a:blip r:embed="rId39"/>
                    <a:stretch>
                      <a:fillRect/>
                    </a:stretch>
                  </pic:blipFill>
                  <pic:spPr bwMode="auto">
                    <a:xfrm>
                      <a:off x="0" y="0"/>
                      <a:ext cx="7315200" cy="3657600"/>
                    </a:xfrm>
                    <a:prstGeom prst="rect">
                      <a:avLst/>
                    </a:prstGeom>
                  </pic:spPr>
                </pic:pic>
              </a:graphicData>
            </a:graphic>
          </wp:anchor>
        </w:drawing>
      </w:r>
    </w:p>
    <w:p>
      <w:pPr>
        <w:sectPr>
          <w:headerReference w:type="default" r:id="rId40"/>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20480"/>
        </w:sectPr>
        <w:pStyle w:val="Normal"/>
        <w:spacing w:lineRule="auto" w:line="480"/>
        <w:rPr>
          <w:sz w:val="24"/>
          <w:szCs w:val="24"/>
        </w:rPr>
      </w:pPr>
      <w:r>
        <w:rPr>
          <w:b/>
          <w:sz w:val="24"/>
          <w:szCs w:val="24"/>
        </w:rPr>
        <w:t>Figure 7.</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p>
    <w:p>
      <w:pPr>
        <w:pStyle w:val="Normal"/>
        <w:spacing w:lineRule="auto" w:line="480"/>
        <w:rPr>
          <w:sz w:val="24"/>
          <w:szCs w:val="24"/>
        </w:rPr>
      </w:pPr>
      <w:r>
        <w:rPr>
          <w:sz w:val="24"/>
          <w:szCs w:val="24"/>
        </w:rPr>
      </w:r>
    </w:p>
    <w:tbl>
      <w:tblPr>
        <w:tblW w:w="1116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2021"/>
        <w:gridCol w:w="501"/>
        <w:gridCol w:w="811"/>
        <w:gridCol w:w="810"/>
        <w:gridCol w:w="181"/>
        <w:gridCol w:w="359"/>
        <w:gridCol w:w="809"/>
        <w:gridCol w:w="901"/>
        <w:gridCol w:w="181"/>
        <w:gridCol w:w="448"/>
        <w:gridCol w:w="902"/>
        <w:gridCol w:w="899"/>
        <w:gridCol w:w="182"/>
        <w:gridCol w:w="359"/>
        <w:gridCol w:w="810"/>
        <w:gridCol w:w="983"/>
      </w:tblGrid>
      <w:tr>
        <w:trPr>
          <w:trHeight w:val="597" w:hRule="atLeast"/>
        </w:trPr>
        <w:tc>
          <w:tcPr>
            <w:tcW w:w="2021" w:type="dxa"/>
            <w:tcBorders/>
            <w:vAlign w:val="bottom"/>
          </w:tcPr>
          <w:p>
            <w:pPr>
              <w:pStyle w:val="Normal"/>
              <w:widowControl w:val="false"/>
              <w:rPr>
                <w:sz w:val="24"/>
                <w:szCs w:val="24"/>
              </w:rPr>
            </w:pPr>
            <w:r>
              <w:rPr>
                <w:sz w:val="24"/>
                <w:szCs w:val="24"/>
              </w:rPr>
            </w:r>
          </w:p>
        </w:tc>
        <w:tc>
          <w:tcPr>
            <w:tcW w:w="2122"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BA increment</w:t>
            </w:r>
          </w:p>
        </w:tc>
        <w:tc>
          <w:tcPr>
            <w:tcW w:w="181" w:type="dxa"/>
            <w:tcBorders/>
            <w:vAlign w:val="bottom"/>
          </w:tcPr>
          <w:p>
            <w:pPr>
              <w:pStyle w:val="Normal"/>
              <w:widowControl w:val="false"/>
              <w:rPr>
                <w:sz w:val="24"/>
                <w:szCs w:val="24"/>
              </w:rPr>
            </w:pPr>
            <w:r>
              <w:rPr>
                <w:sz w:val="24"/>
                <w:szCs w:val="24"/>
              </w:rPr>
            </w:r>
          </w:p>
        </w:tc>
        <w:tc>
          <w:tcPr>
            <w:tcW w:w="2069"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total mortality</w:t>
            </w:r>
          </w:p>
        </w:tc>
        <w:tc>
          <w:tcPr>
            <w:tcW w:w="181" w:type="dxa"/>
            <w:tcBorders/>
            <w:vAlign w:val="bottom"/>
          </w:tcPr>
          <w:p>
            <w:pPr>
              <w:pStyle w:val="Normal"/>
              <w:widowControl w:val="false"/>
              <w:rPr>
                <w:sz w:val="24"/>
                <w:szCs w:val="24"/>
              </w:rPr>
            </w:pPr>
            <w:r>
              <w:rPr>
                <w:sz w:val="24"/>
                <w:szCs w:val="24"/>
              </w:rPr>
            </w:r>
          </w:p>
        </w:tc>
        <w:tc>
          <w:tcPr>
            <w:tcW w:w="2249"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 xml:space="preserve">annual LRR </w:t>
              <w:br/>
              <w:t>Mortality</w:t>
            </w:r>
          </w:p>
        </w:tc>
        <w:tc>
          <w:tcPr>
            <w:tcW w:w="182" w:type="dxa"/>
            <w:tcBorders/>
            <w:vAlign w:val="bottom"/>
          </w:tcPr>
          <w:p>
            <w:pPr>
              <w:pStyle w:val="Normal"/>
              <w:widowControl w:val="false"/>
              <w:rPr>
                <w:sz w:val="24"/>
                <w:szCs w:val="24"/>
              </w:rPr>
            </w:pPr>
            <w:r>
              <w:rPr>
                <w:sz w:val="24"/>
                <w:szCs w:val="24"/>
              </w:rPr>
            </w:r>
          </w:p>
        </w:tc>
        <w:tc>
          <w:tcPr>
            <w:tcW w:w="2152"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suppression mortality</w:t>
            </w:r>
          </w:p>
        </w:tc>
      </w:tr>
      <w:tr>
        <w:trPr>
          <w:trHeight w:val="611" w:hRule="atLeast"/>
        </w:trPr>
        <w:tc>
          <w:tcPr>
            <w:tcW w:w="202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Source</w:t>
            </w:r>
          </w:p>
        </w:tc>
        <w:tc>
          <w:tcPr>
            <w:tcW w:w="5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48"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90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89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8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r>
      <w:tr>
        <w:trPr>
          <w:trHeight w:val="300" w:hRule="atLeast"/>
        </w:trPr>
        <w:tc>
          <w:tcPr>
            <w:tcW w:w="2021" w:type="dxa"/>
            <w:tcBorders/>
            <w:vAlign w:val="bottom"/>
          </w:tcPr>
          <w:p>
            <w:pPr>
              <w:pStyle w:val="Normal"/>
              <w:widowControl w:val="false"/>
              <w:rPr>
                <w:sz w:val="24"/>
                <w:szCs w:val="24"/>
              </w:rPr>
            </w:pPr>
            <w:r>
              <w:rPr>
                <w:b/>
              </w:rPr>
              <w:t>EARLY</w:t>
            </w:r>
          </w:p>
        </w:tc>
        <w:tc>
          <w:tcPr>
            <w:tcW w:w="501"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rPr>
                <w:sz w:val="24"/>
                <w:szCs w:val="24"/>
              </w:rPr>
            </w:pPr>
            <w:r>
              <w:rPr>
                <w:sz w:val="24"/>
                <w:szCs w:val="24"/>
              </w:rPr>
            </w:r>
          </w:p>
        </w:tc>
        <w:tc>
          <w:tcPr>
            <w:tcW w:w="901"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448" w:type="dxa"/>
            <w:tcBorders/>
            <w:vAlign w:val="bottom"/>
          </w:tcPr>
          <w:p>
            <w:pPr>
              <w:pStyle w:val="Normal"/>
              <w:widowControl w:val="false"/>
              <w:rPr>
                <w:sz w:val="24"/>
                <w:szCs w:val="24"/>
              </w:rPr>
            </w:pPr>
            <w:r>
              <w:rPr>
                <w:sz w:val="24"/>
                <w:szCs w:val="24"/>
              </w:rPr>
            </w:r>
          </w:p>
        </w:tc>
        <w:tc>
          <w:tcPr>
            <w:tcW w:w="902" w:type="dxa"/>
            <w:tcBorders/>
            <w:vAlign w:val="bottom"/>
          </w:tcPr>
          <w:p>
            <w:pPr>
              <w:pStyle w:val="Normal"/>
              <w:widowControl w:val="false"/>
              <w:rPr>
                <w:sz w:val="24"/>
                <w:szCs w:val="24"/>
              </w:rPr>
            </w:pPr>
            <w:r>
              <w:rPr>
                <w:sz w:val="24"/>
                <w:szCs w:val="24"/>
              </w:rPr>
            </w:r>
          </w:p>
        </w:tc>
        <w:tc>
          <w:tcPr>
            <w:tcW w:w="899"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983" w:type="dxa"/>
            <w:tcBorders/>
            <w:vAlign w:val="bottom"/>
          </w:tcPr>
          <w:p>
            <w:pPr>
              <w:pStyle w:val="Normal"/>
              <w:widowControl w:val="false"/>
              <w:rPr>
                <w:sz w:val="24"/>
                <w:szCs w:val="24"/>
              </w:rPr>
            </w:pPr>
            <w:r>
              <w:rPr>
                <w:sz w:val="24"/>
                <w:szCs w:val="24"/>
              </w:rPr>
            </w:r>
          </w:p>
        </w:tc>
      </w:tr>
      <w:tr>
        <w:trPr>
          <w:trHeight w:val="276" w:hRule="atLeast"/>
        </w:trPr>
        <w:tc>
          <w:tcPr>
            <w:tcW w:w="2021" w:type="dxa"/>
            <w:tcBorders/>
            <w:vAlign w:val="bottom"/>
          </w:tcPr>
          <w:p>
            <w:pPr>
              <w:pStyle w:val="Normal"/>
              <w:widowControl w:val="false"/>
              <w:rPr>
                <w:sz w:val="24"/>
                <w:szCs w:val="24"/>
              </w:rPr>
            </w:pPr>
            <w:r>
              <w:rPr/>
              <w:t>Block</w:t>
            </w:r>
          </w:p>
        </w:tc>
        <w:tc>
          <w:tcPr>
            <w:tcW w:w="501" w:type="dxa"/>
            <w:tcBorders/>
            <w:vAlign w:val="bottom"/>
          </w:tcPr>
          <w:p>
            <w:pPr>
              <w:pStyle w:val="Normal"/>
              <w:widowControl w:val="false"/>
              <w:jc w:val="right"/>
              <w:rPr>
                <w:sz w:val="24"/>
                <w:szCs w:val="24"/>
              </w:rPr>
            </w:pPr>
            <w:r>
              <w:rPr/>
              <w:t>1</w:t>
            </w:r>
          </w:p>
        </w:tc>
        <w:tc>
          <w:tcPr>
            <w:tcW w:w="811" w:type="dxa"/>
            <w:tcBorders/>
            <w:vAlign w:val="bottom"/>
          </w:tcPr>
          <w:p>
            <w:pPr>
              <w:pStyle w:val="Normal"/>
              <w:widowControl w:val="false"/>
              <w:jc w:val="right"/>
              <w:rPr>
                <w:sz w:val="24"/>
                <w:szCs w:val="24"/>
              </w:rPr>
            </w:pPr>
            <w:r>
              <w:rPr/>
              <w:t>1.1120</w:t>
            </w:r>
          </w:p>
        </w:tc>
        <w:tc>
          <w:tcPr>
            <w:tcW w:w="810" w:type="dxa"/>
            <w:tcBorders/>
            <w:vAlign w:val="bottom"/>
          </w:tcPr>
          <w:p>
            <w:pPr>
              <w:pStyle w:val="Normal"/>
              <w:widowControl w:val="false"/>
              <w:jc w:val="right"/>
              <w:rPr>
                <w:sz w:val="24"/>
                <w:szCs w:val="24"/>
              </w:rPr>
            </w:pPr>
            <w:r>
              <w:rPr/>
              <w:t>0.2916</w:t>
            </w:r>
          </w:p>
        </w:tc>
        <w:tc>
          <w:tcPr>
            <w:tcW w:w="181"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jc w:val="right"/>
              <w:rPr>
                <w:sz w:val="24"/>
                <w:szCs w:val="24"/>
              </w:rPr>
            </w:pPr>
            <w:r>
              <w:rPr/>
              <w:t>NA</w:t>
            </w:r>
          </w:p>
        </w:tc>
        <w:tc>
          <w:tcPr>
            <w:tcW w:w="901" w:type="dxa"/>
            <w:tcBorders/>
            <w:vAlign w:val="bottom"/>
          </w:tcPr>
          <w:p>
            <w:pPr>
              <w:pStyle w:val="Normal"/>
              <w:widowControl w:val="false"/>
              <w:jc w:val="right"/>
              <w:rPr>
                <w:sz w:val="24"/>
                <w:szCs w:val="24"/>
              </w:rPr>
            </w:pPr>
            <w:r>
              <w:rPr/>
              <w:t>NA</w:t>
            </w:r>
          </w:p>
        </w:tc>
        <w:tc>
          <w:tcPr>
            <w:tcW w:w="181" w:type="dxa"/>
            <w:tcBorders/>
            <w:vAlign w:val="bottom"/>
          </w:tcPr>
          <w:p>
            <w:pPr>
              <w:pStyle w:val="Normal"/>
              <w:widowControl w:val="false"/>
              <w:rPr>
                <w:sz w:val="24"/>
                <w:szCs w:val="24"/>
              </w:rPr>
            </w:pPr>
            <w:r>
              <w:rPr>
                <w:sz w:val="24"/>
                <w:szCs w:val="24"/>
              </w:rPr>
            </w:r>
          </w:p>
        </w:tc>
        <w:tc>
          <w:tcPr>
            <w:tcW w:w="448" w:type="dxa"/>
            <w:tcBorders/>
            <w:vAlign w:val="bottom"/>
          </w:tcPr>
          <w:p>
            <w:pPr>
              <w:pStyle w:val="Normal"/>
              <w:widowControl w:val="false"/>
              <w:jc w:val="right"/>
              <w:rPr>
                <w:sz w:val="24"/>
                <w:szCs w:val="24"/>
              </w:rPr>
            </w:pPr>
            <w:r>
              <w:rPr/>
              <w:t>1</w:t>
            </w:r>
          </w:p>
        </w:tc>
        <w:tc>
          <w:tcPr>
            <w:tcW w:w="902" w:type="dxa"/>
            <w:tcBorders/>
            <w:vAlign w:val="bottom"/>
          </w:tcPr>
          <w:p>
            <w:pPr>
              <w:pStyle w:val="Normal"/>
              <w:widowControl w:val="false"/>
              <w:jc w:val="right"/>
              <w:rPr>
                <w:sz w:val="24"/>
                <w:szCs w:val="24"/>
              </w:rPr>
            </w:pPr>
            <w:r>
              <w:rPr/>
              <w:t>6.492</w:t>
            </w:r>
          </w:p>
        </w:tc>
        <w:tc>
          <w:tcPr>
            <w:tcW w:w="899" w:type="dxa"/>
            <w:tcBorders/>
            <w:vAlign w:val="bottom"/>
          </w:tcPr>
          <w:p>
            <w:pPr>
              <w:pStyle w:val="Normal"/>
              <w:widowControl w:val="false"/>
              <w:jc w:val="right"/>
              <w:rPr>
                <w:sz w:val="24"/>
                <w:szCs w:val="24"/>
              </w:rPr>
            </w:pPr>
            <w:r>
              <w:rPr>
                <w:b/>
              </w:rPr>
              <w:t>0.0108</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jc w:val="right"/>
              <w:rPr>
                <w:sz w:val="24"/>
                <w:szCs w:val="24"/>
              </w:rPr>
            </w:pPr>
            <w:r>
              <w:rPr/>
              <w:t>1</w:t>
            </w:r>
          </w:p>
        </w:tc>
        <w:tc>
          <w:tcPr>
            <w:tcW w:w="810" w:type="dxa"/>
            <w:tcBorders/>
            <w:vAlign w:val="bottom"/>
          </w:tcPr>
          <w:p>
            <w:pPr>
              <w:pStyle w:val="Normal"/>
              <w:widowControl w:val="false"/>
              <w:jc w:val="right"/>
              <w:rPr>
                <w:sz w:val="24"/>
                <w:szCs w:val="24"/>
              </w:rPr>
            </w:pPr>
            <w:r>
              <w:rPr/>
              <w:t>3.0168</w:t>
            </w:r>
          </w:p>
        </w:tc>
        <w:tc>
          <w:tcPr>
            <w:tcW w:w="983" w:type="dxa"/>
            <w:tcBorders/>
            <w:vAlign w:val="bottom"/>
          </w:tcPr>
          <w:p>
            <w:pPr>
              <w:pStyle w:val="Normal"/>
              <w:widowControl w:val="false"/>
              <w:jc w:val="right"/>
              <w:rPr>
                <w:sz w:val="24"/>
                <w:szCs w:val="24"/>
              </w:rPr>
            </w:pPr>
            <w:r>
              <w:rPr/>
              <w:t>0.0824</w:t>
            </w:r>
          </w:p>
        </w:tc>
      </w:tr>
      <w:tr>
        <w:trPr>
          <w:trHeight w:val="300" w:hRule="atLeast"/>
        </w:trPr>
        <w:tc>
          <w:tcPr>
            <w:tcW w:w="2021" w:type="dxa"/>
            <w:tcBorders/>
            <w:vAlign w:val="bottom"/>
          </w:tcPr>
          <w:p>
            <w:pPr>
              <w:pStyle w:val="Normal"/>
              <w:widowControl w:val="false"/>
              <w:rPr>
                <w:sz w:val="24"/>
                <w:szCs w:val="24"/>
              </w:rPr>
            </w:pPr>
            <w:r>
              <w:rPr/>
              <w:t>Treatment (A,B,D,E)</w:t>
            </w:r>
          </w:p>
        </w:tc>
        <w:tc>
          <w:tcPr>
            <w:tcW w:w="501" w:type="dxa"/>
            <w:tcBorders/>
            <w:vAlign w:val="bottom"/>
          </w:tcPr>
          <w:p>
            <w:pPr>
              <w:pStyle w:val="Normal"/>
              <w:widowControl w:val="false"/>
              <w:jc w:val="right"/>
              <w:rPr>
                <w:sz w:val="24"/>
                <w:szCs w:val="24"/>
              </w:rPr>
            </w:pPr>
            <w:r>
              <w:rPr/>
              <w:t>3</w:t>
            </w:r>
          </w:p>
        </w:tc>
        <w:tc>
          <w:tcPr>
            <w:tcW w:w="811" w:type="dxa"/>
            <w:tcBorders/>
            <w:vAlign w:val="bottom"/>
          </w:tcPr>
          <w:p>
            <w:pPr>
              <w:pStyle w:val="Normal"/>
              <w:widowControl w:val="false"/>
              <w:jc w:val="right"/>
              <w:rPr>
                <w:sz w:val="24"/>
                <w:szCs w:val="24"/>
              </w:rPr>
            </w:pPr>
            <w:r>
              <w:rPr/>
              <w:t>6.0979</w:t>
            </w:r>
          </w:p>
        </w:tc>
        <w:tc>
          <w:tcPr>
            <w:tcW w:w="810" w:type="dxa"/>
            <w:tcBorders/>
            <w:vAlign w:val="bottom"/>
          </w:tcPr>
          <w:p>
            <w:pPr>
              <w:pStyle w:val="Normal"/>
              <w:widowControl w:val="false"/>
              <w:jc w:val="right"/>
              <w:rPr>
                <w:sz w:val="24"/>
                <w:szCs w:val="24"/>
              </w:rPr>
            </w:pPr>
            <w:r>
              <w:rPr>
                <w:b/>
              </w:rPr>
              <w:t>0.0080</w:t>
            </w:r>
          </w:p>
        </w:tc>
        <w:tc>
          <w:tcPr>
            <w:tcW w:w="181"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jc w:val="right"/>
              <w:rPr>
                <w:sz w:val="24"/>
                <w:szCs w:val="24"/>
              </w:rPr>
            </w:pPr>
            <w:r>
              <w:rPr/>
              <w:t>3</w:t>
            </w:r>
          </w:p>
        </w:tc>
        <w:tc>
          <w:tcPr>
            <w:tcW w:w="809" w:type="dxa"/>
            <w:tcBorders/>
            <w:vAlign w:val="bottom"/>
          </w:tcPr>
          <w:p>
            <w:pPr>
              <w:pStyle w:val="Normal"/>
              <w:widowControl w:val="false"/>
              <w:jc w:val="right"/>
              <w:rPr>
                <w:sz w:val="24"/>
                <w:szCs w:val="24"/>
              </w:rPr>
            </w:pPr>
            <w:r>
              <w:rPr/>
              <w:t>3.7098</w:t>
            </w:r>
          </w:p>
        </w:tc>
        <w:tc>
          <w:tcPr>
            <w:tcW w:w="901" w:type="dxa"/>
            <w:tcBorders/>
            <w:vAlign w:val="bottom"/>
          </w:tcPr>
          <w:p>
            <w:pPr>
              <w:pStyle w:val="Normal"/>
              <w:widowControl w:val="false"/>
              <w:jc w:val="right"/>
              <w:rPr>
                <w:sz w:val="24"/>
                <w:szCs w:val="24"/>
              </w:rPr>
            </w:pPr>
            <w:r>
              <w:rPr>
                <w:b/>
              </w:rPr>
              <w:t>0.00</w:t>
            </w:r>
            <w:r>
              <w:rPr>
                <w:b/>
              </w:rPr>
              <w:t>374</w:t>
            </w:r>
          </w:p>
        </w:tc>
        <w:tc>
          <w:tcPr>
            <w:tcW w:w="181" w:type="dxa"/>
            <w:tcBorders/>
            <w:vAlign w:val="bottom"/>
          </w:tcPr>
          <w:p>
            <w:pPr>
              <w:pStyle w:val="Normal"/>
              <w:widowControl w:val="false"/>
              <w:rPr>
                <w:sz w:val="24"/>
                <w:szCs w:val="24"/>
              </w:rPr>
            </w:pPr>
            <w:r>
              <w:rPr>
                <w:sz w:val="24"/>
                <w:szCs w:val="24"/>
              </w:rPr>
            </w:r>
          </w:p>
        </w:tc>
        <w:tc>
          <w:tcPr>
            <w:tcW w:w="448" w:type="dxa"/>
            <w:tcBorders/>
            <w:vAlign w:val="bottom"/>
          </w:tcPr>
          <w:p>
            <w:pPr>
              <w:pStyle w:val="Normal"/>
              <w:widowControl w:val="false"/>
              <w:jc w:val="right"/>
              <w:rPr>
                <w:sz w:val="24"/>
                <w:szCs w:val="24"/>
              </w:rPr>
            </w:pPr>
            <w:r>
              <w:rPr/>
              <w:t>3</w:t>
            </w:r>
          </w:p>
        </w:tc>
        <w:tc>
          <w:tcPr>
            <w:tcW w:w="902" w:type="dxa"/>
            <w:tcBorders/>
            <w:vAlign w:val="bottom"/>
          </w:tcPr>
          <w:p>
            <w:pPr>
              <w:pStyle w:val="Normal"/>
              <w:widowControl w:val="false"/>
              <w:jc w:val="right"/>
              <w:rPr>
                <w:sz w:val="24"/>
                <w:szCs w:val="24"/>
              </w:rPr>
            </w:pPr>
            <w:r>
              <w:rPr/>
              <w:t>5.8110</w:t>
            </w:r>
          </w:p>
        </w:tc>
        <w:tc>
          <w:tcPr>
            <w:tcW w:w="899" w:type="dxa"/>
            <w:tcBorders/>
            <w:vAlign w:val="bottom"/>
          </w:tcPr>
          <w:p>
            <w:pPr>
              <w:pStyle w:val="Normal"/>
              <w:widowControl w:val="false"/>
              <w:jc w:val="right"/>
              <w:rPr>
                <w:sz w:val="24"/>
                <w:szCs w:val="24"/>
              </w:rPr>
            </w:pPr>
            <w:r>
              <w:rPr>
                <w:b/>
              </w:rPr>
              <w:t>0.0093</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jc w:val="right"/>
              <w:rPr>
                <w:sz w:val="24"/>
                <w:szCs w:val="24"/>
              </w:rPr>
            </w:pPr>
            <w:r>
              <w:rPr/>
              <w:t>3</w:t>
            </w:r>
          </w:p>
        </w:tc>
        <w:tc>
          <w:tcPr>
            <w:tcW w:w="810" w:type="dxa"/>
            <w:tcBorders/>
            <w:vAlign w:val="bottom"/>
          </w:tcPr>
          <w:p>
            <w:pPr>
              <w:pStyle w:val="Normal"/>
              <w:widowControl w:val="false"/>
              <w:jc w:val="right"/>
              <w:rPr>
                <w:sz w:val="24"/>
                <w:szCs w:val="24"/>
              </w:rPr>
            </w:pPr>
            <w:r>
              <w:rPr/>
              <w:t>9.2687</w:t>
            </w:r>
          </w:p>
        </w:tc>
        <w:tc>
          <w:tcPr>
            <w:tcW w:w="983" w:type="dxa"/>
            <w:tcBorders/>
            <w:vAlign w:val="bottom"/>
          </w:tcPr>
          <w:p>
            <w:pPr>
              <w:pStyle w:val="Normal"/>
              <w:widowControl w:val="false"/>
              <w:jc w:val="right"/>
              <w:rPr>
                <w:sz w:val="24"/>
                <w:szCs w:val="24"/>
              </w:rPr>
            </w:pPr>
            <w:r>
              <w:rPr>
                <w:b/>
              </w:rPr>
              <w:t>0.0014</w:t>
            </w:r>
          </w:p>
        </w:tc>
      </w:tr>
      <w:tr>
        <w:trPr>
          <w:trHeight w:val="300" w:hRule="atLeast"/>
        </w:trPr>
        <w:tc>
          <w:tcPr>
            <w:tcW w:w="202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Error</w:t>
            </w:r>
          </w:p>
        </w:tc>
        <w:tc>
          <w:tcPr>
            <w:tcW w:w="501"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48"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90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89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8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r>
      <w:tr>
        <w:trPr>
          <w:trHeight w:val="300" w:hRule="atLeast"/>
        </w:trPr>
        <w:tc>
          <w:tcPr>
            <w:tcW w:w="2021" w:type="dxa"/>
            <w:tcBorders/>
            <w:vAlign w:val="bottom"/>
          </w:tcPr>
          <w:p>
            <w:pPr>
              <w:pStyle w:val="Normal"/>
              <w:widowControl w:val="false"/>
              <w:rPr>
                <w:sz w:val="24"/>
                <w:szCs w:val="24"/>
              </w:rPr>
            </w:pPr>
            <w:r>
              <w:rPr>
                <w:b/>
              </w:rPr>
              <w:t>MIDDLE</w:t>
            </w:r>
          </w:p>
        </w:tc>
        <w:tc>
          <w:tcPr>
            <w:tcW w:w="501"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rPr>
                <w:sz w:val="24"/>
                <w:szCs w:val="24"/>
              </w:rPr>
            </w:pPr>
            <w:r>
              <w:rPr>
                <w:sz w:val="24"/>
                <w:szCs w:val="24"/>
              </w:rPr>
            </w:r>
          </w:p>
        </w:tc>
        <w:tc>
          <w:tcPr>
            <w:tcW w:w="901"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448" w:type="dxa"/>
            <w:tcBorders/>
            <w:vAlign w:val="bottom"/>
          </w:tcPr>
          <w:p>
            <w:pPr>
              <w:pStyle w:val="Normal"/>
              <w:widowControl w:val="false"/>
              <w:rPr>
                <w:sz w:val="24"/>
                <w:szCs w:val="24"/>
              </w:rPr>
            </w:pPr>
            <w:r>
              <w:rPr>
                <w:sz w:val="24"/>
                <w:szCs w:val="24"/>
              </w:rPr>
            </w:r>
          </w:p>
        </w:tc>
        <w:tc>
          <w:tcPr>
            <w:tcW w:w="902" w:type="dxa"/>
            <w:tcBorders/>
            <w:vAlign w:val="bottom"/>
          </w:tcPr>
          <w:p>
            <w:pPr>
              <w:pStyle w:val="Normal"/>
              <w:widowControl w:val="false"/>
              <w:rPr>
                <w:sz w:val="24"/>
                <w:szCs w:val="24"/>
              </w:rPr>
            </w:pPr>
            <w:r>
              <w:rPr>
                <w:sz w:val="24"/>
                <w:szCs w:val="24"/>
              </w:rPr>
            </w:r>
          </w:p>
        </w:tc>
        <w:tc>
          <w:tcPr>
            <w:tcW w:w="899"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983" w:type="dxa"/>
            <w:tcBorders/>
            <w:vAlign w:val="bottom"/>
          </w:tcPr>
          <w:p>
            <w:pPr>
              <w:pStyle w:val="Normal"/>
              <w:widowControl w:val="false"/>
              <w:rPr>
                <w:sz w:val="24"/>
                <w:szCs w:val="24"/>
              </w:rPr>
            </w:pPr>
            <w:r>
              <w:rPr>
                <w:sz w:val="24"/>
                <w:szCs w:val="24"/>
              </w:rPr>
            </w:r>
          </w:p>
        </w:tc>
      </w:tr>
      <w:tr>
        <w:trPr>
          <w:trHeight w:val="276" w:hRule="atLeast"/>
        </w:trPr>
        <w:tc>
          <w:tcPr>
            <w:tcW w:w="2021" w:type="dxa"/>
            <w:tcBorders/>
            <w:vAlign w:val="bottom"/>
          </w:tcPr>
          <w:p>
            <w:pPr>
              <w:pStyle w:val="Normal"/>
              <w:widowControl w:val="false"/>
              <w:rPr>
                <w:sz w:val="24"/>
                <w:szCs w:val="24"/>
              </w:rPr>
            </w:pPr>
            <w:r>
              <w:rPr/>
              <w:t>Block</w:t>
            </w:r>
          </w:p>
        </w:tc>
        <w:tc>
          <w:tcPr>
            <w:tcW w:w="501" w:type="dxa"/>
            <w:tcBorders/>
            <w:vAlign w:val="bottom"/>
          </w:tcPr>
          <w:p>
            <w:pPr>
              <w:pStyle w:val="Normal"/>
              <w:widowControl w:val="false"/>
              <w:jc w:val="right"/>
              <w:rPr>
                <w:sz w:val="24"/>
                <w:szCs w:val="24"/>
              </w:rPr>
            </w:pPr>
            <w:r>
              <w:rPr/>
              <w:t>1</w:t>
            </w:r>
          </w:p>
        </w:tc>
        <w:tc>
          <w:tcPr>
            <w:tcW w:w="811" w:type="dxa"/>
            <w:tcBorders/>
            <w:vAlign w:val="bottom"/>
          </w:tcPr>
          <w:p>
            <w:pPr>
              <w:pStyle w:val="Normal"/>
              <w:widowControl w:val="false"/>
              <w:jc w:val="right"/>
              <w:rPr>
                <w:sz w:val="24"/>
                <w:szCs w:val="24"/>
              </w:rPr>
            </w:pPr>
            <w:r>
              <w:rPr/>
              <w:t>0.6195</w:t>
            </w:r>
          </w:p>
        </w:tc>
        <w:tc>
          <w:tcPr>
            <w:tcW w:w="810" w:type="dxa"/>
            <w:tcBorders/>
            <w:vAlign w:val="bottom"/>
          </w:tcPr>
          <w:p>
            <w:pPr>
              <w:pStyle w:val="Normal"/>
              <w:widowControl w:val="false"/>
              <w:jc w:val="right"/>
              <w:rPr>
                <w:sz w:val="24"/>
                <w:szCs w:val="24"/>
              </w:rPr>
            </w:pPr>
            <w:r>
              <w:rPr/>
              <w:t>0.4312</w:t>
            </w:r>
          </w:p>
        </w:tc>
        <w:tc>
          <w:tcPr>
            <w:tcW w:w="181"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jc w:val="right"/>
              <w:rPr>
                <w:sz w:val="24"/>
                <w:szCs w:val="24"/>
              </w:rPr>
            </w:pPr>
            <w:r>
              <w:rPr/>
              <w:t>NA</w:t>
            </w:r>
          </w:p>
        </w:tc>
        <w:tc>
          <w:tcPr>
            <w:tcW w:w="901" w:type="dxa"/>
            <w:tcBorders/>
            <w:vAlign w:val="bottom"/>
          </w:tcPr>
          <w:p>
            <w:pPr>
              <w:pStyle w:val="Normal"/>
              <w:widowControl w:val="false"/>
              <w:jc w:val="right"/>
              <w:rPr>
                <w:sz w:val="24"/>
                <w:szCs w:val="24"/>
              </w:rPr>
            </w:pPr>
            <w:r>
              <w:rPr/>
              <w:t>NA</w:t>
            </w:r>
          </w:p>
        </w:tc>
        <w:tc>
          <w:tcPr>
            <w:tcW w:w="181" w:type="dxa"/>
            <w:tcBorders/>
            <w:vAlign w:val="bottom"/>
          </w:tcPr>
          <w:p>
            <w:pPr>
              <w:pStyle w:val="Normal"/>
              <w:widowControl w:val="false"/>
              <w:rPr>
                <w:sz w:val="24"/>
                <w:szCs w:val="24"/>
              </w:rPr>
            </w:pPr>
            <w:r>
              <w:rPr>
                <w:sz w:val="24"/>
                <w:szCs w:val="24"/>
              </w:rPr>
            </w:r>
          </w:p>
        </w:tc>
        <w:tc>
          <w:tcPr>
            <w:tcW w:w="448" w:type="dxa"/>
            <w:tcBorders/>
            <w:vAlign w:val="bottom"/>
          </w:tcPr>
          <w:p>
            <w:pPr>
              <w:pStyle w:val="Normal"/>
              <w:widowControl w:val="false"/>
              <w:jc w:val="right"/>
              <w:rPr>
                <w:sz w:val="24"/>
                <w:szCs w:val="24"/>
              </w:rPr>
            </w:pPr>
            <w:r>
              <w:rPr/>
              <w:t>1</w:t>
            </w:r>
          </w:p>
        </w:tc>
        <w:tc>
          <w:tcPr>
            <w:tcW w:w="902" w:type="dxa"/>
            <w:tcBorders/>
            <w:vAlign w:val="bottom"/>
          </w:tcPr>
          <w:p>
            <w:pPr>
              <w:pStyle w:val="Normal"/>
              <w:widowControl w:val="false"/>
              <w:jc w:val="right"/>
              <w:rPr>
                <w:sz w:val="24"/>
                <w:szCs w:val="24"/>
              </w:rPr>
            </w:pPr>
            <w:r>
              <w:rPr/>
              <w:t>10.287</w:t>
            </w:r>
          </w:p>
        </w:tc>
        <w:tc>
          <w:tcPr>
            <w:tcW w:w="899" w:type="dxa"/>
            <w:tcBorders/>
            <w:vAlign w:val="bottom"/>
          </w:tcPr>
          <w:p>
            <w:pPr>
              <w:pStyle w:val="Normal"/>
              <w:widowControl w:val="false"/>
              <w:jc w:val="right"/>
              <w:rPr>
                <w:sz w:val="24"/>
                <w:szCs w:val="24"/>
              </w:rPr>
            </w:pPr>
            <w:r>
              <w:rPr>
                <w:b/>
              </w:rPr>
              <w:t>0.00134</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jc w:val="right"/>
              <w:rPr>
                <w:sz w:val="24"/>
                <w:szCs w:val="24"/>
              </w:rPr>
            </w:pPr>
            <w:r>
              <w:rPr/>
              <w:t>NA</w:t>
            </w:r>
          </w:p>
        </w:tc>
        <w:tc>
          <w:tcPr>
            <w:tcW w:w="983" w:type="dxa"/>
            <w:tcBorders/>
            <w:vAlign w:val="bottom"/>
          </w:tcPr>
          <w:p>
            <w:pPr>
              <w:pStyle w:val="Normal"/>
              <w:widowControl w:val="false"/>
              <w:jc w:val="right"/>
              <w:rPr>
                <w:sz w:val="24"/>
                <w:szCs w:val="24"/>
              </w:rPr>
            </w:pPr>
            <w:r>
              <w:rPr/>
              <w:t>NA</w:t>
            </w:r>
          </w:p>
        </w:tc>
      </w:tr>
      <w:tr>
        <w:trPr>
          <w:trHeight w:val="300" w:hRule="atLeast"/>
        </w:trPr>
        <w:tc>
          <w:tcPr>
            <w:tcW w:w="2021" w:type="dxa"/>
            <w:tcBorders/>
            <w:vAlign w:val="bottom"/>
          </w:tcPr>
          <w:p>
            <w:pPr>
              <w:pStyle w:val="Normal"/>
              <w:widowControl w:val="false"/>
              <w:rPr>
                <w:sz w:val="24"/>
                <w:szCs w:val="24"/>
              </w:rPr>
            </w:pPr>
            <w:r>
              <w:rPr/>
              <w:t>Treatment (A,B,C)</w:t>
            </w:r>
          </w:p>
        </w:tc>
        <w:tc>
          <w:tcPr>
            <w:tcW w:w="501" w:type="dxa"/>
            <w:tcBorders/>
            <w:vAlign w:val="bottom"/>
          </w:tcPr>
          <w:p>
            <w:pPr>
              <w:pStyle w:val="Normal"/>
              <w:widowControl w:val="false"/>
              <w:jc w:val="right"/>
              <w:rPr>
                <w:sz w:val="24"/>
                <w:szCs w:val="24"/>
              </w:rPr>
            </w:pPr>
            <w:r>
              <w:rPr/>
              <w:t>2</w:t>
            </w:r>
          </w:p>
        </w:tc>
        <w:tc>
          <w:tcPr>
            <w:tcW w:w="811" w:type="dxa"/>
            <w:tcBorders/>
            <w:vAlign w:val="bottom"/>
          </w:tcPr>
          <w:p>
            <w:pPr>
              <w:pStyle w:val="Normal"/>
              <w:widowControl w:val="false"/>
              <w:jc w:val="right"/>
              <w:rPr>
                <w:sz w:val="24"/>
                <w:szCs w:val="24"/>
              </w:rPr>
            </w:pPr>
            <w:r>
              <w:rPr/>
              <w:t>1.6408</w:t>
            </w:r>
          </w:p>
        </w:tc>
        <w:tc>
          <w:tcPr>
            <w:tcW w:w="810" w:type="dxa"/>
            <w:tcBorders/>
            <w:vAlign w:val="bottom"/>
          </w:tcPr>
          <w:p>
            <w:pPr>
              <w:pStyle w:val="Normal"/>
              <w:widowControl w:val="false"/>
              <w:jc w:val="right"/>
              <w:rPr>
                <w:sz w:val="24"/>
                <w:szCs w:val="24"/>
              </w:rPr>
            </w:pPr>
            <w:r>
              <w:rPr/>
              <w:t>0.2530</w:t>
            </w:r>
          </w:p>
        </w:tc>
        <w:tc>
          <w:tcPr>
            <w:tcW w:w="181"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jc w:val="right"/>
              <w:rPr>
                <w:sz w:val="24"/>
                <w:szCs w:val="24"/>
              </w:rPr>
            </w:pPr>
            <w:r>
              <w:rPr/>
              <w:t>2</w:t>
            </w:r>
          </w:p>
        </w:tc>
        <w:tc>
          <w:tcPr>
            <w:tcW w:w="809" w:type="dxa"/>
            <w:tcBorders/>
            <w:vAlign w:val="bottom"/>
          </w:tcPr>
          <w:p>
            <w:pPr>
              <w:pStyle w:val="Normal"/>
              <w:widowControl w:val="false"/>
              <w:jc w:val="right"/>
              <w:rPr>
                <w:sz w:val="24"/>
                <w:szCs w:val="24"/>
              </w:rPr>
            </w:pPr>
            <w:r>
              <w:rPr/>
              <w:t>2.</w:t>
            </w:r>
            <w:r>
              <w:rPr>
                <w:sz w:val="24"/>
                <w:szCs w:val="24"/>
              </w:rPr>
              <w:t>1129</w:t>
            </w:r>
          </w:p>
        </w:tc>
        <w:tc>
          <w:tcPr>
            <w:tcW w:w="901" w:type="dxa"/>
            <w:tcBorders/>
            <w:vAlign w:val="bottom"/>
          </w:tcPr>
          <w:p>
            <w:pPr>
              <w:pStyle w:val="Normal"/>
              <w:widowControl w:val="false"/>
              <w:jc w:val="right"/>
              <w:rPr>
                <w:sz w:val="24"/>
                <w:szCs w:val="24"/>
              </w:rPr>
            </w:pPr>
            <w:r>
              <w:rPr/>
              <w:t>0.1</w:t>
            </w:r>
            <w:r>
              <w:rPr/>
              <w:t>716</w:t>
            </w:r>
          </w:p>
        </w:tc>
        <w:tc>
          <w:tcPr>
            <w:tcW w:w="181" w:type="dxa"/>
            <w:tcBorders/>
            <w:vAlign w:val="bottom"/>
          </w:tcPr>
          <w:p>
            <w:pPr>
              <w:pStyle w:val="Normal"/>
              <w:widowControl w:val="false"/>
              <w:rPr>
                <w:sz w:val="24"/>
                <w:szCs w:val="24"/>
              </w:rPr>
            </w:pPr>
            <w:r>
              <w:rPr>
                <w:sz w:val="24"/>
                <w:szCs w:val="24"/>
              </w:rPr>
            </w:r>
          </w:p>
        </w:tc>
        <w:tc>
          <w:tcPr>
            <w:tcW w:w="448" w:type="dxa"/>
            <w:tcBorders/>
            <w:vAlign w:val="bottom"/>
          </w:tcPr>
          <w:p>
            <w:pPr>
              <w:pStyle w:val="Normal"/>
              <w:widowControl w:val="false"/>
              <w:jc w:val="right"/>
              <w:rPr>
                <w:sz w:val="24"/>
                <w:szCs w:val="24"/>
              </w:rPr>
            </w:pPr>
            <w:r>
              <w:rPr/>
              <w:t>2</w:t>
            </w:r>
          </w:p>
        </w:tc>
        <w:tc>
          <w:tcPr>
            <w:tcW w:w="902" w:type="dxa"/>
            <w:tcBorders/>
            <w:vAlign w:val="bottom"/>
          </w:tcPr>
          <w:p>
            <w:pPr>
              <w:pStyle w:val="Normal"/>
              <w:widowControl w:val="false"/>
              <w:jc w:val="right"/>
              <w:rPr>
                <w:sz w:val="24"/>
                <w:szCs w:val="24"/>
              </w:rPr>
            </w:pPr>
            <w:r>
              <w:rPr/>
              <w:t>1.9691</w:t>
            </w:r>
          </w:p>
        </w:tc>
        <w:tc>
          <w:tcPr>
            <w:tcW w:w="899" w:type="dxa"/>
            <w:tcBorders/>
            <w:vAlign w:val="bottom"/>
          </w:tcPr>
          <w:p>
            <w:pPr>
              <w:pStyle w:val="Normal"/>
              <w:widowControl w:val="false"/>
              <w:jc w:val="right"/>
              <w:rPr>
                <w:sz w:val="24"/>
                <w:szCs w:val="24"/>
              </w:rPr>
            </w:pPr>
            <w:r>
              <w:rPr/>
              <w:t>0.2004</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jc w:val="right"/>
              <w:rPr>
                <w:sz w:val="24"/>
                <w:szCs w:val="24"/>
              </w:rPr>
            </w:pPr>
            <w:r>
              <w:rPr/>
              <w:t>2</w:t>
            </w:r>
          </w:p>
        </w:tc>
        <w:tc>
          <w:tcPr>
            <w:tcW w:w="810" w:type="dxa"/>
            <w:tcBorders/>
            <w:vAlign w:val="bottom"/>
          </w:tcPr>
          <w:p>
            <w:pPr>
              <w:pStyle w:val="Normal"/>
              <w:widowControl w:val="false"/>
              <w:jc w:val="right"/>
              <w:rPr>
                <w:sz w:val="24"/>
                <w:szCs w:val="24"/>
              </w:rPr>
            </w:pPr>
            <w:r>
              <w:rPr/>
              <w:t>2.1</w:t>
            </w:r>
            <w:r>
              <w:rPr/>
              <w:t>071</w:t>
            </w:r>
          </w:p>
        </w:tc>
        <w:tc>
          <w:tcPr>
            <w:tcW w:w="983" w:type="dxa"/>
            <w:tcBorders/>
            <w:vAlign w:val="bottom"/>
          </w:tcPr>
          <w:p>
            <w:pPr>
              <w:pStyle w:val="Normal"/>
              <w:widowControl w:val="false"/>
              <w:jc w:val="right"/>
              <w:rPr>
                <w:sz w:val="24"/>
                <w:szCs w:val="24"/>
              </w:rPr>
            </w:pPr>
            <w:r>
              <w:rPr/>
              <w:t>0.17</w:t>
            </w:r>
            <w:r>
              <w:rPr>
                <w:sz w:val="24"/>
                <w:szCs w:val="24"/>
              </w:rPr>
              <w:t>26</w:t>
            </w:r>
          </w:p>
        </w:tc>
      </w:tr>
      <w:tr>
        <w:trPr>
          <w:trHeight w:val="300" w:hRule="atLeast"/>
        </w:trPr>
        <w:tc>
          <w:tcPr>
            <w:tcW w:w="202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Error</w:t>
            </w:r>
          </w:p>
        </w:tc>
        <w:tc>
          <w:tcPr>
            <w:tcW w:w="501"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8</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10</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48"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8</w:t>
            </w:r>
          </w:p>
        </w:tc>
        <w:tc>
          <w:tcPr>
            <w:tcW w:w="90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89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10</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8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r>
    </w:tbl>
    <w:p>
      <w:pPr>
        <w:pStyle w:val="Normal"/>
        <w:rPr>
          <w:sz w:val="24"/>
          <w:szCs w:val="24"/>
        </w:rPr>
      </w:pPr>
      <w:r>
        <w:rPr>
          <w:sz w:val="24"/>
          <w:szCs w:val="24"/>
        </w:rPr>
      </w:r>
    </w:p>
    <w:p>
      <w:pPr>
        <w:pStyle w:val="Normal"/>
        <w:spacing w:lineRule="auto" w:line="480"/>
        <w:rPr>
          <w:sz w:val="24"/>
          <w:szCs w:val="24"/>
        </w:rPr>
      </w:pPr>
      <w:r>
        <w:rPr>
          <w:b/>
          <w:sz w:val="24"/>
          <w:szCs w:val="24"/>
        </w:rPr>
        <w:t>Table 5.</w:t>
      </w:r>
      <w:r>
        <w:rPr>
          <w:sz w:val="24"/>
          <w:szCs w:val="24"/>
        </w:rPr>
        <w:t xml:space="preserve"> ANOVA and liklihood ratio test statistics and probabilities for linear (mixed) models of block and treatment effects on  annual basal area growth (m</w:t>
      </w:r>
      <w:r>
        <w:rPr>
          <w:sz w:val="24"/>
          <w:szCs w:val="24"/>
          <w:vertAlign w:val="superscript"/>
        </w:rPr>
        <w:t>2</w:t>
      </w:r>
      <w:r>
        <w:rPr>
          <w:sz w:val="24"/>
          <w:szCs w:val="24"/>
        </w:rPr>
        <w:t>ha</w:t>
      </w:r>
      <w:r>
        <w:rPr>
          <w:sz w:val="24"/>
          <w:szCs w:val="24"/>
          <w:vertAlign w:val="superscript"/>
        </w:rPr>
        <w:t>-1</w:t>
      </w:r>
      <w:r>
        <w:rPr>
          <w:sz w:val="24"/>
          <w:szCs w:val="24"/>
        </w:rPr>
        <w:t>year</w:t>
      </w:r>
      <w:r>
        <w:rPr>
          <w:sz w:val="24"/>
          <w:szCs w:val="24"/>
          <w:vertAlign w:val="superscript"/>
        </w:rPr>
        <w:t>-1</w:t>
      </w:r>
      <w:r>
        <w:rPr>
          <w:sz w:val="24"/>
          <w:szCs w:val="24"/>
        </w:rPr>
        <w:t>), total proportional mortality, and cause-specifc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pPr>
        <w:pStyle w:val="Normal"/>
        <w:spacing w:lineRule="auto" w:line="480"/>
        <w:rPr>
          <w:sz w:val="24"/>
          <w:szCs w:val="24"/>
        </w:rPr>
      </w:pPr>
      <w:r>
        <w:rPr>
          <w:sz w:val="24"/>
          <w:szCs w:val="24"/>
        </w:rPr>
      </w:r>
    </w:p>
    <w:p>
      <w:pPr>
        <w:sectPr>
          <w:headerReference w:type="default" r:id="rId41"/>
          <w:type w:val="nextPage"/>
          <w:pgSz w:orient="landscape" w:w="15840" w:h="12240"/>
          <w:pgMar w:left="1134" w:right="1134" w:header="0" w:top="1134" w:footer="0" w:bottom="1134" w:gutter="0"/>
          <w:lnNumType w:countBy="1" w:restart="continuous" w:distance="283"/>
          <w:pgNumType w:fmt="decimal"/>
          <w:formProt w:val="false"/>
          <w:textDirection w:val="lrTb"/>
          <w:docGrid w:type="default" w:linePitch="100" w:charSpace="4096"/>
        </w:sectPr>
        <w:pStyle w:val="Normal"/>
        <w:spacing w:lineRule="auto" w:line="480"/>
        <w:rPr>
          <w:sz w:val="24"/>
          <w:szCs w:val="24"/>
        </w:rPr>
      </w:pPr>
      <w:r>
        <w:rPr>
          <w:b/>
          <w:sz w:val="24"/>
          <w:szCs w:val="24"/>
        </w:rPr>
        <w:t>Table 6.</w:t>
      </w:r>
      <w:r>
        <w:rPr>
          <w:sz w:val="24"/>
          <w:szCs w:val="24"/>
        </w:rPr>
        <w:t xml:space="preserve"> Treatment means +/- standard error for annual basal area growth </w:t>
        <w:br/>
        <w:t>(m</w:t>
      </w:r>
      <w:r>
        <w:rPr>
          <w:sz w:val="24"/>
          <w:szCs w:val="24"/>
          <w:vertAlign w:val="superscript"/>
        </w:rPr>
        <w:t>2</w:t>
      </w:r>
      <w:r>
        <w:rPr>
          <w:sz w:val="24"/>
          <w:szCs w:val="24"/>
        </w:rPr>
        <w:t>ha</w:t>
      </w:r>
      <w:r>
        <w:rPr>
          <w:sz w:val="24"/>
          <w:szCs w:val="24"/>
          <w:vertAlign w:val="superscript"/>
        </w:rPr>
        <w:t>-1</w:t>
      </w:r>
      <w:r>
        <w:rPr>
          <w:sz w:val="24"/>
          <w:szCs w:val="24"/>
        </w:rPr>
        <w:t>year</w:t>
      </w:r>
      <w:r>
        <w:rPr>
          <w:sz w:val="24"/>
          <w:szCs w:val="24"/>
          <w:vertAlign w:val="superscript"/>
        </w:rPr>
        <w:t>-1</w:t>
      </w:r>
      <w:r>
        <w:rPr>
          <w:sz w:val="24"/>
          <w:szCs w:val="24"/>
        </w:rPr>
        <w:t>), total proportional mortality, and cause-specifc proportional mortality across early, middle, and late measurement periods. Late time period means for all variables are measured means. Annual total mortality means for early and middle time periods, and suppression mortality for middle time period are estimated marginal means. All others means are are least-squares means.</w:t>
      </w:r>
    </w:p>
    <w:p>
      <w:pPr>
        <w:pStyle w:val="Normal"/>
        <w:spacing w:lineRule="auto" w:line="480"/>
        <w:rPr>
          <w:sz w:val="24"/>
          <w:szCs w:val="24"/>
        </w:rPr>
      </w:pPr>
      <w:r>
        <w:rPr>
          <w:sz w:val="24"/>
          <w:szCs w:val="24"/>
        </w:rPr>
      </w:r>
    </w:p>
    <w:tbl>
      <w:tblPr>
        <w:tblW w:w="5952" w:type="dxa"/>
        <w:jc w:val="left"/>
        <w:tblInd w:w="-5" w:type="dxa"/>
        <w:tblLayout w:type="fixed"/>
        <w:tblCellMar>
          <w:top w:w="55" w:type="dxa"/>
          <w:left w:w="55" w:type="dxa"/>
          <w:bottom w:w="55" w:type="dxa"/>
          <w:right w:w="55" w:type="dxa"/>
        </w:tblCellMar>
        <w:tblLook w:firstRow="1" w:noVBand="1" w:lastRow="0" w:firstColumn="1" w:lastColumn="0" w:noHBand="0" w:val="04a0"/>
      </w:tblPr>
      <w:tblGrid>
        <w:gridCol w:w="992"/>
        <w:gridCol w:w="1256"/>
        <w:gridCol w:w="188"/>
        <w:gridCol w:w="964"/>
        <w:gridCol w:w="158"/>
        <w:gridCol w:w="963"/>
        <w:gridCol w:w="131"/>
        <w:gridCol w:w="1299"/>
      </w:tblGrid>
      <w:tr>
        <w:trPr>
          <w:trHeight w:val="1200" w:hRule="atLeast"/>
        </w:trPr>
        <w:tc>
          <w:tcPr>
            <w:tcW w:w="992" w:type="dxa"/>
            <w:tcBorders>
              <w:top w:val="single" w:sz="4" w:space="0" w:color="000000"/>
            </w:tcBorders>
            <w:vAlign w:val="bottom"/>
          </w:tcPr>
          <w:p>
            <w:pPr>
              <w:pStyle w:val="Normal"/>
              <w:widowControl w:val="false"/>
              <w:rPr>
                <w:sz w:val="24"/>
                <w:szCs w:val="24"/>
              </w:rPr>
            </w:pPr>
            <w:r>
              <w:rPr>
                <w:sz w:val="24"/>
                <w:szCs w:val="24"/>
              </w:rPr>
            </w:r>
          </w:p>
        </w:tc>
        <w:tc>
          <w:tcPr>
            <w:tcW w:w="1256" w:type="dxa"/>
            <w:tcBorders>
              <w:top w:val="single" w:sz="4" w:space="0" w:color="000000"/>
              <w:bottom w:val="single" w:sz="4" w:space="0" w:color="000000"/>
            </w:tcBorders>
            <w:vAlign w:val="bottom"/>
          </w:tcPr>
          <w:p>
            <w:pPr>
              <w:pStyle w:val="Normal"/>
              <w:widowControl w:val="false"/>
              <w:jc w:val="center"/>
              <w:rPr>
                <w:sz w:val="24"/>
                <w:szCs w:val="24"/>
              </w:rPr>
            </w:pPr>
            <w:r>
              <w:rPr/>
              <w:t>annual BA increment</w:t>
            </w:r>
          </w:p>
        </w:tc>
        <w:tc>
          <w:tcPr>
            <w:tcW w:w="188" w:type="dxa"/>
            <w:tcBorders>
              <w:top w:val="single" w:sz="4" w:space="0" w:color="000000"/>
            </w:tcBorders>
            <w:vAlign w:val="bottom"/>
          </w:tcPr>
          <w:p>
            <w:pPr>
              <w:pStyle w:val="Normal"/>
              <w:widowControl w:val="false"/>
              <w:rPr>
                <w:sz w:val="24"/>
                <w:szCs w:val="24"/>
              </w:rPr>
            </w:pPr>
            <w:r>
              <w:rPr>
                <w:sz w:val="24"/>
                <w:szCs w:val="24"/>
              </w:rPr>
            </w:r>
          </w:p>
        </w:tc>
        <w:tc>
          <w:tcPr>
            <w:tcW w:w="964" w:type="dxa"/>
            <w:tcBorders>
              <w:top w:val="single" w:sz="4" w:space="0" w:color="000000"/>
              <w:bottom w:val="single" w:sz="4" w:space="0" w:color="000000"/>
            </w:tcBorders>
            <w:vAlign w:val="bottom"/>
          </w:tcPr>
          <w:p>
            <w:pPr>
              <w:pStyle w:val="Normal"/>
              <w:widowControl w:val="false"/>
              <w:jc w:val="center"/>
              <w:rPr>
                <w:sz w:val="24"/>
                <w:szCs w:val="24"/>
              </w:rPr>
            </w:pPr>
            <w:r>
              <w:rPr/>
              <w:t>annual total mortality</w:t>
            </w:r>
          </w:p>
        </w:tc>
        <w:tc>
          <w:tcPr>
            <w:tcW w:w="158" w:type="dxa"/>
            <w:tcBorders>
              <w:top w:val="single" w:sz="4" w:space="0" w:color="000000"/>
            </w:tcBorders>
            <w:vAlign w:val="bottom"/>
          </w:tcPr>
          <w:p>
            <w:pPr>
              <w:pStyle w:val="Normal"/>
              <w:widowControl w:val="false"/>
              <w:rPr>
                <w:sz w:val="24"/>
                <w:szCs w:val="24"/>
              </w:rPr>
            </w:pPr>
            <w:r>
              <w:rPr>
                <w:sz w:val="24"/>
                <w:szCs w:val="24"/>
              </w:rPr>
            </w:r>
          </w:p>
        </w:tc>
        <w:tc>
          <w:tcPr>
            <w:tcW w:w="963" w:type="dxa"/>
            <w:tcBorders>
              <w:top w:val="single" w:sz="4" w:space="0" w:color="000000"/>
              <w:bottom w:val="single" w:sz="4" w:space="0" w:color="000000"/>
            </w:tcBorders>
            <w:vAlign w:val="bottom"/>
          </w:tcPr>
          <w:p>
            <w:pPr>
              <w:pStyle w:val="Normal"/>
              <w:widowControl w:val="false"/>
              <w:jc w:val="center"/>
              <w:rPr>
                <w:sz w:val="24"/>
                <w:szCs w:val="24"/>
              </w:rPr>
            </w:pPr>
            <w:r>
              <w:rPr/>
              <w:t>annual LRR mortality</w:t>
            </w:r>
          </w:p>
        </w:tc>
        <w:tc>
          <w:tcPr>
            <w:tcW w:w="131" w:type="dxa"/>
            <w:tcBorders>
              <w:top w:val="single" w:sz="4" w:space="0" w:color="000000"/>
            </w:tcBorders>
            <w:vAlign w:val="bottom"/>
          </w:tcPr>
          <w:p>
            <w:pPr>
              <w:pStyle w:val="Normal"/>
              <w:widowControl w:val="false"/>
              <w:rPr>
                <w:sz w:val="24"/>
                <w:szCs w:val="24"/>
              </w:rPr>
            </w:pPr>
            <w:r>
              <w:rPr>
                <w:sz w:val="24"/>
                <w:szCs w:val="24"/>
              </w:rPr>
            </w:r>
          </w:p>
        </w:tc>
        <w:tc>
          <w:tcPr>
            <w:tcW w:w="1299" w:type="dxa"/>
            <w:tcBorders>
              <w:top w:val="single" w:sz="4" w:space="0" w:color="000000"/>
              <w:bottom w:val="single" w:sz="4" w:space="0" w:color="000000"/>
            </w:tcBorders>
            <w:vAlign w:val="bottom"/>
          </w:tcPr>
          <w:p>
            <w:pPr>
              <w:pStyle w:val="Normal"/>
              <w:widowControl w:val="false"/>
              <w:jc w:val="center"/>
              <w:rPr>
                <w:sz w:val="24"/>
                <w:szCs w:val="24"/>
              </w:rPr>
            </w:pPr>
            <w:r>
              <w:rPr/>
              <w:t>annual suppression mortality</w:t>
            </w:r>
          </w:p>
        </w:tc>
      </w:tr>
      <w:tr>
        <w:trPr>
          <w:trHeight w:val="300" w:hRule="atLeast"/>
        </w:trPr>
        <w:tc>
          <w:tcPr>
            <w:tcW w:w="992" w:type="dxa"/>
            <w:tcBorders>
              <w:bottom w:val="single" w:sz="4" w:space="0" w:color="000000"/>
            </w:tcBorders>
            <w:vAlign w:val="bottom"/>
          </w:tcPr>
          <w:p>
            <w:pPr>
              <w:pStyle w:val="Normal"/>
              <w:widowControl w:val="false"/>
              <w:rPr>
                <w:sz w:val="24"/>
                <w:szCs w:val="24"/>
              </w:rPr>
            </w:pPr>
            <w:r>
              <w:rPr>
                <w:sz w:val="24"/>
                <w:szCs w:val="24"/>
              </w:rPr>
            </w:r>
          </w:p>
        </w:tc>
        <w:tc>
          <w:tcPr>
            <w:tcW w:w="1256" w:type="dxa"/>
            <w:tcBorders>
              <w:bottom w:val="single" w:sz="4" w:space="0" w:color="000000"/>
            </w:tcBorders>
            <w:vAlign w:val="bottom"/>
          </w:tcPr>
          <w:p>
            <w:pPr>
              <w:pStyle w:val="Normal"/>
              <w:widowControl w:val="false"/>
              <w:rPr>
                <w:sz w:val="24"/>
                <w:szCs w:val="24"/>
              </w:rPr>
            </w:pPr>
            <w:r>
              <w:rPr/>
              <w:t>intercept</w:t>
            </w:r>
          </w:p>
        </w:tc>
        <w:tc>
          <w:tcPr>
            <w:tcW w:w="188" w:type="dxa"/>
            <w:tcBorders>
              <w:bottom w:val="single" w:sz="4" w:space="0" w:color="000000"/>
            </w:tcBorders>
            <w:vAlign w:val="bottom"/>
          </w:tcPr>
          <w:p>
            <w:pPr>
              <w:pStyle w:val="Normal"/>
              <w:widowControl w:val="false"/>
              <w:rPr>
                <w:sz w:val="24"/>
                <w:szCs w:val="24"/>
              </w:rPr>
            </w:pPr>
            <w:r>
              <w:rPr>
                <w:sz w:val="24"/>
                <w:szCs w:val="24"/>
              </w:rPr>
            </w:r>
          </w:p>
        </w:tc>
        <w:tc>
          <w:tcPr>
            <w:tcW w:w="964" w:type="dxa"/>
            <w:tcBorders>
              <w:bottom w:val="single" w:sz="4" w:space="0" w:color="000000"/>
            </w:tcBorders>
            <w:vAlign w:val="bottom"/>
          </w:tcPr>
          <w:p>
            <w:pPr>
              <w:pStyle w:val="Normal"/>
              <w:widowControl w:val="false"/>
              <w:rPr>
                <w:sz w:val="24"/>
                <w:szCs w:val="24"/>
              </w:rPr>
            </w:pPr>
            <w:r>
              <w:rPr/>
              <w:t>intercept</w:t>
            </w:r>
          </w:p>
        </w:tc>
        <w:tc>
          <w:tcPr>
            <w:tcW w:w="158" w:type="dxa"/>
            <w:tcBorders>
              <w:bottom w:val="single" w:sz="4" w:space="0" w:color="000000"/>
            </w:tcBorders>
            <w:vAlign w:val="bottom"/>
          </w:tcPr>
          <w:p>
            <w:pPr>
              <w:pStyle w:val="Normal"/>
              <w:widowControl w:val="false"/>
              <w:rPr>
                <w:sz w:val="24"/>
                <w:szCs w:val="24"/>
              </w:rPr>
            </w:pPr>
            <w:r>
              <w:rPr>
                <w:sz w:val="24"/>
                <w:szCs w:val="24"/>
              </w:rPr>
            </w:r>
          </w:p>
        </w:tc>
        <w:tc>
          <w:tcPr>
            <w:tcW w:w="963" w:type="dxa"/>
            <w:tcBorders>
              <w:bottom w:val="single" w:sz="4" w:space="0" w:color="000000"/>
            </w:tcBorders>
            <w:vAlign w:val="bottom"/>
          </w:tcPr>
          <w:p>
            <w:pPr>
              <w:pStyle w:val="Normal"/>
              <w:widowControl w:val="false"/>
              <w:rPr>
                <w:sz w:val="24"/>
                <w:szCs w:val="24"/>
              </w:rPr>
            </w:pPr>
            <w:r>
              <w:rPr/>
              <w:t>intercept</w:t>
            </w:r>
          </w:p>
        </w:tc>
        <w:tc>
          <w:tcPr>
            <w:tcW w:w="131" w:type="dxa"/>
            <w:tcBorders>
              <w:bottom w:val="single" w:sz="4" w:space="0" w:color="000000"/>
            </w:tcBorders>
            <w:vAlign w:val="bottom"/>
          </w:tcPr>
          <w:p>
            <w:pPr>
              <w:pStyle w:val="Normal"/>
              <w:widowControl w:val="false"/>
              <w:rPr>
                <w:sz w:val="24"/>
                <w:szCs w:val="24"/>
              </w:rPr>
            </w:pPr>
            <w:r>
              <w:rPr>
                <w:sz w:val="24"/>
                <w:szCs w:val="24"/>
              </w:rPr>
            </w:r>
          </w:p>
        </w:tc>
        <w:tc>
          <w:tcPr>
            <w:tcW w:w="1299" w:type="dxa"/>
            <w:tcBorders>
              <w:bottom w:val="single" w:sz="4" w:space="0" w:color="000000"/>
            </w:tcBorders>
            <w:vAlign w:val="bottom"/>
          </w:tcPr>
          <w:p>
            <w:pPr>
              <w:pStyle w:val="Normal"/>
              <w:widowControl w:val="false"/>
              <w:rPr>
                <w:sz w:val="24"/>
                <w:szCs w:val="24"/>
              </w:rPr>
            </w:pPr>
            <w:r>
              <w:rPr/>
              <w:t>intercept</w:t>
            </w:r>
          </w:p>
        </w:tc>
      </w:tr>
      <w:tr>
        <w:trPr>
          <w:trHeight w:val="300" w:hRule="atLeast"/>
        </w:trPr>
        <w:tc>
          <w:tcPr>
            <w:tcW w:w="992" w:type="dxa"/>
            <w:tcBorders/>
            <w:tcMar>
              <w:top w:w="0" w:type="dxa"/>
              <w:left w:w="30" w:type="dxa"/>
              <w:bottom w:w="0" w:type="dxa"/>
              <w:right w:w="30" w:type="dxa"/>
            </w:tcMar>
            <w:vAlign w:val="bottom"/>
          </w:tcPr>
          <w:p>
            <w:pPr>
              <w:pStyle w:val="Normal"/>
              <w:widowControl w:val="false"/>
              <w:rPr>
                <w:sz w:val="24"/>
                <w:szCs w:val="24"/>
              </w:rPr>
            </w:pPr>
            <w:r>
              <w:rPr>
                <w:b/>
              </w:rPr>
              <w:t>EARLY</w:t>
            </w:r>
          </w:p>
        </w:tc>
        <w:tc>
          <w:tcPr>
            <w:tcW w:w="1256"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188"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964"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158"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963"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131"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1299" w:type="dxa"/>
            <w:tcBorders/>
            <w:tcMar>
              <w:top w:w="0" w:type="dxa"/>
              <w:left w:w="30" w:type="dxa"/>
              <w:bottom w:w="0" w:type="dxa"/>
              <w:right w:w="30" w:type="dxa"/>
            </w:tcMar>
            <w:vAlign w:val="bottom"/>
          </w:tcPr>
          <w:p>
            <w:pPr>
              <w:pStyle w:val="Normal"/>
              <w:widowControl w:val="false"/>
              <w:rPr>
                <w:sz w:val="24"/>
                <w:szCs w:val="24"/>
              </w:rPr>
            </w:pPr>
            <w:r>
              <w:rPr>
                <w:sz w:val="24"/>
                <w:szCs w:val="24"/>
              </w:rPr>
            </w:r>
          </w:p>
        </w:tc>
      </w:tr>
      <w:tr>
        <w:trPr>
          <w:trHeight w:val="276" w:hRule="atLeast"/>
        </w:trPr>
        <w:tc>
          <w:tcPr>
            <w:tcW w:w="992" w:type="dxa"/>
            <w:tcBorders/>
            <w:tcMar>
              <w:top w:w="0" w:type="dxa"/>
              <w:left w:w="30" w:type="dxa"/>
              <w:bottom w:w="0" w:type="dxa"/>
              <w:right w:w="30" w:type="dxa"/>
            </w:tcMar>
            <w:vAlign w:val="bottom"/>
          </w:tcPr>
          <w:p>
            <w:pPr>
              <w:pStyle w:val="Normal"/>
              <w:widowControl w:val="false"/>
              <w:rPr>
                <w:sz w:val="24"/>
                <w:szCs w:val="24"/>
              </w:rPr>
            </w:pPr>
            <w:r>
              <w:rPr/>
              <w:t>B1</w:t>
            </w:r>
          </w:p>
        </w:tc>
        <w:tc>
          <w:tcPr>
            <w:tcW w:w="1256" w:type="dxa"/>
            <w:tcBorders/>
            <w:tcMar>
              <w:top w:w="0" w:type="dxa"/>
              <w:left w:w="30" w:type="dxa"/>
              <w:bottom w:w="0" w:type="dxa"/>
              <w:right w:w="30" w:type="dxa"/>
            </w:tcMar>
            <w:vAlign w:val="bottom"/>
          </w:tcPr>
          <w:p>
            <w:pPr>
              <w:pStyle w:val="Normal"/>
              <w:widowControl w:val="false"/>
              <w:jc w:val="right"/>
              <w:rPr>
                <w:sz w:val="24"/>
                <w:szCs w:val="24"/>
              </w:rPr>
            </w:pPr>
            <w:r>
              <w:rPr/>
              <w:t>0.0474</w:t>
            </w:r>
          </w:p>
        </w:tc>
        <w:tc>
          <w:tcPr>
            <w:tcW w:w="188"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964" w:type="dxa"/>
            <w:tcBorders/>
            <w:tcMar>
              <w:top w:w="0" w:type="dxa"/>
              <w:left w:w="30" w:type="dxa"/>
              <w:bottom w:w="0" w:type="dxa"/>
              <w:right w:w="30" w:type="dxa"/>
            </w:tcMar>
            <w:vAlign w:val="bottom"/>
          </w:tcPr>
          <w:p>
            <w:pPr>
              <w:pStyle w:val="Normal"/>
              <w:widowControl w:val="false"/>
              <w:jc w:val="right"/>
              <w:rPr>
                <w:sz w:val="24"/>
                <w:szCs w:val="24"/>
              </w:rPr>
            </w:pPr>
            <w:r>
              <w:rPr/>
              <w:t>NA</w:t>
            </w:r>
          </w:p>
        </w:tc>
        <w:tc>
          <w:tcPr>
            <w:tcW w:w="158"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963" w:type="dxa"/>
            <w:tcBorders/>
            <w:tcMar>
              <w:top w:w="0" w:type="dxa"/>
              <w:left w:w="30" w:type="dxa"/>
              <w:bottom w:w="0" w:type="dxa"/>
              <w:right w:w="30" w:type="dxa"/>
            </w:tcMar>
            <w:vAlign w:val="bottom"/>
          </w:tcPr>
          <w:p>
            <w:pPr>
              <w:pStyle w:val="Normal"/>
              <w:widowControl w:val="false"/>
              <w:jc w:val="right"/>
              <w:rPr>
                <w:sz w:val="24"/>
                <w:szCs w:val="24"/>
              </w:rPr>
            </w:pPr>
            <w:r>
              <w:rPr/>
              <w:t>-0.0128</w:t>
            </w:r>
          </w:p>
        </w:tc>
        <w:tc>
          <w:tcPr>
            <w:tcW w:w="131"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1299" w:type="dxa"/>
            <w:tcBorders/>
            <w:tcMar>
              <w:top w:w="0" w:type="dxa"/>
              <w:left w:w="30" w:type="dxa"/>
              <w:bottom w:w="0" w:type="dxa"/>
              <w:right w:w="30" w:type="dxa"/>
            </w:tcMar>
            <w:vAlign w:val="bottom"/>
          </w:tcPr>
          <w:p>
            <w:pPr>
              <w:pStyle w:val="Normal"/>
              <w:widowControl w:val="false"/>
              <w:jc w:val="right"/>
              <w:rPr>
                <w:sz w:val="24"/>
                <w:szCs w:val="24"/>
              </w:rPr>
            </w:pPr>
            <w:r>
              <w:rPr/>
              <w:t>0.0133</w:t>
            </w:r>
          </w:p>
        </w:tc>
      </w:tr>
      <w:tr>
        <w:trPr>
          <w:trHeight w:val="276" w:hRule="atLeast"/>
        </w:trPr>
        <w:tc>
          <w:tcPr>
            <w:tcW w:w="992" w:type="dxa"/>
            <w:tcBorders/>
            <w:tcMar>
              <w:top w:w="0" w:type="dxa"/>
              <w:left w:w="30" w:type="dxa"/>
              <w:bottom w:w="0" w:type="dxa"/>
              <w:right w:w="30" w:type="dxa"/>
            </w:tcMar>
            <w:vAlign w:val="bottom"/>
          </w:tcPr>
          <w:p>
            <w:pPr>
              <w:pStyle w:val="Normal"/>
              <w:widowControl w:val="false"/>
              <w:rPr>
                <w:sz w:val="24"/>
                <w:szCs w:val="24"/>
              </w:rPr>
            </w:pPr>
            <w:r>
              <w:rPr/>
              <w:t>B2</w:t>
            </w:r>
          </w:p>
        </w:tc>
        <w:tc>
          <w:tcPr>
            <w:tcW w:w="1256" w:type="dxa"/>
            <w:tcBorders/>
            <w:tcMar>
              <w:top w:w="0" w:type="dxa"/>
              <w:left w:w="30" w:type="dxa"/>
              <w:bottom w:w="0" w:type="dxa"/>
              <w:right w:w="30" w:type="dxa"/>
            </w:tcMar>
            <w:vAlign w:val="bottom"/>
          </w:tcPr>
          <w:p>
            <w:pPr>
              <w:pStyle w:val="Normal"/>
              <w:widowControl w:val="false"/>
              <w:jc w:val="right"/>
              <w:rPr>
                <w:sz w:val="24"/>
                <w:szCs w:val="24"/>
              </w:rPr>
            </w:pPr>
            <w:r>
              <w:rPr/>
              <w:t>0.0628</w:t>
            </w:r>
          </w:p>
        </w:tc>
        <w:tc>
          <w:tcPr>
            <w:tcW w:w="188"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964" w:type="dxa"/>
            <w:tcBorders/>
            <w:tcMar>
              <w:top w:w="0" w:type="dxa"/>
              <w:left w:w="30" w:type="dxa"/>
              <w:bottom w:w="0" w:type="dxa"/>
              <w:right w:w="30" w:type="dxa"/>
            </w:tcMar>
            <w:vAlign w:val="bottom"/>
          </w:tcPr>
          <w:p>
            <w:pPr>
              <w:pStyle w:val="Normal"/>
              <w:widowControl w:val="false"/>
              <w:jc w:val="right"/>
              <w:rPr>
                <w:sz w:val="24"/>
                <w:szCs w:val="24"/>
              </w:rPr>
            </w:pPr>
            <w:r>
              <w:rPr/>
              <w:t>NA</w:t>
            </w:r>
          </w:p>
        </w:tc>
        <w:tc>
          <w:tcPr>
            <w:tcW w:w="158"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963" w:type="dxa"/>
            <w:tcBorders/>
            <w:tcMar>
              <w:top w:w="0" w:type="dxa"/>
              <w:left w:w="30" w:type="dxa"/>
              <w:bottom w:w="0" w:type="dxa"/>
              <w:right w:w="30" w:type="dxa"/>
            </w:tcMar>
            <w:vAlign w:val="bottom"/>
          </w:tcPr>
          <w:p>
            <w:pPr>
              <w:pStyle w:val="Normal"/>
              <w:widowControl w:val="false"/>
              <w:jc w:val="right"/>
              <w:rPr>
                <w:sz w:val="24"/>
                <w:szCs w:val="24"/>
              </w:rPr>
            </w:pPr>
            <w:r>
              <w:rPr/>
              <w:t>-0.0061</w:t>
            </w:r>
          </w:p>
        </w:tc>
        <w:tc>
          <w:tcPr>
            <w:tcW w:w="131"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1299" w:type="dxa"/>
            <w:tcBorders/>
            <w:tcMar>
              <w:top w:w="0" w:type="dxa"/>
              <w:left w:w="30" w:type="dxa"/>
              <w:bottom w:w="0" w:type="dxa"/>
              <w:right w:w="30" w:type="dxa"/>
            </w:tcMar>
            <w:vAlign w:val="bottom"/>
          </w:tcPr>
          <w:p>
            <w:pPr>
              <w:pStyle w:val="Normal"/>
              <w:widowControl w:val="false"/>
              <w:jc w:val="right"/>
              <w:rPr>
                <w:sz w:val="24"/>
                <w:szCs w:val="24"/>
              </w:rPr>
            </w:pPr>
            <w:r>
              <w:rPr/>
              <w:t>-0.0007</w:t>
            </w:r>
          </w:p>
        </w:tc>
      </w:tr>
      <w:tr>
        <w:trPr>
          <w:trHeight w:val="276" w:hRule="atLeast"/>
        </w:trPr>
        <w:tc>
          <w:tcPr>
            <w:tcW w:w="992" w:type="dxa"/>
            <w:tcBorders/>
            <w:tcMar>
              <w:top w:w="0" w:type="dxa"/>
              <w:left w:w="30" w:type="dxa"/>
              <w:bottom w:w="0" w:type="dxa"/>
              <w:right w:w="30" w:type="dxa"/>
            </w:tcMar>
            <w:vAlign w:val="bottom"/>
          </w:tcPr>
          <w:p>
            <w:pPr>
              <w:pStyle w:val="Normal"/>
              <w:widowControl w:val="false"/>
              <w:rPr>
                <w:sz w:val="24"/>
                <w:szCs w:val="24"/>
              </w:rPr>
            </w:pPr>
            <w:r>
              <w:rPr/>
              <w:t>B3</w:t>
            </w:r>
          </w:p>
        </w:tc>
        <w:tc>
          <w:tcPr>
            <w:tcW w:w="1256" w:type="dxa"/>
            <w:tcBorders/>
            <w:tcMar>
              <w:top w:w="0" w:type="dxa"/>
              <w:left w:w="30" w:type="dxa"/>
              <w:bottom w:w="0" w:type="dxa"/>
              <w:right w:w="30" w:type="dxa"/>
            </w:tcMar>
            <w:vAlign w:val="bottom"/>
          </w:tcPr>
          <w:p>
            <w:pPr>
              <w:pStyle w:val="Normal"/>
              <w:widowControl w:val="false"/>
              <w:jc w:val="right"/>
              <w:rPr>
                <w:sz w:val="24"/>
                <w:szCs w:val="24"/>
              </w:rPr>
            </w:pPr>
            <w:r>
              <w:rPr/>
              <w:t>-0.1856</w:t>
            </w:r>
          </w:p>
        </w:tc>
        <w:tc>
          <w:tcPr>
            <w:tcW w:w="188"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964" w:type="dxa"/>
            <w:tcBorders/>
            <w:tcMar>
              <w:top w:w="0" w:type="dxa"/>
              <w:left w:w="30" w:type="dxa"/>
              <w:bottom w:w="0" w:type="dxa"/>
              <w:right w:w="30" w:type="dxa"/>
            </w:tcMar>
            <w:vAlign w:val="bottom"/>
          </w:tcPr>
          <w:p>
            <w:pPr>
              <w:pStyle w:val="Normal"/>
              <w:widowControl w:val="false"/>
              <w:jc w:val="right"/>
              <w:rPr>
                <w:sz w:val="24"/>
                <w:szCs w:val="24"/>
              </w:rPr>
            </w:pPr>
            <w:r>
              <w:rPr/>
              <w:t>NA</w:t>
            </w:r>
          </w:p>
        </w:tc>
        <w:tc>
          <w:tcPr>
            <w:tcW w:w="158"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963" w:type="dxa"/>
            <w:tcBorders/>
            <w:tcMar>
              <w:top w:w="0" w:type="dxa"/>
              <w:left w:w="30" w:type="dxa"/>
              <w:bottom w:w="0" w:type="dxa"/>
              <w:right w:w="30" w:type="dxa"/>
            </w:tcMar>
            <w:vAlign w:val="bottom"/>
          </w:tcPr>
          <w:p>
            <w:pPr>
              <w:pStyle w:val="Normal"/>
              <w:widowControl w:val="false"/>
              <w:jc w:val="right"/>
              <w:rPr>
                <w:sz w:val="24"/>
                <w:szCs w:val="24"/>
              </w:rPr>
            </w:pPr>
            <w:r>
              <w:rPr/>
              <w:t>-0.0130</w:t>
            </w:r>
          </w:p>
        </w:tc>
        <w:tc>
          <w:tcPr>
            <w:tcW w:w="131"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1299" w:type="dxa"/>
            <w:tcBorders/>
            <w:tcMar>
              <w:top w:w="0" w:type="dxa"/>
              <w:left w:w="30" w:type="dxa"/>
              <w:bottom w:w="0" w:type="dxa"/>
              <w:right w:w="30" w:type="dxa"/>
            </w:tcMar>
            <w:vAlign w:val="bottom"/>
          </w:tcPr>
          <w:p>
            <w:pPr>
              <w:pStyle w:val="Normal"/>
              <w:widowControl w:val="false"/>
              <w:jc w:val="right"/>
              <w:rPr>
                <w:sz w:val="24"/>
                <w:szCs w:val="24"/>
              </w:rPr>
            </w:pPr>
            <w:r>
              <w:rPr/>
              <w:t>0.0118</w:t>
            </w:r>
          </w:p>
        </w:tc>
      </w:tr>
      <w:tr>
        <w:trPr>
          <w:trHeight w:val="276" w:hRule="atLeast"/>
        </w:trPr>
        <w:tc>
          <w:tcPr>
            <w:tcW w:w="992" w:type="dxa"/>
            <w:tcBorders/>
            <w:tcMar>
              <w:top w:w="0" w:type="dxa"/>
              <w:left w:w="30" w:type="dxa"/>
              <w:bottom w:w="0" w:type="dxa"/>
              <w:right w:w="30" w:type="dxa"/>
            </w:tcMar>
            <w:vAlign w:val="bottom"/>
          </w:tcPr>
          <w:p>
            <w:pPr>
              <w:pStyle w:val="Normal"/>
              <w:widowControl w:val="false"/>
              <w:rPr>
                <w:sz w:val="24"/>
                <w:szCs w:val="24"/>
              </w:rPr>
            </w:pPr>
            <w:r>
              <w:rPr/>
              <w:t>B4</w:t>
            </w:r>
          </w:p>
        </w:tc>
        <w:tc>
          <w:tcPr>
            <w:tcW w:w="1256" w:type="dxa"/>
            <w:tcBorders/>
            <w:tcMar>
              <w:top w:w="0" w:type="dxa"/>
              <w:left w:w="30" w:type="dxa"/>
              <w:bottom w:w="0" w:type="dxa"/>
              <w:right w:w="30" w:type="dxa"/>
            </w:tcMar>
            <w:vAlign w:val="bottom"/>
          </w:tcPr>
          <w:p>
            <w:pPr>
              <w:pStyle w:val="Normal"/>
              <w:widowControl w:val="false"/>
              <w:jc w:val="right"/>
              <w:rPr>
                <w:sz w:val="24"/>
                <w:szCs w:val="24"/>
              </w:rPr>
            </w:pPr>
            <w:r>
              <w:rPr/>
              <w:t>-0.0701</w:t>
            </w:r>
          </w:p>
        </w:tc>
        <w:tc>
          <w:tcPr>
            <w:tcW w:w="188"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964" w:type="dxa"/>
            <w:tcBorders/>
            <w:tcMar>
              <w:top w:w="0" w:type="dxa"/>
              <w:left w:w="30" w:type="dxa"/>
              <w:bottom w:w="0" w:type="dxa"/>
              <w:right w:w="30" w:type="dxa"/>
            </w:tcMar>
            <w:vAlign w:val="bottom"/>
          </w:tcPr>
          <w:p>
            <w:pPr>
              <w:pStyle w:val="Normal"/>
              <w:widowControl w:val="false"/>
              <w:jc w:val="right"/>
              <w:rPr>
                <w:sz w:val="24"/>
                <w:szCs w:val="24"/>
              </w:rPr>
            </w:pPr>
            <w:r>
              <w:rPr/>
              <w:t>NA</w:t>
            </w:r>
          </w:p>
        </w:tc>
        <w:tc>
          <w:tcPr>
            <w:tcW w:w="158"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963" w:type="dxa"/>
            <w:tcBorders/>
            <w:tcMar>
              <w:top w:w="0" w:type="dxa"/>
              <w:left w:w="30" w:type="dxa"/>
              <w:bottom w:w="0" w:type="dxa"/>
              <w:right w:w="30" w:type="dxa"/>
            </w:tcMar>
            <w:vAlign w:val="bottom"/>
          </w:tcPr>
          <w:p>
            <w:pPr>
              <w:pStyle w:val="Normal"/>
              <w:widowControl w:val="false"/>
              <w:jc w:val="right"/>
              <w:rPr>
                <w:sz w:val="24"/>
                <w:szCs w:val="24"/>
              </w:rPr>
            </w:pPr>
            <w:r>
              <w:rPr/>
              <w:t>-0.0103</w:t>
            </w:r>
          </w:p>
        </w:tc>
        <w:tc>
          <w:tcPr>
            <w:tcW w:w="131"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1299" w:type="dxa"/>
            <w:tcBorders/>
            <w:tcMar>
              <w:top w:w="0" w:type="dxa"/>
              <w:left w:w="30" w:type="dxa"/>
              <w:bottom w:w="0" w:type="dxa"/>
              <w:right w:w="30" w:type="dxa"/>
            </w:tcMar>
            <w:vAlign w:val="bottom"/>
          </w:tcPr>
          <w:p>
            <w:pPr>
              <w:pStyle w:val="Normal"/>
              <w:widowControl w:val="false"/>
              <w:jc w:val="right"/>
              <w:rPr>
                <w:sz w:val="24"/>
                <w:szCs w:val="24"/>
              </w:rPr>
            </w:pPr>
            <w:r>
              <w:rPr/>
              <w:t>0.0065</w:t>
            </w:r>
          </w:p>
        </w:tc>
      </w:tr>
      <w:tr>
        <w:trPr>
          <w:trHeight w:val="276" w:hRule="atLeast"/>
        </w:trPr>
        <w:tc>
          <w:tcPr>
            <w:tcW w:w="992" w:type="dxa"/>
            <w:tcBorders>
              <w:bottom w:val="single" w:sz="4" w:space="0" w:color="000000"/>
            </w:tcBorders>
            <w:vAlign w:val="bottom"/>
          </w:tcPr>
          <w:p>
            <w:pPr>
              <w:pStyle w:val="Normal"/>
              <w:widowControl w:val="false"/>
              <w:rPr>
                <w:sz w:val="24"/>
                <w:szCs w:val="24"/>
              </w:rPr>
            </w:pPr>
            <w:r>
              <w:rPr/>
              <w:t>B5</w:t>
            </w:r>
          </w:p>
        </w:tc>
        <w:tc>
          <w:tcPr>
            <w:tcW w:w="1256" w:type="dxa"/>
            <w:tcBorders>
              <w:bottom w:val="single" w:sz="4" w:space="0" w:color="000000"/>
            </w:tcBorders>
            <w:vAlign w:val="bottom"/>
          </w:tcPr>
          <w:p>
            <w:pPr>
              <w:pStyle w:val="Normal"/>
              <w:widowControl w:val="false"/>
              <w:jc w:val="right"/>
              <w:rPr>
                <w:sz w:val="24"/>
                <w:szCs w:val="24"/>
              </w:rPr>
            </w:pPr>
            <w:r>
              <w:rPr/>
              <w:t>0.1455</w:t>
            </w:r>
          </w:p>
        </w:tc>
        <w:tc>
          <w:tcPr>
            <w:tcW w:w="188" w:type="dxa"/>
            <w:tcBorders>
              <w:bottom w:val="single" w:sz="4" w:space="0" w:color="000000"/>
            </w:tcBorders>
            <w:vAlign w:val="bottom"/>
          </w:tcPr>
          <w:p>
            <w:pPr>
              <w:pStyle w:val="Normal"/>
              <w:widowControl w:val="false"/>
              <w:rPr>
                <w:sz w:val="24"/>
                <w:szCs w:val="24"/>
              </w:rPr>
            </w:pPr>
            <w:r>
              <w:rPr>
                <w:sz w:val="24"/>
                <w:szCs w:val="24"/>
              </w:rPr>
            </w:r>
          </w:p>
        </w:tc>
        <w:tc>
          <w:tcPr>
            <w:tcW w:w="964" w:type="dxa"/>
            <w:tcBorders>
              <w:bottom w:val="single" w:sz="4" w:space="0" w:color="000000"/>
            </w:tcBorders>
            <w:vAlign w:val="bottom"/>
          </w:tcPr>
          <w:p>
            <w:pPr>
              <w:pStyle w:val="Normal"/>
              <w:widowControl w:val="false"/>
              <w:jc w:val="right"/>
              <w:rPr>
                <w:sz w:val="24"/>
                <w:szCs w:val="24"/>
              </w:rPr>
            </w:pPr>
            <w:r>
              <w:rPr/>
              <w:t>NA</w:t>
            </w:r>
          </w:p>
        </w:tc>
        <w:tc>
          <w:tcPr>
            <w:tcW w:w="158" w:type="dxa"/>
            <w:tcBorders>
              <w:bottom w:val="single" w:sz="4" w:space="0" w:color="000000"/>
            </w:tcBorders>
            <w:vAlign w:val="bottom"/>
          </w:tcPr>
          <w:p>
            <w:pPr>
              <w:pStyle w:val="Normal"/>
              <w:widowControl w:val="false"/>
              <w:rPr>
                <w:sz w:val="24"/>
                <w:szCs w:val="24"/>
              </w:rPr>
            </w:pPr>
            <w:r>
              <w:rPr>
                <w:sz w:val="24"/>
                <w:szCs w:val="24"/>
              </w:rPr>
            </w:r>
          </w:p>
        </w:tc>
        <w:tc>
          <w:tcPr>
            <w:tcW w:w="963" w:type="dxa"/>
            <w:tcBorders>
              <w:bottom w:val="single" w:sz="4" w:space="0" w:color="000000"/>
            </w:tcBorders>
            <w:vAlign w:val="bottom"/>
          </w:tcPr>
          <w:p>
            <w:pPr>
              <w:pStyle w:val="Normal"/>
              <w:widowControl w:val="false"/>
              <w:jc w:val="right"/>
              <w:rPr>
                <w:sz w:val="24"/>
                <w:szCs w:val="24"/>
              </w:rPr>
            </w:pPr>
            <w:r>
              <w:rPr/>
              <w:t>0.0421</w:t>
            </w:r>
          </w:p>
        </w:tc>
        <w:tc>
          <w:tcPr>
            <w:tcW w:w="131" w:type="dxa"/>
            <w:tcBorders>
              <w:bottom w:val="single" w:sz="4" w:space="0" w:color="000000"/>
            </w:tcBorders>
            <w:vAlign w:val="bottom"/>
          </w:tcPr>
          <w:p>
            <w:pPr>
              <w:pStyle w:val="Normal"/>
              <w:widowControl w:val="false"/>
              <w:rPr>
                <w:sz w:val="24"/>
                <w:szCs w:val="24"/>
              </w:rPr>
            </w:pPr>
            <w:r>
              <w:rPr>
                <w:sz w:val="24"/>
                <w:szCs w:val="24"/>
              </w:rPr>
            </w:r>
          </w:p>
        </w:tc>
        <w:tc>
          <w:tcPr>
            <w:tcW w:w="1299" w:type="dxa"/>
            <w:tcBorders>
              <w:bottom w:val="single" w:sz="4" w:space="0" w:color="000000"/>
            </w:tcBorders>
            <w:vAlign w:val="bottom"/>
          </w:tcPr>
          <w:p>
            <w:pPr>
              <w:pStyle w:val="Normal"/>
              <w:widowControl w:val="false"/>
              <w:jc w:val="right"/>
              <w:rPr>
                <w:sz w:val="24"/>
                <w:szCs w:val="24"/>
              </w:rPr>
            </w:pPr>
            <w:r>
              <w:rPr/>
              <w:t>-0.0309</w:t>
            </w:r>
          </w:p>
        </w:tc>
      </w:tr>
      <w:tr>
        <w:trPr>
          <w:trHeight w:val="276" w:hRule="atLeast"/>
        </w:trPr>
        <w:tc>
          <w:tcPr>
            <w:tcW w:w="992" w:type="dxa"/>
            <w:tcBorders/>
            <w:tcMar>
              <w:top w:w="0" w:type="dxa"/>
              <w:left w:w="30" w:type="dxa"/>
              <w:bottom w:w="0" w:type="dxa"/>
              <w:right w:w="30" w:type="dxa"/>
            </w:tcMar>
            <w:vAlign w:val="bottom"/>
          </w:tcPr>
          <w:p>
            <w:pPr>
              <w:pStyle w:val="Normal"/>
              <w:widowControl w:val="false"/>
              <w:rPr>
                <w:sz w:val="24"/>
                <w:szCs w:val="24"/>
              </w:rPr>
            </w:pPr>
            <w:r>
              <w:rPr>
                <w:b/>
              </w:rPr>
              <w:t>MIDDLE</w:t>
            </w:r>
          </w:p>
        </w:tc>
        <w:tc>
          <w:tcPr>
            <w:tcW w:w="1256"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188"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964" w:type="dxa"/>
            <w:tcBorders/>
            <w:tcMar>
              <w:top w:w="0" w:type="dxa"/>
              <w:left w:w="30" w:type="dxa"/>
              <w:bottom w:w="0" w:type="dxa"/>
              <w:right w:w="30" w:type="dxa"/>
            </w:tcMar>
            <w:vAlign w:val="bottom"/>
          </w:tcPr>
          <w:p>
            <w:pPr>
              <w:pStyle w:val="Normal"/>
              <w:widowControl w:val="false"/>
              <w:jc w:val="right"/>
              <w:rPr>
                <w:sz w:val="24"/>
                <w:szCs w:val="24"/>
              </w:rPr>
            </w:pPr>
            <w:r>
              <w:rPr>
                <w:sz w:val="24"/>
                <w:szCs w:val="24"/>
              </w:rPr>
            </w:r>
          </w:p>
        </w:tc>
        <w:tc>
          <w:tcPr>
            <w:tcW w:w="158"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963"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131"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1299" w:type="dxa"/>
            <w:tcBorders/>
            <w:tcMar>
              <w:top w:w="0" w:type="dxa"/>
              <w:left w:w="30" w:type="dxa"/>
              <w:bottom w:w="0" w:type="dxa"/>
              <w:right w:w="30" w:type="dxa"/>
            </w:tcMar>
            <w:vAlign w:val="bottom"/>
          </w:tcPr>
          <w:p>
            <w:pPr>
              <w:pStyle w:val="Normal"/>
              <w:widowControl w:val="false"/>
              <w:rPr>
                <w:sz w:val="24"/>
                <w:szCs w:val="24"/>
              </w:rPr>
            </w:pPr>
            <w:r>
              <w:rPr>
                <w:sz w:val="24"/>
                <w:szCs w:val="24"/>
              </w:rPr>
            </w:r>
          </w:p>
        </w:tc>
      </w:tr>
      <w:tr>
        <w:trPr>
          <w:trHeight w:val="276" w:hRule="atLeast"/>
        </w:trPr>
        <w:tc>
          <w:tcPr>
            <w:tcW w:w="992" w:type="dxa"/>
            <w:tcBorders/>
            <w:tcMar>
              <w:top w:w="0" w:type="dxa"/>
              <w:left w:w="30" w:type="dxa"/>
              <w:bottom w:w="0" w:type="dxa"/>
              <w:right w:w="30" w:type="dxa"/>
            </w:tcMar>
            <w:vAlign w:val="bottom"/>
          </w:tcPr>
          <w:p>
            <w:pPr>
              <w:pStyle w:val="Normal"/>
              <w:widowControl w:val="false"/>
              <w:rPr>
                <w:sz w:val="24"/>
                <w:szCs w:val="24"/>
              </w:rPr>
            </w:pPr>
            <w:r>
              <w:rPr/>
              <w:t>B1</w:t>
            </w:r>
          </w:p>
        </w:tc>
        <w:tc>
          <w:tcPr>
            <w:tcW w:w="1256" w:type="dxa"/>
            <w:tcBorders/>
            <w:tcMar>
              <w:top w:w="0" w:type="dxa"/>
              <w:left w:w="30" w:type="dxa"/>
              <w:bottom w:w="0" w:type="dxa"/>
              <w:right w:w="30" w:type="dxa"/>
            </w:tcMar>
            <w:vAlign w:val="bottom"/>
          </w:tcPr>
          <w:p>
            <w:pPr>
              <w:pStyle w:val="Normal"/>
              <w:widowControl w:val="false"/>
              <w:jc w:val="right"/>
              <w:rPr>
                <w:sz w:val="24"/>
                <w:szCs w:val="24"/>
              </w:rPr>
            </w:pPr>
            <w:r>
              <w:rPr/>
              <w:t>0.15530</w:t>
            </w:r>
          </w:p>
        </w:tc>
        <w:tc>
          <w:tcPr>
            <w:tcW w:w="188"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964" w:type="dxa"/>
            <w:tcBorders/>
            <w:tcMar>
              <w:top w:w="0" w:type="dxa"/>
              <w:left w:w="30" w:type="dxa"/>
              <w:bottom w:w="0" w:type="dxa"/>
              <w:right w:w="30" w:type="dxa"/>
            </w:tcMar>
            <w:vAlign w:val="bottom"/>
          </w:tcPr>
          <w:p>
            <w:pPr>
              <w:pStyle w:val="Normal"/>
              <w:widowControl w:val="false"/>
              <w:jc w:val="right"/>
              <w:rPr>
                <w:sz w:val="24"/>
                <w:szCs w:val="24"/>
              </w:rPr>
            </w:pPr>
            <w:r>
              <w:rPr/>
              <w:t>NA</w:t>
            </w:r>
          </w:p>
        </w:tc>
        <w:tc>
          <w:tcPr>
            <w:tcW w:w="158"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963" w:type="dxa"/>
            <w:tcBorders/>
            <w:tcMar>
              <w:top w:w="0" w:type="dxa"/>
              <w:left w:w="30" w:type="dxa"/>
              <w:bottom w:w="0" w:type="dxa"/>
              <w:right w:w="30" w:type="dxa"/>
            </w:tcMar>
            <w:vAlign w:val="bottom"/>
          </w:tcPr>
          <w:p>
            <w:pPr>
              <w:pStyle w:val="Normal"/>
              <w:widowControl w:val="false"/>
              <w:jc w:val="right"/>
              <w:rPr>
                <w:sz w:val="24"/>
                <w:szCs w:val="24"/>
              </w:rPr>
            </w:pPr>
            <w:r>
              <w:rPr/>
              <w:t>-0.0175</w:t>
            </w:r>
          </w:p>
        </w:tc>
        <w:tc>
          <w:tcPr>
            <w:tcW w:w="131"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1299" w:type="dxa"/>
            <w:tcBorders/>
            <w:tcMar>
              <w:top w:w="0" w:type="dxa"/>
              <w:left w:w="30" w:type="dxa"/>
              <w:bottom w:w="0" w:type="dxa"/>
              <w:right w:w="30" w:type="dxa"/>
            </w:tcMar>
            <w:vAlign w:val="bottom"/>
          </w:tcPr>
          <w:p>
            <w:pPr>
              <w:pStyle w:val="Normal"/>
              <w:widowControl w:val="false"/>
              <w:jc w:val="right"/>
              <w:rPr>
                <w:sz w:val="24"/>
                <w:szCs w:val="24"/>
              </w:rPr>
            </w:pPr>
            <w:r>
              <w:rPr/>
              <w:t>NA</w:t>
            </w:r>
          </w:p>
        </w:tc>
      </w:tr>
      <w:tr>
        <w:trPr>
          <w:trHeight w:val="276" w:hRule="atLeast"/>
        </w:trPr>
        <w:tc>
          <w:tcPr>
            <w:tcW w:w="992" w:type="dxa"/>
            <w:tcBorders/>
            <w:tcMar>
              <w:top w:w="0" w:type="dxa"/>
              <w:left w:w="30" w:type="dxa"/>
              <w:bottom w:w="0" w:type="dxa"/>
              <w:right w:w="30" w:type="dxa"/>
            </w:tcMar>
            <w:vAlign w:val="bottom"/>
          </w:tcPr>
          <w:p>
            <w:pPr>
              <w:pStyle w:val="Normal"/>
              <w:widowControl w:val="false"/>
              <w:rPr>
                <w:sz w:val="24"/>
                <w:szCs w:val="24"/>
              </w:rPr>
            </w:pPr>
            <w:r>
              <w:rPr/>
              <w:t>B2</w:t>
            </w:r>
          </w:p>
        </w:tc>
        <w:tc>
          <w:tcPr>
            <w:tcW w:w="1256" w:type="dxa"/>
            <w:tcBorders/>
            <w:tcMar>
              <w:top w:w="0" w:type="dxa"/>
              <w:left w:w="30" w:type="dxa"/>
              <w:bottom w:w="0" w:type="dxa"/>
              <w:right w:w="30" w:type="dxa"/>
            </w:tcMar>
            <w:vAlign w:val="bottom"/>
          </w:tcPr>
          <w:p>
            <w:pPr>
              <w:pStyle w:val="Normal"/>
              <w:widowControl w:val="false"/>
              <w:jc w:val="right"/>
              <w:rPr>
                <w:sz w:val="24"/>
                <w:szCs w:val="24"/>
              </w:rPr>
            </w:pPr>
            <w:r>
              <w:rPr/>
              <w:t>0.04924</w:t>
            </w:r>
          </w:p>
        </w:tc>
        <w:tc>
          <w:tcPr>
            <w:tcW w:w="188"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964" w:type="dxa"/>
            <w:tcBorders/>
            <w:tcMar>
              <w:top w:w="0" w:type="dxa"/>
              <w:left w:w="30" w:type="dxa"/>
              <w:bottom w:w="0" w:type="dxa"/>
              <w:right w:w="30" w:type="dxa"/>
            </w:tcMar>
            <w:vAlign w:val="bottom"/>
          </w:tcPr>
          <w:p>
            <w:pPr>
              <w:pStyle w:val="Normal"/>
              <w:widowControl w:val="false"/>
              <w:jc w:val="right"/>
              <w:rPr>
                <w:sz w:val="24"/>
                <w:szCs w:val="24"/>
              </w:rPr>
            </w:pPr>
            <w:r>
              <w:rPr/>
              <w:t>NA</w:t>
            </w:r>
          </w:p>
        </w:tc>
        <w:tc>
          <w:tcPr>
            <w:tcW w:w="158"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963" w:type="dxa"/>
            <w:tcBorders/>
            <w:tcMar>
              <w:top w:w="0" w:type="dxa"/>
              <w:left w:w="30" w:type="dxa"/>
              <w:bottom w:w="0" w:type="dxa"/>
              <w:right w:w="30" w:type="dxa"/>
            </w:tcMar>
            <w:vAlign w:val="bottom"/>
          </w:tcPr>
          <w:p>
            <w:pPr>
              <w:pStyle w:val="Normal"/>
              <w:widowControl w:val="false"/>
              <w:jc w:val="right"/>
              <w:rPr>
                <w:sz w:val="24"/>
                <w:szCs w:val="24"/>
              </w:rPr>
            </w:pPr>
            <w:r>
              <w:rPr/>
              <w:t>-0.0109</w:t>
            </w:r>
          </w:p>
        </w:tc>
        <w:tc>
          <w:tcPr>
            <w:tcW w:w="131"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1299" w:type="dxa"/>
            <w:tcBorders/>
            <w:tcMar>
              <w:top w:w="0" w:type="dxa"/>
              <w:left w:w="30" w:type="dxa"/>
              <w:bottom w:w="0" w:type="dxa"/>
              <w:right w:w="30" w:type="dxa"/>
            </w:tcMar>
            <w:vAlign w:val="bottom"/>
          </w:tcPr>
          <w:p>
            <w:pPr>
              <w:pStyle w:val="Normal"/>
              <w:widowControl w:val="false"/>
              <w:jc w:val="right"/>
              <w:rPr>
                <w:sz w:val="24"/>
                <w:szCs w:val="24"/>
              </w:rPr>
            </w:pPr>
            <w:r>
              <w:rPr/>
              <w:t>NA</w:t>
            </w:r>
          </w:p>
        </w:tc>
      </w:tr>
      <w:tr>
        <w:trPr>
          <w:trHeight w:val="276" w:hRule="atLeast"/>
        </w:trPr>
        <w:tc>
          <w:tcPr>
            <w:tcW w:w="992" w:type="dxa"/>
            <w:tcBorders/>
            <w:tcMar>
              <w:top w:w="0" w:type="dxa"/>
              <w:left w:w="30" w:type="dxa"/>
              <w:bottom w:w="0" w:type="dxa"/>
              <w:right w:w="30" w:type="dxa"/>
            </w:tcMar>
            <w:vAlign w:val="bottom"/>
          </w:tcPr>
          <w:p>
            <w:pPr>
              <w:pStyle w:val="Normal"/>
              <w:widowControl w:val="false"/>
              <w:rPr>
                <w:sz w:val="24"/>
                <w:szCs w:val="24"/>
              </w:rPr>
            </w:pPr>
            <w:r>
              <w:rPr/>
              <w:t>B3</w:t>
            </w:r>
          </w:p>
        </w:tc>
        <w:tc>
          <w:tcPr>
            <w:tcW w:w="1256" w:type="dxa"/>
            <w:tcBorders/>
            <w:tcMar>
              <w:top w:w="0" w:type="dxa"/>
              <w:left w:w="30" w:type="dxa"/>
              <w:bottom w:w="0" w:type="dxa"/>
              <w:right w:w="30" w:type="dxa"/>
            </w:tcMar>
            <w:vAlign w:val="bottom"/>
          </w:tcPr>
          <w:p>
            <w:pPr>
              <w:pStyle w:val="Normal"/>
              <w:widowControl w:val="false"/>
              <w:jc w:val="right"/>
              <w:rPr>
                <w:sz w:val="24"/>
                <w:szCs w:val="24"/>
              </w:rPr>
            </w:pPr>
            <w:r>
              <w:rPr/>
              <w:t>0.01595</w:t>
            </w:r>
          </w:p>
        </w:tc>
        <w:tc>
          <w:tcPr>
            <w:tcW w:w="188"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964" w:type="dxa"/>
            <w:tcBorders/>
            <w:tcMar>
              <w:top w:w="0" w:type="dxa"/>
              <w:left w:w="30" w:type="dxa"/>
              <w:bottom w:w="0" w:type="dxa"/>
              <w:right w:w="30" w:type="dxa"/>
            </w:tcMar>
            <w:vAlign w:val="bottom"/>
          </w:tcPr>
          <w:p>
            <w:pPr>
              <w:pStyle w:val="Normal"/>
              <w:widowControl w:val="false"/>
              <w:jc w:val="right"/>
              <w:rPr>
                <w:sz w:val="24"/>
                <w:szCs w:val="24"/>
              </w:rPr>
            </w:pPr>
            <w:r>
              <w:rPr/>
              <w:t>NA</w:t>
            </w:r>
          </w:p>
        </w:tc>
        <w:tc>
          <w:tcPr>
            <w:tcW w:w="158"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963" w:type="dxa"/>
            <w:tcBorders/>
            <w:tcMar>
              <w:top w:w="0" w:type="dxa"/>
              <w:left w:w="30" w:type="dxa"/>
              <w:bottom w:w="0" w:type="dxa"/>
              <w:right w:w="30" w:type="dxa"/>
            </w:tcMar>
            <w:vAlign w:val="bottom"/>
          </w:tcPr>
          <w:p>
            <w:pPr>
              <w:pStyle w:val="Normal"/>
              <w:widowControl w:val="false"/>
              <w:jc w:val="right"/>
              <w:rPr>
                <w:sz w:val="24"/>
                <w:szCs w:val="24"/>
              </w:rPr>
            </w:pPr>
            <w:r>
              <w:rPr/>
              <w:t>0.0045</w:t>
            </w:r>
          </w:p>
        </w:tc>
        <w:tc>
          <w:tcPr>
            <w:tcW w:w="131"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1299" w:type="dxa"/>
            <w:tcBorders/>
            <w:tcMar>
              <w:top w:w="0" w:type="dxa"/>
              <w:left w:w="30" w:type="dxa"/>
              <w:bottom w:w="0" w:type="dxa"/>
              <w:right w:w="30" w:type="dxa"/>
            </w:tcMar>
            <w:vAlign w:val="bottom"/>
          </w:tcPr>
          <w:p>
            <w:pPr>
              <w:pStyle w:val="Normal"/>
              <w:widowControl w:val="false"/>
              <w:jc w:val="right"/>
              <w:rPr>
                <w:sz w:val="24"/>
                <w:szCs w:val="24"/>
              </w:rPr>
            </w:pPr>
            <w:r>
              <w:rPr/>
              <w:t>NA</w:t>
            </w:r>
          </w:p>
        </w:tc>
      </w:tr>
      <w:tr>
        <w:trPr>
          <w:trHeight w:val="276" w:hRule="atLeast"/>
        </w:trPr>
        <w:tc>
          <w:tcPr>
            <w:tcW w:w="992" w:type="dxa"/>
            <w:tcBorders/>
            <w:tcMar>
              <w:top w:w="0" w:type="dxa"/>
              <w:left w:w="30" w:type="dxa"/>
              <w:bottom w:w="0" w:type="dxa"/>
              <w:right w:w="30" w:type="dxa"/>
            </w:tcMar>
            <w:vAlign w:val="bottom"/>
          </w:tcPr>
          <w:p>
            <w:pPr>
              <w:pStyle w:val="Normal"/>
              <w:widowControl w:val="false"/>
              <w:rPr>
                <w:sz w:val="24"/>
                <w:szCs w:val="24"/>
              </w:rPr>
            </w:pPr>
            <w:r>
              <w:rPr/>
              <w:t>B4</w:t>
            </w:r>
          </w:p>
        </w:tc>
        <w:tc>
          <w:tcPr>
            <w:tcW w:w="1256" w:type="dxa"/>
            <w:tcBorders/>
            <w:tcMar>
              <w:top w:w="0" w:type="dxa"/>
              <w:left w:w="30" w:type="dxa"/>
              <w:bottom w:w="0" w:type="dxa"/>
              <w:right w:w="30" w:type="dxa"/>
            </w:tcMar>
            <w:vAlign w:val="bottom"/>
          </w:tcPr>
          <w:p>
            <w:pPr>
              <w:pStyle w:val="Normal"/>
              <w:widowControl w:val="false"/>
              <w:jc w:val="right"/>
              <w:rPr>
                <w:sz w:val="24"/>
                <w:szCs w:val="24"/>
              </w:rPr>
            </w:pPr>
            <w:r>
              <w:rPr/>
              <w:t>-0.07371</w:t>
            </w:r>
          </w:p>
        </w:tc>
        <w:tc>
          <w:tcPr>
            <w:tcW w:w="188"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964" w:type="dxa"/>
            <w:tcBorders/>
            <w:tcMar>
              <w:top w:w="0" w:type="dxa"/>
              <w:left w:w="30" w:type="dxa"/>
              <w:bottom w:w="0" w:type="dxa"/>
              <w:right w:w="30" w:type="dxa"/>
            </w:tcMar>
            <w:vAlign w:val="bottom"/>
          </w:tcPr>
          <w:p>
            <w:pPr>
              <w:pStyle w:val="Normal"/>
              <w:widowControl w:val="false"/>
              <w:jc w:val="right"/>
              <w:rPr>
                <w:sz w:val="24"/>
                <w:szCs w:val="24"/>
              </w:rPr>
            </w:pPr>
            <w:r>
              <w:rPr/>
              <w:t>NA</w:t>
            </w:r>
          </w:p>
        </w:tc>
        <w:tc>
          <w:tcPr>
            <w:tcW w:w="158"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963" w:type="dxa"/>
            <w:tcBorders/>
            <w:tcMar>
              <w:top w:w="0" w:type="dxa"/>
              <w:left w:w="30" w:type="dxa"/>
              <w:bottom w:w="0" w:type="dxa"/>
              <w:right w:w="30" w:type="dxa"/>
            </w:tcMar>
            <w:vAlign w:val="bottom"/>
          </w:tcPr>
          <w:p>
            <w:pPr>
              <w:pStyle w:val="Normal"/>
              <w:widowControl w:val="false"/>
              <w:jc w:val="right"/>
              <w:rPr>
                <w:sz w:val="24"/>
                <w:szCs w:val="24"/>
              </w:rPr>
            </w:pPr>
            <w:r>
              <w:rPr/>
              <w:t>-0.0138</w:t>
            </w:r>
          </w:p>
        </w:tc>
        <w:tc>
          <w:tcPr>
            <w:tcW w:w="131" w:type="dxa"/>
            <w:tcBorders/>
            <w:tcMar>
              <w:top w:w="0" w:type="dxa"/>
              <w:left w:w="30" w:type="dxa"/>
              <w:bottom w:w="0" w:type="dxa"/>
              <w:right w:w="30" w:type="dxa"/>
            </w:tcMar>
            <w:vAlign w:val="bottom"/>
          </w:tcPr>
          <w:p>
            <w:pPr>
              <w:pStyle w:val="Normal"/>
              <w:widowControl w:val="false"/>
              <w:rPr>
                <w:sz w:val="24"/>
                <w:szCs w:val="24"/>
              </w:rPr>
            </w:pPr>
            <w:r>
              <w:rPr>
                <w:sz w:val="24"/>
                <w:szCs w:val="24"/>
              </w:rPr>
            </w:r>
          </w:p>
        </w:tc>
        <w:tc>
          <w:tcPr>
            <w:tcW w:w="1299" w:type="dxa"/>
            <w:tcBorders/>
            <w:tcMar>
              <w:top w:w="0" w:type="dxa"/>
              <w:left w:w="30" w:type="dxa"/>
              <w:bottom w:w="0" w:type="dxa"/>
              <w:right w:w="30" w:type="dxa"/>
            </w:tcMar>
            <w:vAlign w:val="bottom"/>
          </w:tcPr>
          <w:p>
            <w:pPr>
              <w:pStyle w:val="Normal"/>
              <w:widowControl w:val="false"/>
              <w:jc w:val="right"/>
              <w:rPr>
                <w:sz w:val="24"/>
                <w:szCs w:val="24"/>
              </w:rPr>
            </w:pPr>
            <w:r>
              <w:rPr/>
              <w:t>NA</w:t>
            </w:r>
          </w:p>
        </w:tc>
      </w:tr>
      <w:tr>
        <w:trPr>
          <w:trHeight w:val="276" w:hRule="atLeast"/>
        </w:trPr>
        <w:tc>
          <w:tcPr>
            <w:tcW w:w="992" w:type="dxa"/>
            <w:tcBorders>
              <w:bottom w:val="single" w:sz="4" w:space="0" w:color="000000"/>
            </w:tcBorders>
            <w:vAlign w:val="bottom"/>
          </w:tcPr>
          <w:p>
            <w:pPr>
              <w:pStyle w:val="Normal"/>
              <w:widowControl w:val="false"/>
              <w:rPr>
                <w:sz w:val="24"/>
                <w:szCs w:val="24"/>
              </w:rPr>
            </w:pPr>
            <w:r>
              <w:rPr/>
              <w:t>B5</w:t>
            </w:r>
          </w:p>
        </w:tc>
        <w:tc>
          <w:tcPr>
            <w:tcW w:w="1256" w:type="dxa"/>
            <w:tcBorders>
              <w:bottom w:val="single" w:sz="4" w:space="0" w:color="000000"/>
            </w:tcBorders>
            <w:vAlign w:val="bottom"/>
          </w:tcPr>
          <w:p>
            <w:pPr>
              <w:pStyle w:val="Normal"/>
              <w:widowControl w:val="false"/>
              <w:jc w:val="right"/>
              <w:rPr>
                <w:sz w:val="24"/>
                <w:szCs w:val="24"/>
              </w:rPr>
            </w:pPr>
            <w:r>
              <w:rPr/>
              <w:t>-0.14679</w:t>
            </w:r>
          </w:p>
        </w:tc>
        <w:tc>
          <w:tcPr>
            <w:tcW w:w="188" w:type="dxa"/>
            <w:tcBorders>
              <w:bottom w:val="single" w:sz="4" w:space="0" w:color="000000"/>
            </w:tcBorders>
            <w:vAlign w:val="bottom"/>
          </w:tcPr>
          <w:p>
            <w:pPr>
              <w:pStyle w:val="Normal"/>
              <w:widowControl w:val="false"/>
              <w:rPr>
                <w:sz w:val="24"/>
                <w:szCs w:val="24"/>
              </w:rPr>
            </w:pPr>
            <w:r>
              <w:rPr>
                <w:sz w:val="24"/>
                <w:szCs w:val="24"/>
              </w:rPr>
            </w:r>
          </w:p>
        </w:tc>
        <w:tc>
          <w:tcPr>
            <w:tcW w:w="964" w:type="dxa"/>
            <w:tcBorders>
              <w:bottom w:val="single" w:sz="4" w:space="0" w:color="000000"/>
            </w:tcBorders>
            <w:vAlign w:val="bottom"/>
          </w:tcPr>
          <w:p>
            <w:pPr>
              <w:pStyle w:val="Normal"/>
              <w:widowControl w:val="false"/>
              <w:jc w:val="right"/>
              <w:rPr>
                <w:sz w:val="24"/>
                <w:szCs w:val="24"/>
              </w:rPr>
            </w:pPr>
            <w:r>
              <w:rPr/>
              <w:t>NA</w:t>
            </w:r>
          </w:p>
        </w:tc>
        <w:tc>
          <w:tcPr>
            <w:tcW w:w="158" w:type="dxa"/>
            <w:tcBorders>
              <w:bottom w:val="single" w:sz="4" w:space="0" w:color="000000"/>
            </w:tcBorders>
            <w:vAlign w:val="bottom"/>
          </w:tcPr>
          <w:p>
            <w:pPr>
              <w:pStyle w:val="Normal"/>
              <w:widowControl w:val="false"/>
              <w:rPr>
                <w:sz w:val="24"/>
                <w:szCs w:val="24"/>
              </w:rPr>
            </w:pPr>
            <w:r>
              <w:rPr>
                <w:sz w:val="24"/>
                <w:szCs w:val="24"/>
              </w:rPr>
            </w:r>
          </w:p>
        </w:tc>
        <w:tc>
          <w:tcPr>
            <w:tcW w:w="963" w:type="dxa"/>
            <w:tcBorders>
              <w:bottom w:val="single" w:sz="4" w:space="0" w:color="000000"/>
            </w:tcBorders>
            <w:vAlign w:val="bottom"/>
          </w:tcPr>
          <w:p>
            <w:pPr>
              <w:pStyle w:val="Normal"/>
              <w:widowControl w:val="false"/>
              <w:jc w:val="right"/>
              <w:rPr>
                <w:sz w:val="24"/>
                <w:szCs w:val="24"/>
              </w:rPr>
            </w:pPr>
            <w:r>
              <w:rPr/>
              <w:t>0.0376</w:t>
            </w:r>
          </w:p>
        </w:tc>
        <w:tc>
          <w:tcPr>
            <w:tcW w:w="131" w:type="dxa"/>
            <w:tcBorders>
              <w:bottom w:val="single" w:sz="4" w:space="0" w:color="000000"/>
            </w:tcBorders>
            <w:vAlign w:val="bottom"/>
          </w:tcPr>
          <w:p>
            <w:pPr>
              <w:pStyle w:val="Normal"/>
              <w:widowControl w:val="false"/>
              <w:rPr>
                <w:sz w:val="24"/>
                <w:szCs w:val="24"/>
              </w:rPr>
            </w:pPr>
            <w:r>
              <w:rPr>
                <w:sz w:val="24"/>
                <w:szCs w:val="24"/>
              </w:rPr>
            </w:r>
          </w:p>
        </w:tc>
        <w:tc>
          <w:tcPr>
            <w:tcW w:w="1299" w:type="dxa"/>
            <w:tcBorders>
              <w:bottom w:val="single" w:sz="4" w:space="0" w:color="000000"/>
            </w:tcBorders>
            <w:vAlign w:val="bottom"/>
          </w:tcPr>
          <w:p>
            <w:pPr>
              <w:pStyle w:val="Normal"/>
              <w:widowControl w:val="false"/>
              <w:jc w:val="right"/>
              <w:rPr>
                <w:sz w:val="24"/>
                <w:szCs w:val="24"/>
              </w:rPr>
            </w:pPr>
            <w:r>
              <w:rPr/>
              <w:t>NA</w:t>
            </w:r>
          </w:p>
        </w:tc>
      </w:tr>
    </w:tbl>
    <w:p>
      <w:pPr>
        <w:pStyle w:val="Normal"/>
        <w:rPr>
          <w:sz w:val="24"/>
          <w:szCs w:val="24"/>
        </w:rPr>
      </w:pPr>
      <w:r>
        <w:rPr>
          <w:sz w:val="24"/>
          <w:szCs w:val="24"/>
        </w:rPr>
      </w:r>
    </w:p>
    <w:p>
      <w:pPr>
        <w:pStyle w:val="Normal"/>
        <w:spacing w:lineRule="auto" w:line="480"/>
        <w:rPr>
          <w:sz w:val="24"/>
          <w:szCs w:val="24"/>
        </w:rPr>
      </w:pPr>
      <w:r>
        <w:rPr>
          <w:b/>
          <w:sz w:val="24"/>
          <w:szCs w:val="24"/>
        </w:rPr>
        <w:t>Table 7.</w:t>
      </w:r>
      <w:r>
        <w:rPr>
          <w:sz w:val="24"/>
          <w:szCs w:val="24"/>
        </w:rPr>
        <w:t xml:space="preserve"> Intercept estimates for levels of random block effect in linear mixed models of annual basal area growth (m</w:t>
      </w:r>
      <w:r>
        <w:rPr>
          <w:sz w:val="24"/>
          <w:szCs w:val="24"/>
          <w:vertAlign w:val="superscript"/>
        </w:rPr>
        <w:t>2</w:t>
      </w:r>
      <w:r>
        <w:rPr>
          <w:sz w:val="24"/>
          <w:szCs w:val="24"/>
        </w:rPr>
        <w:t>ha</w:t>
      </w:r>
      <w:r>
        <w:rPr>
          <w:sz w:val="24"/>
          <w:szCs w:val="24"/>
          <w:vertAlign w:val="superscript"/>
        </w:rPr>
        <w:t>-1</w:t>
      </w:r>
      <w:r>
        <w:rPr>
          <w:sz w:val="24"/>
          <w:szCs w:val="24"/>
        </w:rPr>
        <w:t>year</w:t>
      </w:r>
      <w:r>
        <w:rPr>
          <w:sz w:val="24"/>
          <w:szCs w:val="24"/>
          <w:vertAlign w:val="superscript"/>
        </w:rPr>
        <w:t>-1</w:t>
      </w:r>
      <w:r>
        <w:rPr>
          <w:sz w:val="24"/>
          <w:szCs w:val="24"/>
        </w:rPr>
        <w:t>), LRR mortality, and supreesion mortality across early and middle measurement periods. Mixed effect models for variables without intercept estimatesdid not converge and thus linear models of the fixed effect of treatment only were fitted.</w:t>
      </w:r>
    </w:p>
    <w:p>
      <w:pPr>
        <w:pStyle w:val="Normal"/>
        <w:spacing w:lineRule="auto" w:line="480"/>
        <w:rPr>
          <w:sz w:val="24"/>
          <w:szCs w:val="24"/>
        </w:rPr>
      </w:pPr>
      <w:r>
        <w:rPr>
          <w:sz w:val="24"/>
          <w:szCs w:val="24"/>
        </w:rPr>
      </w:r>
    </w:p>
    <w:p>
      <w:pPr>
        <w:pStyle w:val="Normal"/>
        <w:spacing w:lineRule="auto" w:line="480"/>
        <w:rPr>
          <w:sz w:val="24"/>
          <w:szCs w:val="24"/>
        </w:rPr>
      </w:pPr>
      <w:r>
        <w:rPr>
          <w:b/>
          <w:sz w:val="28"/>
          <w:szCs w:val="28"/>
        </w:rPr>
        <w:t xml:space="preserve">4. Conclusions and discussion </w:t>
      </w:r>
    </w:p>
    <w:p>
      <w:pPr>
        <w:pStyle w:val="Normal"/>
        <w:spacing w:lineRule="auto" w:line="480"/>
        <w:rPr>
          <w:sz w:val="24"/>
          <w:szCs w:val="24"/>
        </w:rPr>
      </w:pPr>
      <w:r>
        <w:rPr>
          <w:sz w:val="24"/>
          <w:szCs w:val="24"/>
        </w:rPr>
        <w:t xml:space="preserve">From the results of </w:t>
      </w:r>
      <w:ins w:id="192" w:author="Shawn McMurtrey" w:date="2022-08-14T14:47:00Z">
        <w:r>
          <w:rPr>
            <w:sz w:val="24"/>
            <w:szCs w:val="24"/>
          </w:rPr>
          <w:t>these two</w:t>
        </w:r>
      </w:ins>
      <w:del w:id="193" w:author="Shawn McMurtrey" w:date="2022-08-14T14:47:00Z">
        <w:r>
          <w:rPr>
            <w:sz w:val="24"/>
            <w:szCs w:val="24"/>
          </w:rPr>
          <w:delText>this</w:delText>
        </w:r>
      </w:del>
      <w:r>
        <w:rPr>
          <w:sz w:val="24"/>
          <w:szCs w:val="24"/>
        </w:rPr>
        <w:t xml:space="preserve"> stud</w:t>
      </w:r>
      <w:ins w:id="194" w:author="Shawn McMurtrey" w:date="2022-08-14T14:47:00Z">
        <w:r>
          <w:rPr>
            <w:sz w:val="24"/>
            <w:szCs w:val="24"/>
          </w:rPr>
          <w:t>ies</w:t>
        </w:r>
      </w:ins>
      <w:del w:id="195" w:author="Shawn McMurtrey" w:date="2022-08-14T14:47:00Z">
        <w:r>
          <w:rPr>
            <w:sz w:val="24"/>
            <w:szCs w:val="24"/>
          </w:rPr>
          <w:delText>y</w:delText>
        </w:r>
      </w:del>
      <w:r>
        <w:rPr>
          <w:sz w:val="24"/>
          <w:szCs w:val="24"/>
        </w:rPr>
        <w:t xml:space="preserve">, </w:t>
      </w:r>
      <w:ins w:id="196" w:author="Shawn McMurtrey" w:date="2022-08-14T14:48:00Z">
        <w:r>
          <w:rPr>
            <w:sz w:val="24"/>
            <w:szCs w:val="24"/>
          </w:rPr>
          <w:t>two</w:t>
        </w:r>
      </w:ins>
      <w:del w:id="197" w:author="Shawn McMurtrey" w:date="2022-08-14T14:48:00Z">
        <w:r>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198" w:author="Shawn McMurtrey" w:date="2022-08-14T14:48:00Z">
        <w:r>
          <w:rPr>
            <w:i/>
            <w:sz w:val="24"/>
            <w:szCs w:val="24"/>
          </w:rPr>
          <w:delText>Secondly, the proportion of tree mortality caused by C. sulphurascens in thinned stands was higher when compared to unthinned stands</w:delText>
        </w:r>
      </w:del>
      <w:del w:id="199" w:author="Shawn McMurtrey" w:date="2022-08-14T14:48:00Z">
        <w:r>
          <w:rPr>
            <w:b/>
            <w:i/>
            <w:sz w:val="24"/>
            <w:szCs w:val="24"/>
          </w:rPr>
          <w:delText xml:space="preserve">. </w:delText>
        </w:r>
      </w:del>
      <w:del w:id="200" w:author="Shawn McMurtrey" w:date="2022-08-14T14:48:00Z">
        <w:r>
          <w:rPr>
            <w:i/>
            <w:sz w:val="24"/>
            <w:szCs w:val="24"/>
          </w:rPr>
          <w:delText xml:space="preserve">Lastly, on average, FVS and the WRDM predicted lower growth and yield volumes when compared with observed data. </w:delText>
        </w:r>
      </w:del>
      <w:ins w:id="201" w:author="Shawn McMurtrey" w:date="2022-08-14T14:48:00Z">
        <w:r>
          <w:rPr>
            <w:sz w:val="24"/>
            <w:szCs w:val="24"/>
          </w:rPr>
          <w:t>Secondly</w:t>
        </w:r>
      </w:ins>
      <w:ins w:id="202" w:author="Shawn McMurtrey" w:date="2022-08-14T14:49:00Z">
        <w:r>
          <w:rPr>
            <w:sz w:val="24"/>
            <w:szCs w:val="24"/>
          </w:rPr>
          <w:t xml:space="preserve">, the use of non-host rotations did not have a significant effect on </w:t>
        </w:r>
      </w:ins>
      <w:ins w:id="203" w:author="Shawn McMurtrey" w:date="2022-08-14T14:50:00Z">
        <w:r>
          <w:rPr>
            <w:sz w:val="24"/>
            <w:szCs w:val="24"/>
          </w:rPr>
          <w:t>increasing</w:t>
        </w:r>
      </w:ins>
      <w:ins w:id="204" w:author="Shawn McMurtrey" w:date="2022-08-14T14:49:00Z">
        <w:r>
          <w:rPr>
            <w:sz w:val="24"/>
            <w:szCs w:val="24"/>
          </w:rPr>
          <w:t xml:space="preserve"> growth and y</w:t>
        </w:r>
      </w:ins>
      <w:ins w:id="205" w:author="Shawn McMurtrey" w:date="2022-08-14T14:50:00Z">
        <w:r>
          <w:rPr>
            <w:sz w:val="24"/>
            <w:szCs w:val="24"/>
          </w:rPr>
          <w:t xml:space="preserve">ield or reducing tree mortality caused by </w:t>
        </w:r>
      </w:ins>
      <w:ins w:id="206" w:author="Shawn McMurtrey" w:date="2022-08-14T14:50:00Z">
        <w:r>
          <w:rPr>
            <w:i/>
            <w:iCs/>
            <w:sz w:val="24"/>
            <w:szCs w:val="24"/>
          </w:rPr>
          <w:t xml:space="preserve">C. </w:t>
        </w:r>
      </w:ins>
      <w:ins w:id="207" w:author="Shawn McMurtrey" w:date="2022-08-15T20:07:00Z">
        <w:r>
          <w:rPr>
            <w:i/>
            <w:iCs/>
            <w:sz w:val="24"/>
            <w:szCs w:val="24"/>
          </w:rPr>
          <w:t>sulphurascens</w:t>
        </w:r>
      </w:ins>
      <w:ins w:id="208" w:author="Shawn McMurtrey" w:date="2022-08-14T14:50:00Z">
        <w:r>
          <w:rPr>
            <w:sz w:val="24"/>
            <w:szCs w:val="24"/>
          </w:rPr>
          <w:t>.</w:t>
        </w:r>
      </w:ins>
    </w:p>
    <w:p>
      <w:pPr>
        <w:pStyle w:val="Normal"/>
        <w:spacing w:lineRule="auto" w:line="480"/>
        <w:rPr>
          <w:b/>
          <w:b/>
          <w:sz w:val="28"/>
          <w:szCs w:val="28"/>
        </w:rPr>
      </w:pPr>
      <w:r>
        <w:rPr>
          <w:b/>
          <w:sz w:val="28"/>
          <w:szCs w:val="28"/>
        </w:rPr>
      </w:r>
    </w:p>
    <w:p>
      <w:pPr>
        <w:pStyle w:val="Normal"/>
        <w:spacing w:lineRule="auto" w:line="480"/>
        <w:rPr>
          <w:sz w:val="24"/>
          <w:szCs w:val="24"/>
        </w:rPr>
      </w:pPr>
      <w:r>
        <w:rPr>
          <w:b/>
          <w:bCs/>
          <w:sz w:val="24"/>
          <w:szCs w:val="24"/>
        </w:rPr>
        <w: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The</w:t>
      </w:r>
      <w:ins w:id="209" w:author="Shawn McMurtrey" w:date="2022-08-14T14:50:00Z">
        <w:r>
          <w:rPr>
            <w:sz w:val="24"/>
            <w:szCs w:val="24"/>
          </w:rPr>
          <w:t xml:space="preserve"> results of the Woods Creek study showed th</w:t>
        </w:r>
      </w:ins>
      <w:ins w:id="210"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sz w:val="24"/>
          <w:szCs w:val="24"/>
        </w:rPr>
        <w:t xml:space="preserve">that </w:t>
      </w:r>
      <w:r>
        <w:rPr>
          <w:color w:val="000000"/>
          <w:sz w:val="24"/>
          <w:szCs w:val="24"/>
          <w:shd w:fill="FFFFFF" w:val="clear"/>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br/>
      </w:r>
    </w:p>
    <w:p>
      <w:pPr>
        <w:pStyle w:val="Normal"/>
        <w:spacing w:lineRule="auto" w:line="480"/>
        <w:rPr>
          <w:sz w:val="24"/>
          <w:szCs w:val="24"/>
        </w:rPr>
      </w:pPr>
      <w:r>
        <w:rPr>
          <w:sz w:val="24"/>
          <w:szCs w:val="24"/>
        </w:rPr>
        <w:t>Modelled predictions were found to be qualitatively accurate within this study for the WRDM but not for the FVS model.</w:t>
      </w:r>
      <w:ins w:id="211" w:author="Shawn McMurtrey" w:date="2022-09-02T10:01:00Z">
        <w:r>
          <w:rPr>
            <w:sz w:val="24"/>
            <w:szCs w:val="24"/>
          </w:rPr>
          <w:t xml:space="preserve"> </w:t>
        </w:r>
      </w:ins>
      <w:del w:id="212" w:author="Shawn McMurtrey" w:date="2022-09-02T10:01:00Z">
        <w:r>
          <w:rPr>
            <w:sz w:val="24"/>
            <w:szCs w:val="24"/>
          </w:rPr>
          <w:delText xml:space="preserve">  </w:delText>
        </w:r>
      </w:del>
      <w:r>
        <w:rPr>
          <w:sz w:val="24"/>
          <w:szCs w:val="24"/>
        </w:rPr>
        <w:t>The WRDM was a better indicator of observed data when compared to the FVS model alone. The FVS model tended to underpredict the impact of LRR which in turn caused an overprediction of growth and yield</w:t>
      </w:r>
      <w:ins w:id="213" w:author="Shawn McMurtrey" w:date="2022-09-02T10:00:00Z">
        <w:r>
          <w:rPr>
            <w:sz w:val="24"/>
            <w:szCs w:val="24"/>
          </w:rPr>
          <w:t xml:space="preserve"> for the stands</w:t>
        </w:r>
      </w:ins>
      <w:r>
        <w:rPr>
          <w:sz w:val="24"/>
          <w:szCs w:val="24"/>
        </w:rPr>
        <w:t xml:space="preserve">. </w:t>
      </w:r>
      <w:commentRangeStart w:id="30"/>
      <w:commentRangeStart w:id="31"/>
      <w:r>
        <w:rPr>
          <w:sz w:val="24"/>
          <w:szCs w:val="24"/>
        </w:rPr>
        <w:t>This finding was consistent with the findings from</w:t>
      </w:r>
      <w:ins w:id="214" w:author="Shawn McMurtrey" w:date="2022-09-02T10:00:00Z">
        <w:r>
          <w:rPr>
            <w:sz w:val="24"/>
            <w:szCs w:val="24"/>
          </w:rPr>
          <w:t xml:space="preserve"> Frankel et al., 1998</w:t>
        </w:r>
      </w:ins>
      <w:ins w:id="215" w:author="Shawn McMurtrey" w:date="2022-09-02T10:02:00Z">
        <w:r>
          <w:rPr>
            <w:sz w:val="24"/>
            <w:szCs w:val="24"/>
          </w:rPr>
          <w:t xml:space="preserve">. </w:t>
        </w:r>
      </w:ins>
      <w:del w:id="216" w:author="Shawn McMurtrey" w:date="2022-09-02T10:00:00Z">
        <w:r>
          <w:rPr>
            <w:sz w:val="24"/>
            <w:szCs w:val="24"/>
          </w:rPr>
          <w:delText xml:space="preserve"> Maffei</w:delText>
        </w:r>
      </w:del>
      <w:del w:id="217" w:author="Shawn McMurtrey" w:date="2022-09-02T10:02:00Z">
        <w:r>
          <w:rPr>
            <w:sz w:val="24"/>
            <w:szCs w:val="24"/>
          </w:rPr>
          <w:delText xml:space="preserve"> et</w:delText>
        </w:r>
      </w:del>
      <w:del w:id="218" w:author="Shawn McMurtrey" w:date="2022-09-02T10:01:00Z">
        <w:r>
          <w:rPr>
            <w:sz w:val="24"/>
            <w:szCs w:val="24"/>
          </w:rPr>
          <w:delText xml:space="preserve"> al., 2008</w:delText>
        </w:r>
      </w:del>
      <w:r>
        <w:rPr>
          <w:sz w:val="24"/>
          <w:szCs w:val="24"/>
        </w:rPr>
        <w:t>.</w:t>
      </w:r>
      <w:r>
        <w:rPr>
          <w:rFonts w:eastAsia="Times New Roman"/>
          <w:sz w:val="24"/>
          <w:szCs w:val="24"/>
        </w:rPr>
        <w:t xml:space="preserve"> </w:t>
      </w:r>
      <w:r>
        <w:rPr>
          <w:rFonts w:eastAsia="Times New Roman"/>
          <w:sz w:val="24"/>
          <w:szCs w:val="24"/>
        </w:rPr>
      </w:r>
      <w:commentRangeEnd w:id="31"/>
      <w:r>
        <w:commentReference w:id="31"/>
      </w:r>
      <w:r>
        <w:rPr>
          <w:rFonts w:eastAsia="Times New Roman"/>
          <w:sz w:val="24"/>
          <w:szCs w:val="24"/>
        </w:rPr>
      </w:r>
      <w:commentRangeEnd w:id="30"/>
      <w:r>
        <w:commentReference w:id="30"/>
      </w:r>
      <w:r>
        <w:rPr>
          <w:rFonts w:eastAsia="Times New Roman"/>
          <w:sz w:val="24"/>
          <w:szCs w:val="24"/>
        </w:rPr>
        <w:t>It</w:t>
      </w:r>
      <w:r>
        <w:rPr/>
        <w:t xml:space="preserve"> </w:t>
      </w:r>
      <w:r>
        <w:rPr>
          <w:sz w:val="24"/>
          <w:szCs w:val="24"/>
        </w:rPr>
        <w:t xml:space="preserve">is worth noting that accuracy would likely continue to decrease over longer time periods. The time span of 30 years is arguably a relatively short time in terms of a forest ecosystems and timber rotations. Varying results are also expected to occur dependent upon more or less stringent root disease settings used to initialize the WRDM (i.e. hectares of root disease area or number of infected trees). It should also be taken into consideration that the low percentages of differences in growth and yield might be significant if applied to larger stand sizes.   </w:t>
      </w:r>
    </w:p>
    <w:p>
      <w:pPr>
        <w:pStyle w:val="Normal"/>
        <w:tabs>
          <w:tab w:val="clear" w:pos="720"/>
          <w:tab w:val="left" w:pos="2520" w:leader="none"/>
        </w:tabs>
        <w:spacing w:lineRule="auto" w:line="480"/>
        <w:ind w:left="720" w:hanging="720"/>
        <w:rPr>
          <w:sz w:val="24"/>
          <w:szCs w:val="24"/>
        </w:rPr>
      </w:pPr>
      <w:r>
        <w:rPr>
          <w:sz w:val="24"/>
          <w:szCs w:val="24"/>
        </w:rPr>
        <w:tab/>
        <w:tab/>
      </w:r>
    </w:p>
    <w:p>
      <w:pPr>
        <w:pStyle w:val="Normal"/>
        <w:spacing w:lineRule="auto" w:line="480"/>
        <w:ind w:left="720" w:hanging="720"/>
        <w:rPr>
          <w:sz w:val="24"/>
          <w:szCs w:val="24"/>
        </w:rPr>
      </w:pPr>
      <w:r>
        <w:rPr>
          <w:sz w:val="24"/>
          <w:szCs w:val="24"/>
        </w:rPr>
        <w:t>Whereas other studies conducted analyzing different forest models have predicted</w:t>
      </w:r>
    </w:p>
    <w:p>
      <w:pPr>
        <w:pStyle w:val="Normal"/>
        <w:spacing w:lineRule="auto" w:line="480"/>
        <w:ind w:left="720" w:hanging="720"/>
        <w:rPr>
          <w:sz w:val="24"/>
          <w:szCs w:val="24"/>
        </w:rPr>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pPr>
        <w:pStyle w:val="Normal"/>
        <w:spacing w:lineRule="auto" w:line="480"/>
        <w:ind w:left="720" w:hanging="720"/>
        <w:rPr>
          <w:sz w:val="24"/>
          <w:szCs w:val="24"/>
        </w:rPr>
      </w:pPr>
      <w:r>
        <w:rPr>
          <w:sz w:val="24"/>
          <w:szCs w:val="24"/>
        </w:rPr>
        <w:t>results of this study were converse. Models depicting optimistic</w:t>
      </w:r>
    </w:p>
    <w:p>
      <w:pPr>
        <w:pStyle w:val="Normal"/>
        <w:spacing w:lineRule="auto" w:line="480"/>
        <w:ind w:left="720" w:hanging="720"/>
        <w:rPr>
          <w:sz w:val="24"/>
          <w:szCs w:val="24"/>
        </w:rPr>
      </w:pPr>
      <w:r>
        <w:rPr>
          <w:sz w:val="24"/>
          <w:szCs w:val="24"/>
        </w:rPr>
        <w:t>trends don’t always account for amounts of inoculum within the soil, rate of disease</w:t>
      </w:r>
    </w:p>
    <w:p>
      <w:pPr>
        <w:pStyle w:val="Normal"/>
        <w:spacing w:lineRule="auto" w:line="480"/>
        <w:ind w:left="720" w:hanging="720"/>
        <w:rPr>
          <w:sz w:val="24"/>
          <w:szCs w:val="24"/>
        </w:rPr>
      </w:pPr>
      <w:r>
        <w:rPr>
          <w:sz w:val="24"/>
          <w:szCs w:val="24"/>
        </w:rPr>
        <w:t>spread, or expected tree loss. There are also many alternate compounding variables</w:t>
      </w:r>
    </w:p>
    <w:p>
      <w:pPr>
        <w:pStyle w:val="Normal"/>
        <w:spacing w:lineRule="auto" w:line="480"/>
        <w:ind w:left="720" w:hanging="720"/>
        <w:rPr>
          <w:sz w:val="24"/>
          <w:szCs w:val="24"/>
        </w:rPr>
      </w:pPr>
      <w:r>
        <w:rPr>
          <w:sz w:val="24"/>
          <w:szCs w:val="24"/>
        </w:rPr>
        <w:t>that influence forest health, disease spread, and tree mortality, such as</w:t>
      </w:r>
    </w:p>
    <w:p>
      <w:pPr>
        <w:pStyle w:val="Normal"/>
        <w:spacing w:lineRule="auto" w:line="480"/>
        <w:ind w:left="720" w:hanging="720"/>
        <w:rPr>
          <w:sz w:val="24"/>
          <w:szCs w:val="24"/>
        </w:rPr>
      </w:pPr>
      <w:r>
        <w:rPr>
          <w:sz w:val="24"/>
          <w:szCs w:val="24"/>
        </w:rPr>
        <w:t>temperature, soil moisture, and pH levels (Lattin 1998; Angwin, 1985; Hansen et al.,</w:t>
      </w:r>
    </w:p>
    <w:p>
      <w:pPr>
        <w:pStyle w:val="Normal"/>
        <w:spacing w:lineRule="auto" w:line="480"/>
        <w:rPr>
          <w:sz w:val="24"/>
          <w:szCs w:val="24"/>
        </w:rPr>
      </w:pPr>
      <w:r>
        <w:rPr>
          <w:sz w:val="24"/>
          <w:szCs w:val="24"/>
        </w:rPr>
        <w:t>1983). These variables have not been adequately accounted for within</w:t>
        <w:br/>
        <w:t xml:space="preserve">this study. Further reproducible studies are needed to better understand FVS and WRDM calibrations, and to assist with refining parameterization and initializing the models for similar forest stands (Maffei et al., 2008).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while adaptations will need to be made to deviations of what was once considered more consistent management.</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gained on LRR incidence with respect to thinning for drought and fire suppression. An increased knowledge was also gained concerning alternate host rotations for long term forest management strategies. </w:t>
      </w:r>
      <w:ins w:id="219" w:author="Shawn McMurtrey" w:date="2022-08-14T14:53:00Z">
        <w:r>
          <w:rPr>
            <w:sz w:val="24"/>
            <w:szCs w:val="24"/>
          </w:rPr>
          <w:t xml:space="preserve"> </w:t>
        </w:r>
      </w:ins>
    </w:p>
    <w:p>
      <w:pPr>
        <w:pStyle w:val="Normal"/>
        <w:spacing w:lineRule="auto" w:line="480"/>
        <w:rPr>
          <w:sz w:val="24"/>
          <w:szCs w:val="24"/>
        </w:rPr>
      </w:pPr>
      <w:r>
        <w:rPr>
          <w:sz w:val="24"/>
          <w:szCs w:val="24"/>
        </w:rPr>
      </w:r>
    </w:p>
    <w:p>
      <w:pPr>
        <w:pStyle w:val="Normal"/>
        <w:spacing w:lineRule="auto" w:line="480"/>
        <w:rPr>
          <w:b/>
          <w:b/>
          <w:sz w:val="28"/>
          <w:szCs w:val="28"/>
        </w:rPr>
      </w:pPr>
      <w:r>
        <w:rPr>
          <w:b/>
          <w:sz w:val="28"/>
          <w:szCs w:val="28"/>
        </w:rPr>
        <w:t>Data Availability Statement</w:t>
      </w:r>
    </w:p>
    <w:p>
      <w:pPr>
        <w:pStyle w:val="Normal"/>
        <w:spacing w:lineRule="auto" w:line="480"/>
        <w:rPr>
          <w:sz w:val="24"/>
          <w:szCs w:val="24"/>
        </w:rPr>
      </w:pPr>
      <w:r>
        <w:rPr>
          <w:sz w:val="24"/>
          <w:szCs w:val="24"/>
        </w:rPr>
        <w:t xml:space="preserve">Raw data files, cleaned data files, and detailed data cleaning methods for the Woods Creek study can be found at the following Github repository: </w:t>
      </w:r>
      <w:hyperlink r:id="rId42">
        <w:r>
          <w:rPr>
            <w:rStyle w:val="Internet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pPr>
        <w:pStyle w:val="Normal"/>
        <w:spacing w:lineRule="auto" w:line="480"/>
        <w:rPr>
          <w:sz w:val="24"/>
          <w:szCs w:val="24"/>
        </w:rPr>
      </w:pPr>
      <w:r>
        <w:rPr>
          <w:sz w:val="24"/>
          <w:szCs w:val="24"/>
        </w:rPr>
      </w:r>
    </w:p>
    <w:p>
      <w:pPr>
        <w:pStyle w:val="Normal"/>
        <w:spacing w:lineRule="auto" w:line="480"/>
        <w:rPr>
          <w:sz w:val="24"/>
          <w:szCs w:val="24"/>
        </w:rPr>
      </w:pPr>
      <w:r>
        <w:rPr>
          <w:b/>
          <w:sz w:val="28"/>
          <w:szCs w:val="28"/>
        </w:rPr>
        <w:t>Acknowledgements</w:t>
        <w:br/>
      </w:r>
      <w:del w:id="220" w:author="Shawn McMurtrey" w:date="2022-08-19T10:00:00Z">
        <w:r>
          <w:rPr>
            <w:b/>
            <w:sz w:val="28"/>
            <w:szCs w:val="28"/>
          </w:rPr>
          <w:delText xml:space="preserve">Funding was provided by the _________________. </w:delText>
        </w:r>
      </w:del>
      <w:r>
        <w:rPr/>
        <w:t xml:space="preserve">Funding </w:t>
      </w:r>
      <w:ins w:id="221" w:author="Shawn McMurtrey" w:date="2022-08-19T10:01:00Z">
        <w:r>
          <w:rPr/>
          <w:t xml:space="preserve">for these two studies </w:t>
        </w:r>
      </w:ins>
      <w:r>
        <w:rPr/>
        <w:t>was</w:t>
      </w:r>
      <w:del w:id="222" w:author="Shawn McMurtrey" w:date="2022-09-11T19:10:00Z">
        <w:r>
          <w:rPr/>
          <w:delText xml:space="preserve"> also</w:delText>
        </w:r>
      </w:del>
      <w:r>
        <w:rPr/>
        <w:t xml:space="preserve"> provided by the Agricultural Research Foundation at Oregon State University</w:t>
      </w:r>
      <w:ins w:id="223" w:author="Shawn McMurtrey" w:date="2022-09-11T19:10:00Z">
        <w:r>
          <w:rPr/>
          <w:t xml:space="preserve"> and</w:t>
        </w:r>
      </w:ins>
      <w:ins w:id="224" w:author="Shawn McMurtrey" w:date="2022-08-19T10:01:00Z">
        <w:r>
          <w:rPr/>
          <w:t xml:space="preserve"> USFS grant ___________</w:t>
        </w:r>
      </w:ins>
      <w:ins w:id="225" w:author="Shawn McMurtrey" w:date="2022-09-11T19:11:00Z">
        <w:r>
          <w:rPr/>
          <w:t>. T</w:t>
        </w:r>
      </w:ins>
      <w:ins w:id="226" w:author="Shawn McMurtrey" w:date="2022-08-19T10:01:00Z">
        <w:r>
          <w:rPr/>
          <w:t>he Weyheiser</w:t>
        </w:r>
      </w:ins>
      <w:ins w:id="227" w:author="Shawn McMurtrey" w:date="2022-08-19T10:07:00Z">
        <w:r>
          <w:rPr/>
          <w:t xml:space="preserve"> Co. provided _______________</w:t>
        </w:r>
      </w:ins>
      <w:ins w:id="228" w:author="Shawn McMurtrey" w:date="2022-08-19T10:04:00Z">
        <w:r>
          <w:rPr/>
          <w:t xml:space="preserve">. </w:t>
        </w:r>
      </w:ins>
      <w:del w:id="229" w:author="Shawn McMurtrey" w:date="2022-08-19T10:01:00Z">
        <w:r>
          <w:rPr/>
          <w:delText>.</w:delText>
        </w:r>
      </w:del>
      <w:del w:id="230" w:author="Shawn McMurtrey" w:date="2022-08-19T10:04:00Z">
        <w:r>
          <w:rPr/>
          <w:delText xml:space="preserve"> </w:delText>
        </w:r>
      </w:del>
      <w:ins w:id="231" w:author="Shawn McMurtrey" w:date="2022-08-19T10:02:00Z">
        <w:r>
          <w:rPr/>
          <w:t>Logging, regeneration, data</w:t>
        </w:r>
      </w:ins>
      <w:ins w:id="232" w:author="Shawn McMurtrey" w:date="2022-08-19T10:03:00Z">
        <w:r>
          <w:rPr/>
          <w:t xml:space="preserve"> collection, and funding</w:t>
        </w:r>
      </w:ins>
      <w:ins w:id="233" w:author="Shawn McMurtrey" w:date="2022-08-19T10:02:00Z">
        <w:r>
          <w:rPr/>
          <w:t xml:space="preserve"> was provided by the </w:t>
        </w:r>
      </w:ins>
      <w:ins w:id="234" w:author="Shawn McMurtrey" w:date="2022-08-19T10:04:00Z">
        <w:r>
          <w:rPr/>
          <w:t>International Paper Co</w:t>
        </w:r>
      </w:ins>
      <w:ins w:id="235" w:author="Shawn McMurtrey" w:date="2022-08-19T10:07:00Z">
        <w:r>
          <w:rPr/>
          <w:t>.</w:t>
        </w:r>
      </w:ins>
      <w:ins w:id="236" w:author="Shawn McMurtrey" w:date="2022-08-19T10:04:00Z">
        <w:r>
          <w:rPr/>
          <w:t xml:space="preserve">. </w:t>
        </w:r>
      </w:ins>
      <w:r>
        <w:rPr/>
        <w:t xml:space="preserve">The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pPr>
        <w:pStyle w:val="Normal"/>
        <w:spacing w:lineRule="auto" w:line="480"/>
        <w:rPr>
          <w:b/>
          <w:b/>
          <w:sz w:val="28"/>
          <w:szCs w:val="28"/>
        </w:rPr>
      </w:pPr>
      <w:r>
        <w:rPr>
          <w:b/>
          <w:sz w:val="28"/>
          <w:szCs w:val="28"/>
        </w:rPr>
      </w:r>
    </w:p>
    <w:p>
      <w:pPr>
        <w:pStyle w:val="Normal"/>
        <w:spacing w:lineRule="auto" w:line="480"/>
        <w:rPr>
          <w:sz w:val="24"/>
          <w:szCs w:val="24"/>
        </w:rPr>
      </w:pPr>
      <w:r>
        <w:rPr>
          <w:b/>
          <w:sz w:val="28"/>
          <w:szCs w:val="28"/>
        </w:rPr>
        <w:t>References</w:t>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"bb0010"</w:instrText>
      </w:r>
      <w:r>
        <w:rPr>
          <w:sz w:val="24"/>
          <w:szCs w:val="24"/>
          <w:rFonts w:eastAsia="Times New Roman"/>
        </w:rPr>
        <w:fldChar w:fldCharType="separate"/>
      </w:r>
      <w:r>
        <w:rPr>
          <w:rFonts w:eastAsia="Times New Roman"/>
          <w:sz w:val="24"/>
          <w:szCs w:val="24"/>
        </w:rPr>
        <w:t>Agee J.K, and Skinner C.N. (2005</w:t>
      </w:r>
      <w:r>
        <w:rPr>
          <w:sz w:val="24"/>
          <w:szCs w:val="24"/>
          <w:rFonts w:eastAsia="Times New Roman"/>
        </w:rPr>
        <w:fldChar w:fldCharType="end"/>
      </w:r>
      <w:r>
        <w:rPr>
          <w:rFonts w:eastAsia="Times New Roman"/>
          <w:sz w:val="24"/>
          <w:szCs w:val="24"/>
        </w:rPr>
        <w:t xml:space="preserve">). Basic principles of forest fuel reduction treatments. </w:t>
        <w:br/>
        <w:t xml:space="preserve">For. Ecol. Manage., 211 (1) , pp. 83-96. </w:t>
      </w:r>
      <w:hyperlink r:id="rId43" w:tgtFrame="Persistent link using digital object identifier">
        <w:r>
          <w:rPr>
            <w:rStyle w:val="InternetLink"/>
            <w:rFonts w:cs="Open Sans" w:ascii="Open Sans" w:hAnsi="Open Sans"/>
            <w:color w:val="000000"/>
            <w:sz w:val="21"/>
            <w:szCs w:val="21"/>
            <w:shd w:fill="FFFFFF" w:val="clear"/>
          </w:rPr>
          <w:t>https://doi.org/10.1016/j.foreco.2005.01.034</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Angwin, P. A. (1985). Environmental factors influencing the rate of spread of Phellinus weirii(Murr.) Gilbertson in young-growth Douglas-fir. Oregon State University, Corvallis, Oregon, master’s thesis. 107 p., </w:t>
      </w:r>
      <w:hyperlink r:id="rId44">
        <w:r>
          <w:rPr>
            <w:rStyle w:val="InternetLink"/>
            <w:rFonts w:cs="Open Sans" w:ascii="Open Sans" w:hAnsi="Open Sans"/>
            <w:color w:val="000000"/>
            <w:sz w:val="21"/>
            <w:szCs w:val="21"/>
            <w:shd w:fill="FFFFFF" w:val="clear"/>
          </w:rPr>
          <w:t>https://ir.library.oregonstate.edu/concern/graduate_thesis_or_dissertations/k930c098s</w:t>
        </w:r>
      </w:hyperlink>
    </w:p>
    <w:p>
      <w:pPr>
        <w:pStyle w:val="Normal"/>
        <w:spacing w:lineRule="auto" w:line="480"/>
        <w:ind w:left="720" w:hanging="720"/>
        <w:rPr>
          <w:b/>
          <w:b/>
          <w:sz w:val="28"/>
          <w:szCs w:val="28"/>
        </w:rPr>
      </w:pPr>
      <w:r>
        <w:rPr>
          <w:b/>
          <w:sz w:val="28"/>
          <w:szCs w:val="28"/>
        </w:rPr>
      </w:r>
    </w:p>
    <w:p>
      <w:pPr>
        <w:pStyle w:val="Normal"/>
        <w:spacing w:lineRule="auto" w:line="480"/>
        <w:ind w:left="720" w:hanging="720"/>
        <w:rPr>
          <w:sz w:val="24"/>
          <w:szCs w:val="24"/>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45">
        <w:r>
          <w:rPr>
            <w:rStyle w:val="InternetLink"/>
            <w:rFonts w:cs="Open Sans" w:ascii="Open Sans" w:hAnsi="Open Sans"/>
            <w:color w:val="000000"/>
            <w:sz w:val="21"/>
            <w:szCs w:val="21"/>
            <w:shd w:fill="FFFFFF" w:val="clear"/>
          </w:rPr>
          <w:t>https://doi.org/10.3389/ffgc.2021.695981</w:t>
        </w:r>
      </w:hyperlink>
    </w:p>
    <w:p>
      <w:pPr>
        <w:pStyle w:val="Normal"/>
        <w:spacing w:lineRule="auto" w:line="480"/>
        <w:rPr>
          <w:b/>
          <w:b/>
          <w:sz w:val="28"/>
          <w:szCs w:val="28"/>
        </w:rPr>
      </w:pPr>
      <w:r>
        <w:rPr>
          <w:b/>
          <w:sz w:val="28"/>
          <w:szCs w:val="28"/>
        </w:rPr>
      </w:r>
    </w:p>
    <w:p>
      <w:pPr>
        <w:pStyle w:val="Normal"/>
        <w:spacing w:lineRule="auto" w:line="480"/>
        <w:ind w:left="720" w:hanging="720"/>
        <w:rPr>
          <w:sz w:val="24"/>
          <w:szCs w:val="24"/>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46" w:tgtFrame="Persistent link using digital object identifier">
        <w:r>
          <w:rPr>
            <w:rStyle w:val="InternetLink"/>
            <w:rFonts w:cs="Open Sans" w:ascii="Open Sans" w:hAnsi="Open Sans"/>
            <w:color w:val="000000"/>
            <w:sz w:val="21"/>
            <w:szCs w:val="21"/>
            <w:shd w:fill="FFFFFF" w:val="clear"/>
          </w:rPr>
          <w:t>https://doi.org/10.1016/j.foreco.2012.05.040</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sz w:val="21"/>
          <w:szCs w:val="21"/>
          <w:shd w:fill="FFFFFF" w:val="clear"/>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47">
        <w:r>
          <w:rPr>
            <w:rStyle w:val="InternetLink"/>
            <w:rFonts w:cs="Open Sans" w:ascii="Open Sans" w:hAnsi="Open Sans"/>
            <w:color w:val="000000"/>
            <w:sz w:val="21"/>
            <w:szCs w:val="21"/>
            <w:shd w:fill="FFFFFF" w:val="clear"/>
          </w:rPr>
          <w:t>https://www.fs.usda.gov/treesearch/pubs/46886</w:t>
        </w:r>
      </w:hyperlink>
    </w:p>
    <w:p>
      <w:pPr>
        <w:pStyle w:val="Normal"/>
        <w:spacing w:lineRule="auto" w:line="480"/>
        <w:ind w:left="720" w:hanging="720"/>
        <w:rPr>
          <w:rStyle w:val="InternetLink"/>
          <w:rFonts w:ascii="Open Sans" w:hAnsi="Open Sans" w:cs="Open Sans"/>
          <w:color w:val="000000"/>
          <w:sz w:val="21"/>
          <w:szCs w:val="21"/>
          <w:shd w:fill="FFFFFF" w:val="clear"/>
        </w:rPr>
      </w:pPr>
      <w:r>
        <w:rPr>
          <w:rFonts w:cs="Open Sans" w:ascii="Open Sans" w:hAnsi="Open Sans"/>
          <w:color w:val="000000"/>
          <w:sz w:val="21"/>
          <w:szCs w:val="21"/>
          <w:shd w:fill="FFFFFF" w:val="clear"/>
        </w:rPr>
      </w:r>
    </w:p>
    <w:p>
      <w:pPr>
        <w:pStyle w:val="Normal"/>
        <w:spacing w:lineRule="auto" w:line="480"/>
        <w:ind w:left="720" w:hanging="720"/>
        <w:rPr>
          <w:sz w:val="24"/>
          <w:szCs w:val="24"/>
        </w:rPr>
      </w:pPr>
      <w:r>
        <w:rPr>
          <w:rFonts w:eastAsia="Times New Roman"/>
          <w:sz w:val="24"/>
          <w:szCs w:val="24"/>
        </w:rPr>
        <w:t xml:space="preserve">David, L. R. (2018). User Friendly User’s Guide To the Western Root Disease Model Version 3.0. Forest management Service Center. Fort Collins, CO. 29-30 pp.  </w:t>
      </w:r>
      <w:r>
        <w:rPr>
          <w:rStyle w:val="InternetLink"/>
          <w:rFonts w:cs="Open Sans" w:ascii="Open Sans" w:hAnsi="Open Sans"/>
          <w:color w:val="000000"/>
          <w:sz w:val="21"/>
          <w:szCs w:val="21"/>
          <w:shd w:fill="FFFFFF" w:val="clear"/>
        </w:rPr>
        <w:t>https://www.fs.fed.us/foresthealth/technology/pdfs/WesternRootDiseaseModelV3-0UserGuide2018.pdf</w:t>
      </w:r>
      <w:r>
        <w:rPr>
          <w:rFonts w:eastAsia="Times New Roman"/>
          <w:sz w:val="24"/>
          <w:szCs w:val="24"/>
        </w:rPr>
        <w:t xml:space="preserve"> </w:t>
      </w:r>
      <w:r>
        <w:rPr>
          <w:rStyle w:val="InternetLink"/>
          <w:rFonts w:cs="Open Sans" w:ascii="Open Sans" w:hAnsi="Open Sans"/>
          <w:color w:val="000000"/>
          <w:sz w:val="21"/>
          <w:szCs w:val="21"/>
          <w:shd w:fill="FFFFFF" w:val="clear"/>
        </w:rPr>
        <w:br/>
      </w:r>
    </w:p>
    <w:p>
      <w:pPr>
        <w:pStyle w:val="Normal"/>
        <w:spacing w:lineRule="auto" w:line="480"/>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InternetLink"/>
          <w:rFonts w:cs="Open Sans" w:ascii="Open Sans" w:hAnsi="Open Sans"/>
          <w:color w:val="000000"/>
          <w:sz w:val="21"/>
          <w:szCs w:val="21"/>
          <w:shd w:fill="FFFFFF" w:val="clear"/>
        </w:rPr>
        <w:t>https://www.fs.usda.gov/Internet/FSE_DOCUMENTS/fsbdev3_020984.pdf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48">
        <w:r>
          <w:rPr>
            <w:rStyle w:val="InternetLink"/>
            <w:rFonts w:cs="Open Sans" w:ascii="Open Sans" w:hAnsi="Open Sans"/>
            <w:color w:val="000000"/>
            <w:sz w:val="21"/>
            <w:szCs w:val="21"/>
            <w:shd w:fill="FFFFFF" w:val="clear"/>
          </w:rPr>
          <w:t>https://doi.org/10.2737/PSW-GTR-165</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"bb0120"</w:instrText>
      </w:r>
      <w:r>
        <w:rPr>
          <w:sz w:val="24"/>
          <w:szCs w:val="24"/>
          <w:rFonts w:eastAsia="Times New Roman"/>
        </w:rPr>
        <w:fldChar w:fldCharType="separate"/>
      </w:r>
      <w:r>
        <w:rPr>
          <w:rFonts w:eastAsia="Times New Roman"/>
          <w:sz w:val="24"/>
          <w:szCs w:val="24"/>
        </w:rPr>
        <w:t>Franklin J.F. and Johnson K.N. (2012</w:t>
      </w:r>
      <w:r>
        <w:rPr>
          <w:sz w:val="24"/>
          <w:szCs w:val="24"/>
          <w:rFonts w:eastAsia="Times New Roman"/>
        </w:rPr>
        <w:fldChar w:fldCharType="end"/>
      </w:r>
      <w:r>
        <w:rPr>
          <w:rFonts w:eastAsia="Times New Roman"/>
          <w:sz w:val="24"/>
          <w:szCs w:val="24"/>
        </w:rPr>
        <w:t xml:space="preserve">). A restoration framework for federal forests in the Pacific Northwest. J. Forest., 110 (2012), pp. 429-439. </w:t>
      </w:r>
      <w:hyperlink r:id="rId49">
        <w:r>
          <w:rPr>
            <w:rStyle w:val="InternetLink"/>
            <w:rFonts w:cs="Open Sans" w:ascii="Open Sans" w:hAnsi="Open Sans"/>
            <w:color w:val="000000"/>
            <w:sz w:val="21"/>
            <w:szCs w:val="21"/>
            <w:shd w:fill="FFFFFF" w:val="clear"/>
          </w:rPr>
          <w:t>https://doi.org/10.5849/jof.10-006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Furniss, M. M. and Kegley, S. J. (2014). Forest Insect and Disease Leaflet 5. US Department of Agriculture, Forest Service.</w:t>
      </w:r>
    </w:p>
    <w:p>
      <w:pPr>
        <w:pStyle w:val="Normal"/>
        <w:spacing w:lineRule="auto" w:line="48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rFonts w:cs="Open Sans" w:ascii="Open Sans" w:hAnsi="Open Sans"/>
          <w:color w:val="000000"/>
          <w:sz w:val="21"/>
          <w:szCs w:val="21"/>
          <w:shd w:fill="FFFFFF" w:val="clear"/>
        </w:rPr>
        <w:t>https://www.fs.usda.gov/treesearch/pubs/1087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50">
        <w:r>
          <w:rPr>
            <w:rStyle w:val="InternetLink"/>
            <w:rFonts w:cs="Open Sans" w:ascii="Open Sans" w:hAnsi="Open Sans"/>
            <w:color w:val="000000"/>
            <w:sz w:val="21"/>
            <w:szCs w:val="21"/>
            <w:shd w:fill="FFFFFF" w:val="clear"/>
          </w:rPr>
          <w:t>https://www.biodiversitylibrary.org/bibliography/178892</w:t>
        </w:r>
      </w:hyperlink>
      <w:r>
        <w:rPr>
          <w:rStyle w:val="InternetLink"/>
          <w:rFonts w:cs="Open Sans" w:ascii="Open Sans" w:hAnsi="Open Sans"/>
          <w:color w:val="000000"/>
          <w:sz w:val="21"/>
          <w:szCs w:val="21"/>
          <w:shd w:fill="FFFFFF" w:val="clear"/>
        </w:rPr>
        <w:br/>
      </w:r>
    </w:p>
    <w:p>
      <w:pPr>
        <w:pStyle w:val="Normal"/>
        <w:spacing w:lineRule="auto" w:line="480"/>
        <w:ind w:left="720" w:hanging="720"/>
        <w:rPr>
          <w:sz w:val="24"/>
          <w:szCs w:val="24"/>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InternetLink"/>
          <w:rFonts w:cs="Open Sans" w:ascii="Open Sans" w:hAnsi="Open Sans"/>
          <w:color w:val="000000"/>
          <w:sz w:val="21"/>
          <w:szCs w:val="21"/>
          <w:shd w:fill="FFFFFF" w:val="clear"/>
        </w:rPr>
        <w:t>https://www.fs.usda.gov/detail/r6/forest-grasslandhealth/?cid=fsbdev2_027376</w:t>
        <w:br/>
      </w:r>
    </w:p>
    <w:p>
      <w:pPr>
        <w:pStyle w:val="Normal"/>
        <w:spacing w:lineRule="auto" w:line="480"/>
        <w:ind w:left="720" w:hanging="720"/>
        <w:rPr>
          <w:sz w:val="24"/>
          <w:szCs w:val="24"/>
        </w:rPr>
      </w:pPr>
      <w:r>
        <w:rPr>
          <w:rFonts w:eastAsia="Times New Roman"/>
          <w:sz w:val="24"/>
          <w:szCs w:val="24"/>
        </w:rPr>
        <w:t>Hagle, S. K., Tunnock, S. T., Gibson, K. E., Gilligan, C. J., (1987). 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rFonts w:cs="Open Sans" w:ascii="Open Sans" w:hAnsi="Open Sans"/>
          <w:color w:val="000000"/>
          <w:sz w:val="21"/>
          <w:szCs w:val="21"/>
          <w:shd w:fill="FFFFFF" w:val="clear"/>
        </w:rPr>
        <w:t>https://www.fs.usda.gov/treesearch/pubs/52098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(1979). Survival of Phellinusweirii in Douglas-fir stumps after logging. Canadian Journal of Forest Research. 9(4): 484-488. </w:t>
      </w:r>
      <w:hyperlink r:id="rId51">
        <w:r>
          <w:rPr>
            <w:rStyle w:val="InternetLink"/>
            <w:rFonts w:cs="Open Sans" w:ascii="Open Sans" w:hAnsi="Open Sans"/>
            <w:color w:val="000000"/>
            <w:sz w:val="21"/>
            <w:szCs w:val="21"/>
            <w:shd w:fill="FFFFFF" w:val="clear"/>
          </w:rPr>
          <w:t>https://doi.org/10.1139/x79-078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r>
        <w:rPr>
          <w:rStyle w:val="InternetLink"/>
          <w:rFonts w:cs="Open Sans" w:ascii="Open Sans" w:hAnsi="Open Sans"/>
          <w:color w:val="000000"/>
          <w:sz w:val="21"/>
          <w:szCs w:val="21"/>
          <w:shd w:fill="FFFFFF" w:val="clear"/>
        </w:rPr>
        <w:t>http://dx.doi.org/10.1146/annurev.phyto.38.1.515</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52">
        <w:r>
          <w:rPr>
            <w:rStyle w:val="InternetLink"/>
            <w:rFonts w:cs="Open Sans" w:ascii="Open Sans" w:hAnsi="Open Sans"/>
            <w:color w:val="000000"/>
            <w:sz w:val="21"/>
            <w:szCs w:val="21"/>
            <w:shd w:fill="FFFFFF" w:val="clear"/>
          </w:rPr>
          <w:t>https://doi.org/10.1002/ecs2.1569</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rFonts w:cs="Open Sans" w:ascii="Open Sans" w:hAnsi="Open Sans"/>
          <w:color w:val="000000"/>
          <w:sz w:val="21"/>
          <w:szCs w:val="21"/>
          <w:shd w:fill="FFFFFF" w:val="clear"/>
        </w:rPr>
        <w:t>https://www.fs.fed.us/rm/pubs/rmrs_rp076.pdf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ins w:id="237" w:author="Shawn McMurtrey" w:date="2022-08-19T14:24:00Z"/>
          <w:sz w:val="21"/>
          <w:szCs w:val="21"/>
          <w:shd w:fill="FFFFFF" w:val="clear"/>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53" w:tgtFrame="Persistent link using digital object identifier">
        <w:r>
          <w:rPr>
            <w:rStyle w:val="InternetLink"/>
            <w:rFonts w:cs="Open Sans" w:ascii="Open Sans" w:hAnsi="Open Sans"/>
            <w:color w:val="000000"/>
            <w:sz w:val="21"/>
            <w:szCs w:val="21"/>
            <w:shd w:fill="FFFFFF" w:val="clear"/>
          </w:rPr>
          <w:t>https://doi.org/10.1016/j.foreco.2019.03.063</w:t>
        </w:r>
      </w:hyperlink>
    </w:p>
    <w:p>
      <w:pPr>
        <w:pStyle w:val="Normal"/>
        <w:spacing w:lineRule="auto" w:line="480"/>
        <w:ind w:left="720" w:hanging="720"/>
        <w:rPr>
          <w:rStyle w:val="InternetLink"/>
          <w:rFonts w:ascii="Open Sans" w:hAnsi="Open Sans" w:cs="Open Sans"/>
          <w:color w:val="000000"/>
          <w:ins w:id="239" w:author="Shawn McMurtrey" w:date="2022-08-19T14:24:00Z"/>
          <w:sz w:val="21"/>
          <w:szCs w:val="21"/>
          <w:shd w:fill="FFFFFF" w:val="clear"/>
        </w:rPr>
      </w:pPr>
      <w:ins w:id="238" w:author="Shawn McMurtrey" w:date="2022-08-19T14:24:00Z">
        <w:r>
          <w:rPr>
            <w:rFonts w:cs="Open Sans" w:ascii="Open Sans" w:hAnsi="Open Sans"/>
            <w:color w:val="000000"/>
            <w:sz w:val="21"/>
            <w:szCs w:val="21"/>
            <w:shd w:fill="FFFFFF" w:val="clear"/>
          </w:rPr>
        </w:r>
      </w:ins>
    </w:p>
    <w:p>
      <w:pPr>
        <w:pStyle w:val="Normal"/>
        <w:spacing w:lineRule="auto" w:line="480"/>
        <w:ind w:left="720" w:hanging="720"/>
        <w:pPrChange w:id="0" w:author="Shawn McMurtrey" w:date="2022-08-19T14:24:00Z">
          <w:pPr>
            <w:ind w:left="720" w:hanging="0"/>
          </w:pPr>
        </w:pPrChange>
        <w:rPr>
          <w:rFonts w:eastAsia="Times New Roman"/>
          <w:ins w:id="240" w:author="Shawn McMurtrey" w:date="2022-08-19T14:24:00Z"/>
          <w:sz w:val="24"/>
          <w:szCs w:val="24"/>
        </w:rPr>
      </w:pPr>
      <w:r>
        <w:rPr>
          <w:rFonts w:eastAsia="Times New Roman"/>
          <w:sz w:val="24"/>
          <w:szCs w:val="24"/>
        </w:rPr>
        <w:t>Langridge, R.W., 1987. Soil survey of Linn County Area, Oregon. USDA Soil Con. Ser., Washington, DC.</w:t>
      </w:r>
    </w:p>
    <w:p>
      <w:pPr>
        <w:pStyle w:val="Normal"/>
        <w:spacing w:lineRule="auto" w:line="480"/>
        <w:ind w:left="720" w:hanging="720"/>
        <w:rPr>
          <w:sz w:val="24"/>
          <w:szCs w:val="24"/>
        </w:rPr>
      </w:pPr>
      <w:r>
        <w:rPr>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54">
        <w:r>
          <w:rPr>
            <w:rStyle w:val="InternetLink"/>
            <w:rFonts w:cs="Open Sans" w:ascii="Open Sans" w:hAnsi="Open Sans"/>
            <w:color w:val="000000"/>
            <w:sz w:val="21"/>
            <w:szCs w:val="21"/>
            <w:shd w:fill="FFFFFF" w:val="clear"/>
          </w:rPr>
          <w:t>https://doi.org/10.1080/17550874.2012.679013</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Lawson, T. T., Berg, A. B., &amp; Hansen, E. M. (1983). Damage from laminated root rot at the Black Rock Forest Management Research Area in western Oregon.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55">
        <w:r>
          <w:rPr>
            <w:rStyle w:val="InternetLink"/>
            <w:rFonts w:cs="Open Sans" w:ascii="Open Sans" w:hAnsi="Open Sans"/>
            <w:color w:val="000000"/>
            <w:sz w:val="21"/>
            <w:szCs w:val="21"/>
            <w:shd w:fill="FFFFFF" w:val="clear"/>
          </w:rPr>
          <w:t>https://doi.org/10.1094/PHYTO-12-17-0399-R</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InternetLink"/>
          <w:rFonts w:cs="Open Sans" w:ascii="Open Sans" w:hAnsi="Open Sans"/>
          <w:color w:val="000000"/>
          <w:sz w:val="21"/>
          <w:szCs w:val="21"/>
          <w:shd w:fill="FFFFFF" w:val="clear"/>
        </w:rPr>
        <w:t>https://www.fs.fed.us/rm/pubs/rmrs_p054/rmrs_p054_055_067.pdf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McKenzie, D., Gedalof, Z. E., Peterson, D. L., and Mote, P. (2004). Climatic change, wildfire, and conservation. Conservation biology, 18(4), 890-902.  </w:t>
      </w:r>
    </w:p>
    <w:p>
      <w:pPr>
        <w:pStyle w:val="Normal"/>
        <w:spacing w:lineRule="auto" w:line="480"/>
        <w:ind w:left="720" w:hanging="0"/>
        <w:rPr>
          <w:sz w:val="24"/>
          <w:szCs w:val="24"/>
        </w:rPr>
      </w:pPr>
      <w:hyperlink r:id="rId56">
        <w:r>
          <w:rPr>
            <w:rStyle w:val="InternetLink"/>
            <w:rFonts w:cs="Open Sans" w:ascii="Open Sans" w:hAnsi="Open Sans"/>
            <w:color w:val="000000"/>
            <w:sz w:val="21"/>
            <w:szCs w:val="21"/>
            <w:shd w:fill="FFFFFF" w:val="clear"/>
          </w:rPr>
          <w:t>https://doi.org/10.1111/j.1523-1739.2004.00492.x</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0"/>
        <w:rPr>
          <w:rFonts w:ascii="Open Sans" w:hAnsi="Open Sans" w:cs="Open Sans"/>
          <w:sz w:val="21"/>
          <w:szCs w:val="21"/>
          <w:u w:val="single"/>
          <w:shd w:fill="FFFFFF" w:val="clear"/>
        </w:rPr>
      </w:pPr>
      <w:r>
        <w:rPr>
          <w:rFonts w:cs="Open Sans" w:ascii="Open Sans" w:hAnsi="Open Sans"/>
          <w:sz w:val="21"/>
          <w:szCs w:val="21"/>
          <w:u w:val="single"/>
          <w:shd w:fill="FFFFFF" w:val="clear"/>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57" w:tgtFrame="Persistent link using digital object identifier">
        <w:r>
          <w:rPr>
            <w:rStyle w:val="InternetLink"/>
            <w:rFonts w:cs="Open Sans" w:ascii="Open Sans" w:hAnsi="Open Sans"/>
            <w:color w:val="000000"/>
            <w:sz w:val="21"/>
            <w:szCs w:val="21"/>
            <w:shd w:fill="FFFFFF" w:val="clear"/>
          </w:rPr>
          <w:t>https://doi.org/10.1016/j.foreco.2014.02.007</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Mote, P.W., Salathé, E.P (2010). Future climate in the Pacific Northwest. Climatic Change 102, 29–50. </w:t>
      </w:r>
      <w:r>
        <w:rPr>
          <w:rStyle w:val="InternetLink"/>
          <w:rFonts w:cs="Open Sans" w:ascii="Open Sans" w:hAnsi="Open Sans"/>
          <w:color w:val="000000"/>
          <w:sz w:val="21"/>
          <w:szCs w:val="21"/>
          <w:shd w:fill="FFFFFF" w:val="clear"/>
        </w:rPr>
        <w:t>https://doi.org/10.1007/s10584-010-9848-z</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58">
        <w:r>
          <w:rPr>
            <w:rStyle w:val="InternetLink"/>
            <w:rFonts w:cs="Open Sans" w:ascii="Open Sans" w:hAnsi="Open Sans"/>
            <w:color w:val="000000"/>
            <w:sz w:val="21"/>
            <w:szCs w:val="21"/>
            <w:shd w:fill="FFFFFF" w:val="clear"/>
          </w:rPr>
          <w:t>https://doi.org/10.1139/cjfr-2014-0168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59">
        <w:r>
          <w:rPr>
            <w:rStyle w:val="InternetLink"/>
            <w:rFonts w:cs="Open Sans" w:ascii="Open Sans" w:hAnsi="Open Sans"/>
            <w:color w:val="000000"/>
            <w:sz w:val="21"/>
            <w:szCs w:val="21"/>
            <w:shd w:fill="FFFFFF" w:val="clear"/>
          </w:rPr>
          <w:t>https://doi.org/10.1093/forestscience/51.5.425</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Pretzsch, H., Grote, R., Reineking, B., Rötzer, T. and Seifert, S. Models for forest ecosystem management: A European perspective. Ann. Bot. 101, 1065–1087 (2008).</w:t>
      </w:r>
      <w:r>
        <w:rPr>
          <w:rStyle w:val="InternetLink"/>
          <w:rFonts w:cs="Open Sans" w:ascii="Open Sans" w:hAnsi="Open Sans"/>
          <w:color w:val="000000"/>
          <w:sz w:val="21"/>
          <w:szCs w:val="21"/>
          <w:shd w:fill="FFFFFF" w:val="clear"/>
        </w:rPr>
        <w:t xml:space="preserve"> </w:t>
      </w:r>
      <w:hyperlink r:id="rId60">
        <w:r>
          <w:rPr>
            <w:rStyle w:val="InternetLink"/>
            <w:rFonts w:cs="Open Sans" w:ascii="Open Sans" w:hAnsi="Open Sans"/>
            <w:color w:val="000000"/>
            <w:sz w:val="21"/>
            <w:szCs w:val="21"/>
            <w:shd w:fill="FFFFFF" w:val="clear"/>
          </w:rPr>
          <w:t>https://doi.org/10.1093/aob/mcm246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InternetLink"/>
          <w:rFonts w:cs="Open Sans" w:ascii="Open Sans" w:hAnsi="Open Sans"/>
          <w:color w:val="000000"/>
          <w:sz w:val="21"/>
          <w:szCs w:val="21"/>
          <w:shd w:fill="FFFFFF" w:val="clear"/>
        </w:rPr>
        <w:t>10.1038/ncomms5967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PRISM Climate Group, Oregon State University, (2018). </w:t>
      </w:r>
      <w:r>
        <w:rPr>
          <w:rStyle w:val="InternetLink"/>
          <w:rFonts w:cs="Open Sans" w:ascii="Open Sans" w:hAnsi="Open Sans"/>
          <w:color w:val="000000"/>
          <w:sz w:val="21"/>
          <w:szCs w:val="21"/>
          <w:shd w:fill="FFFFFF" w:val="clear"/>
        </w:rPr>
        <w:t>https://prism.oregonstate.edu/</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RStudio Team (2021). RStudio: Integrated Development Environment for R. RStudio, PBC, Boston, MA. </w:t>
      </w:r>
      <w:hyperlink r:id="rId61">
        <w:r>
          <w:rPr>
            <w:rStyle w:val="InternetLink"/>
            <w:rFonts w:cs="Open Sans" w:ascii="Open Sans" w:hAnsi="Open Sans"/>
            <w:color w:val="000000"/>
            <w:sz w:val="21"/>
            <w:szCs w:val="21"/>
            <w:shd w:fill="FFFFFF" w:val="clear"/>
          </w:rPr>
          <w:t>http://www.rstudio.com/</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"https://www.sciencedirect.com/science/article/pii/S0378112719312332?via%3Dihub" \l "bb0230"</w:instrText>
      </w:r>
      <w:r>
        <w:rPr>
          <w:sz w:val="24"/>
          <w:szCs w:val="24"/>
          <w:rFonts w:eastAsia="Times New Roman"/>
        </w:rPr>
        <w:fldChar w:fldCharType="separate"/>
      </w:r>
      <w:r>
        <w:rPr>
          <w:rFonts w:eastAsia="Times New Roman"/>
          <w:sz w:val="24"/>
          <w:szCs w:val="24"/>
        </w:rPr>
        <w:t>Skovsgaard and Vanclay, 2008</w:t>
      </w:r>
      <w:r>
        <w:rPr>
          <w:sz w:val="24"/>
          <w:szCs w:val="24"/>
          <w:rFonts w:eastAsia="Times New Roman"/>
        </w:rPr>
        <w:fldChar w:fldCharType="end"/>
      </w:r>
      <w:r>
        <w:rPr>
          <w:rFonts w:eastAsia="Times New Roman"/>
          <w:sz w:val="24"/>
          <w:szCs w:val="24"/>
        </w:rPr>
        <w:t xml:space="preserve"> J.P. Skovsgaard, J.K. Vanclay. 2008. Forest site productivity: a review of the evolution of dendrometric concepts for even-aged stands. Forestry, pp. 13-31. </w:t>
      </w:r>
      <w:hyperlink r:id="rId62">
        <w:r>
          <w:rPr>
            <w:rStyle w:val="InternetLink"/>
            <w:rFonts w:cs="Open Sans" w:ascii="Open Sans" w:hAnsi="Open Sans"/>
            <w:color w:val="000000"/>
            <w:sz w:val="21"/>
            <w:szCs w:val="21"/>
            <w:shd w:fill="FFFFFF" w:val="clear"/>
          </w:rPr>
          <w:t>https://doi.org/10.1093/forestry/cpm041</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rFonts w:cs="Open Sans" w:ascii="Open Sans" w:hAnsi="Open Sans"/>
          <w:color w:val="000000"/>
          <w:sz w:val="21"/>
          <w:szCs w:val="21"/>
          <w:shd w:fill="FFFFFF" w:val="clear"/>
        </w:rPr>
        <w:t>https://www.fs.usda.gov/treesearch/pubs/30958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63">
        <w:r>
          <w:rPr>
            <w:rStyle w:val="InternetLink"/>
            <w:rFonts w:cs="Open Sans" w:ascii="Open Sans" w:hAnsi="Open Sans"/>
            <w:color w:val="000000"/>
            <w:sz w:val="21"/>
            <w:szCs w:val="21"/>
            <w:shd w:fill="FFFFFF" w:val="clear"/>
          </w:rPr>
          <w:t>http://websoilsurvey.sc.egov.usda.gov</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Subramanian, N., Bergh, J., Johansson, U., Nilsson, U., &amp; Sallnäs, O. (2015). Adaptation of forest management regimes in southern Sweden to increased risks associated with climate change. Forests, 7(1), 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Thies, Walter G. 1984. Laminated root rot, the quest for control. Journal of Forestry S2: 345-356.</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241" w:author="Shawn McMurtrey" w:date="2022-08-19T14:14:00Z"/>
          <w:sz w:val="24"/>
          <w:szCs w:val="24"/>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ins w:id="243" w:author="Shawn McMurtrey" w:date="2022-08-19T14:14:00Z"/>
          <w:sz w:val="24"/>
          <w:szCs w:val="24"/>
        </w:rPr>
      </w:pPr>
      <w:ins w:id="242" w:author="Shawn McMurtrey" w:date="2022-08-19T14:14:00Z">
        <w:r>
          <w:rPr>
            <w:rFonts w:eastAsia="Times New Roman"/>
            <w:sz w:val="24"/>
            <w:szCs w:val="24"/>
          </w:rPr>
        </w:r>
      </w:ins>
    </w:p>
    <w:p>
      <w:pPr>
        <w:pStyle w:val="Normal"/>
        <w:spacing w:lineRule="auto" w:line="480"/>
        <w:ind w:left="720" w:hanging="720"/>
        <w:rPr>
          <w:rFonts w:eastAsia="Times New Roman"/>
          <w:sz w:val="24"/>
          <w:szCs w:val="24"/>
        </w:rPr>
      </w:pPr>
      <w:ins w:id="244" w:author="Shawn McMurtrey" w:date="2022-08-19T14:14:00Z">
        <w:r>
          <w:rPr>
            <w:rFonts w:eastAsia="Times New Roman"/>
            <w:sz w:val="24"/>
            <w:szCs w:val="24"/>
          </w:rPr>
          <w:t>Thies, W. G., &amp; Westlind, D. J. (2005). Stump removal and fertilization of five Phellinus weirii-infested stands in Washington and Oregon affect mortality and growth of planted Douglas-fir 25 years after treatment. Forest Ecology and Management, 219(2-3), 242-258.</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USDA-FS, 2011. Region Five ecological restoration: leadership intent. March (2011). U.S. Forest Service, Pacific Southwest Region, Albany, California, USA.</w:t>
        <w:br/>
      </w:r>
    </w:p>
    <w:p>
      <w:pPr>
        <w:pStyle w:val="Normal"/>
        <w:spacing w:lineRule="auto" w:line="480"/>
        <w:ind w:left="720" w:hanging="720"/>
        <w:rPr>
          <w:sz w:val="24"/>
          <w:szCs w:val="24"/>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64" w:tgtFrame="Persistent link using digital object identifier">
        <w:r>
          <w:rPr>
            <w:rStyle w:val="InternetLink"/>
            <w:color w:val="auto"/>
          </w:rPr>
          <w:t>https://doi.org/10.1016/j.foreco.2018.03.043</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t xml:space="preserve">Wickham, H. (2009). ggplot2: Elegant Graphics for Data Analysis. Springer-Verlag. </w:t>
      </w:r>
      <w:r>
        <w:rPr>
          <w:rStyle w:val="InternetLink"/>
          <w:color w:val="auto"/>
        </w:rPr>
        <w:t>http://ggplot2.org/</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(2016). ggplot2: Elegant Graphics for Data Analysis. Springer-Verlag New York. ISBN 978-3-319-24277-4,</w:t>
      </w:r>
      <w:r>
        <w:rPr>
          <w:color w:val="000000"/>
          <w:sz w:val="27"/>
          <w:szCs w:val="27"/>
          <w:shd w:fill="FFFFFF" w:val="clear"/>
        </w:rPr>
        <w:t> </w:t>
      </w:r>
      <w:hyperlink r:id="rId65">
        <w:r>
          <w:rPr>
            <w:rStyle w:val="InternetLink"/>
            <w:color w:val="auto"/>
          </w:rPr>
          <w:t>https://ggplot2.tidyverse.org</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66">
        <w:r>
          <w:rPr>
            <w:rStyle w:val="InternetLink"/>
            <w:color w:val="auto"/>
          </w:rPr>
          <w:t>https://CRAN.R-project.org/package=tidyverse</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USDA (1990), Land and Resource Management Plan Siuslaw National Forest. </w:t>
      </w:r>
      <w:r>
        <w:rPr>
          <w:rStyle w:val="InternetLink"/>
          <w:rFonts w:cs="Open Sans" w:ascii="Open Sans" w:hAnsi="Open Sans"/>
          <w:color w:val="000000"/>
          <w:sz w:val="21"/>
          <w:szCs w:val="21"/>
          <w:shd w:fill="FFFFFF" w:val="clear"/>
        </w:rPr>
        <w:t>https://www.fs.usda.gov/Internet/FSE_DOCUMENTS/fsbdev7_007057.pdf</w:t>
      </w:r>
    </w:p>
    <w:p>
      <w:pPr>
        <w:pStyle w:val="Normal"/>
        <w:spacing w:lineRule="auto" w:line="480"/>
        <w:ind w:left="720" w:hanging="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480"/>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67" w:tgtFrame="Persistent link using digital object identifier">
        <w:r>
          <w:rPr>
            <w:rStyle w:val="InternetLink"/>
            <w:rFonts w:cs="Open Sans" w:ascii="Open Sans" w:hAnsi="Open Sans"/>
            <w:color w:val="000000"/>
            <w:sz w:val="21"/>
            <w:szCs w:val="21"/>
            <w:shd w:fill="FFFFFF" w:val="clear"/>
          </w:rPr>
          <w:t>https://doi.org/10.1016/j.foreco.2019.117558</w:t>
        </w:r>
      </w:hyperlink>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rPr>
      </w:pPr>
      <w:r>
        <w:rPr/>
      </w:r>
    </w:p>
    <w:sectPr>
      <w:headerReference w:type="default" r:id="rId68"/>
      <w:type w:val="nextPage"/>
      <w:pgSz w:w="12240" w:h="15840"/>
      <w:pgMar w:left="1440" w:right="1440" w:header="1440" w:top="2013" w:footer="0" w:bottom="1440" w:gutter="0"/>
      <w:lnNumType w:countBy="1" w:restart="continuous" w:distance="283"/>
      <w:pgNumType w:fmt="decimal"/>
      <w:formProt w:val="false"/>
      <w:textDirection w:val="lrTb"/>
      <w:docGrid w:type="default" w:linePitch="299" w:charSpace="2048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Shawn McMurtrey" w:date="2022-09-22T22:31:00Z" w:initials="SM">
    <w:p>
      <w:r>
        <w:rPr>
          <w:rFonts w:ascii="Liberation Serif" w:hAnsi="Liberation Serif" w:eastAsia="Segoe UI" w:cs="Tahoma"/>
          <w:sz w:val="24"/>
          <w:szCs w:val="24"/>
          <w:lang w:val="en-US" w:eastAsia="en-US" w:bidi="en-US"/>
        </w:rPr>
        <w:t>This sentence seems out of place to me.</w:t>
      </w:r>
    </w:p>
  </w:comment>
  <w:comment w:id="1" w:author="Unknown Author" w:date="2022-07-14T10:28:00Z" w:initials="">
    <w:p>
      <w:r>
        <w:rPr>
          <w:rFonts w:ascii="Liberation Serif" w:hAnsi="Liberation Serif" w:eastAsia="Segoe UI" w:cs="Tahoma"/>
          <w:sz w:val="20"/>
          <w:szCs w:val="24"/>
          <w:lang w:eastAsia="en-US" w:val="en-US" w:bidi="en-US"/>
        </w:rPr>
        <w:t>Add summary of Apiary results.</w:t>
      </w:r>
    </w:p>
  </w:comment>
  <w:comment w:id="2" w:author="Shawn McMurtrey" w:date="2022-08-31T21:21:00Z" w:initials="SM">
    <w:p>
      <w:r>
        <w:rPr>
          <w:rFonts w:ascii="Liberation Serif" w:hAnsi="Liberation Serif" w:eastAsia="Segoe UI" w:cs="Tahoma"/>
          <w:sz w:val="24"/>
          <w:szCs w:val="24"/>
          <w:lang w:eastAsia="en-US" w:val="en-US" w:bidi="en-US"/>
        </w:rPr>
        <w:t>Should this be capitalized?</w:t>
      </w:r>
    </w:p>
  </w:comment>
  <w:comment w:id="3" w:author="Shawn McMurtrey" w:date="2022-08-31T21:25:00Z" w:initials="SM">
    <w:p>
      <w:r>
        <w:rPr>
          <w:rFonts w:ascii="Liberation Serif" w:hAnsi="Liberation Serif" w:eastAsia="Segoe UI" w:cs="Tahoma"/>
          <w:sz w:val="24"/>
          <w:szCs w:val="24"/>
          <w:lang w:eastAsia="en-US" w:val="en-US" w:bidi="en-US"/>
        </w:rPr>
        <w:t>Is this paragraph necessary? Should it be added to the methods section for Woods Creek or perhaps removed altogether?</w:t>
      </w:r>
    </w:p>
  </w:comment>
  <w:comment w:id="5" w:author="Shawn McMurtrey" w:date="2022-08-31T21:22:00Z" w:initials="SM">
    <w:p>
      <w:r>
        <w:rPr>
          <w:rFonts w:ascii="Liberation Serif" w:hAnsi="Liberation Serif" w:eastAsia="Segoe UI" w:cs="Tahoma"/>
          <w:sz w:val="24"/>
          <w:szCs w:val="24"/>
          <w:lang w:eastAsia="en-US" w:val="en-US" w:bidi="en-US"/>
        </w:rPr>
        <w:t xml:space="preserve">This might be outdated. I will check for a more current status. </w:t>
      </w:r>
    </w:p>
  </w:comment>
  <w:comment w:id="4" w:author="Shawn McMurtrey" w:date="2022-09-13T04:40:00Z" w:initials="SM">
    <w:p>
      <w:r>
        <w:rPr>
          <w:rFonts w:ascii="Liberation Serif" w:hAnsi="Liberation Serif" w:eastAsia="Segoe UI" w:cs="Tahoma"/>
          <w:sz w:val="24"/>
          <w:szCs w:val="24"/>
          <w:lang w:eastAsia="en-US" w:val="en-US" w:bidi="en-US"/>
        </w:rPr>
        <w:t>I will also check to see if there are more rare/endangered plants or animals species that I could add to this list if you all think we should keep this paragraph.</w:t>
      </w:r>
    </w:p>
  </w:comment>
  <w:comment w:id="6" w:author="Shawn McMurtrey" w:date="2021-09-28T09:57:00Z" w:initials="SM">
    <w:p>
      <w:r>
        <w:rPr>
          <w:rFonts w:ascii="Liberation Serif" w:hAnsi="Liberation Serif" w:eastAsia="Segoe UI" w:cs="Tahoma"/>
          <w:sz w:val="24"/>
          <w:szCs w:val="24"/>
          <w:lang w:eastAsia="en-US" w:val="en-US" w:bidi="en-US"/>
        </w:rPr>
        <w:t>I’m not sure if “USDA, 1990” needs to be listed three times for all these sentences or if it can just be cited once here?</w:t>
      </w:r>
    </w:p>
  </w:comment>
  <w:comment w:id="7" w:author="Unknown Author" w:date="2022-07-14T10:32:00Z" w:initials="">
    <w:p>
      <w:r>
        <w:rPr>
          <w:rFonts w:ascii="Liberation Serif" w:hAnsi="Liberation Serif" w:eastAsia="Segoe UI" w:cs="Tahoma"/>
          <w:sz w:val="20"/>
          <w:szCs w:val="24"/>
          <w:lang w:eastAsia="en-US" w:val="en-US" w:bidi="en-US"/>
        </w:rPr>
        <w:t>Add background on private/industrial short rotation forestry?</w:t>
      </w:r>
    </w:p>
  </w:comment>
  <w:comment w:id="8" w:author="Shawn McMurtrey" w:date="2022-08-31T21:28:00Z" w:initials="SM">
    <w:p>
      <w:r>
        <w:rPr>
          <w:rFonts w:ascii="Liberation Serif" w:hAnsi="Liberation Serif" w:eastAsia="Segoe UI" w:cs="Tahoma"/>
          <w:sz w:val="24"/>
          <w:szCs w:val="24"/>
          <w:lang w:eastAsia="en-US" w:val="en-US" w:bidi="en-US"/>
        </w:rPr>
        <w:t xml:space="preserve">I think this would be a good idea if we decide to keep the previous paragraph about the Siuslaw National Forest. </w:t>
      </w:r>
    </w:p>
  </w:comment>
  <w:comment w:id="9" w:author="Unknown Author" w:date="2022-07-14T10:33:00Z" w:initials="">
    <w:p>
      <w:r>
        <w:rPr>
          <w:rFonts w:ascii="Liberation Serif" w:hAnsi="Liberation Serif" w:eastAsia="Segoe UI" w:cs="Tahoma"/>
          <w:sz w:val="20"/>
          <w:szCs w:val="24"/>
          <w:lang w:eastAsia="en-US" w:val="en-US" w:bidi="en-US"/>
        </w:rPr>
        <w:t>Add background on non-host rotation as well as specific hypotheses regarding alder inhibition of C. sulphurascens</w:t>
      </w:r>
    </w:p>
  </w:comment>
  <w:comment w:id="10" w:author="Shawn McMurtrey" w:date="2022-09-13T04:46:00Z" w:initials="SM">
    <w:p>
      <w:r>
        <w:rPr>
          <w:rFonts w:ascii="Liberation Serif" w:hAnsi="Liberation Serif" w:eastAsia="Segoe UI" w:cs="Tahoma"/>
          <w:sz w:val="24"/>
          <w:szCs w:val="24"/>
          <w:lang w:eastAsia="en-US" w:val="en-US" w:bidi="en-US"/>
        </w:rPr>
        <w:t>Redundant?</w:t>
      </w:r>
    </w:p>
  </w:comment>
  <w:comment w:id="12" w:author="Shawn McMurtrey" w:date="2021-09-20T22:45:00Z" w:initials="SM">
    <w:p>
      <w:r>
        <w:rPr>
          <w:rFonts w:ascii="Liberation Serif" w:hAnsi="Liberation Serif" w:eastAsia="Segoe UI" w:cs="Tahoma"/>
          <w:sz w:val="24"/>
          <w:szCs w:val="24"/>
          <w:lang w:eastAsia="en-US" w:val="en-US" w:bidi="en-US"/>
        </w:rPr>
        <w:t>I’m not sure if this should be included or not? It was from the handout I got from Everett.</w:t>
      </w:r>
    </w:p>
    <w:p>
      <w:r>
        <w:rPr>
          <w:rFonts w:ascii="Liberation Serif" w:hAnsi="Liberation Serif" w:eastAsia="Segoe UI" w:cs="Tahoma"/>
          <w:sz w:val="24"/>
          <w:szCs w:val="24"/>
          <w:lang w:val="en-US" w:eastAsia="en-US" w:bidi="en-US"/>
        </w:rPr>
      </w:r>
    </w:p>
  </w:comment>
  <w:comment w:id="11" w:author="Shawn McMurtrey" w:date="2022-09-13T04:44:00Z" w:initials="SM">
    <w:p>
      <w:r>
        <w:rPr>
          <w:rFonts w:ascii="Liberation Serif" w:hAnsi="Liberation Serif" w:eastAsia="Segoe UI" w:cs="Tahoma"/>
          <w:sz w:val="24"/>
          <w:szCs w:val="24"/>
          <w:lang w:eastAsia="en-US" w:val="en-US" w:bidi="en-US"/>
        </w:rPr>
        <w:t>Now that I am thinking more about it I think this should be included even though it is unpubished data. My reasoning for this is so that the readers could estimate what the initial BA projections were in 1985 by using our basal area calculations from 1990.</w:t>
      </w:r>
    </w:p>
  </w:comment>
  <w:comment w:id="13" w:author="showalt_d" w:date="2022-09-16T13:39:00Z" w:initials="s">
    <w:p>
      <w:r>
        <w:rPr>
          <w:rFonts w:ascii="Liberation Serif" w:hAnsi="Liberation Serif" w:eastAsia="Segoe UI" w:cs="Tahoma"/>
          <w:sz w:val="24"/>
          <w:szCs w:val="24"/>
          <w:lang w:eastAsia="en-US" w:val="en-US" w:bidi="en-US"/>
        </w:rPr>
        <w:t>We are leaving the figures in line with the text during manuscript preparation.  For submission, the figures will be removed and submitted as individual files.</w:t>
      </w:r>
    </w:p>
  </w:comment>
  <w:comment w:id="14" w:author="Shawn McMurtrey" w:date="2022-08-22T09:29:00Z" w:initials="SM">
    <w:p>
      <w:r>
        <w:rPr>
          <w:rFonts w:ascii="Liberation Serif" w:hAnsi="Liberation Serif" w:eastAsia="Segoe UI" w:cs="Tahoma"/>
          <w:sz w:val="24"/>
          <w:szCs w:val="24"/>
          <w:lang w:eastAsia="en-US" w:val="en-US" w:bidi="en-US"/>
        </w:rPr>
        <w:t>Should this be "fixed radius"?</w:t>
      </w:r>
    </w:p>
  </w:comment>
  <w:comment w:id="16" w:author="Unknown Author" w:date="2022-07-14T09:07:00Z" w:initials="">
    <w:p>
      <w:r>
        <w:rPr>
          <w:rFonts w:ascii="Liberation Serif" w:hAnsi="Liberation Serif" w:eastAsia="Segoe UI" w:cs="Tahoma"/>
          <w:sz w:val="20"/>
          <w:szCs w:val="24"/>
          <w:lang w:eastAsia="en-US" w:val="en-US" w:bidi="en-US"/>
        </w:rPr>
        <w:t>Necessary?</w:t>
      </w:r>
    </w:p>
  </w:comment>
  <w:comment w:id="15" w:author="Shawn McMurtrey" w:date="2022-08-22T09:34:00Z" w:initials="SM">
    <w:p>
      <w:r>
        <w:rPr>
          <w:rFonts w:ascii="Liberation Serif" w:hAnsi="Liberation Serif" w:eastAsia="Segoe UI" w:cs="Tahoma"/>
          <w:sz w:val="24"/>
          <w:szCs w:val="24"/>
          <w:lang w:eastAsia="en-US" w:val="en-US" w:bidi="en-US"/>
        </w:rPr>
        <w:t xml:space="preserve">I don't think so but we should see what Jared thinks. </w:t>
      </w:r>
    </w:p>
  </w:comment>
  <w:comment w:id="17" w:author="Shawn McMurtrey" w:date="2021-09-28T12:31:00Z" w:initials="SM">
    <w:p>
      <w:r>
        <w:rPr>
          <w:rFonts w:ascii="Liberation Serif" w:hAnsi="Liberation Serif" w:eastAsia="Segoe UI" w:cs="Tahoma"/>
          <w:sz w:val="24"/>
          <w:szCs w:val="24"/>
          <w:lang w:eastAsia="en-US" w:val="en-US" w:bidi="en-US"/>
        </w:rPr>
        <w:t xml:space="preserve">As a reminder, the objectives are: The overall aim of this study was to develop a better understanding of the interaction between forest management practices and </w:t>
      </w:r>
      <w:r>
        <w:rPr>
          <w:rFonts w:ascii="Liberation Serif" w:hAnsi="Liberation Serif" w:eastAsia="Segoe UI" w:cs="Tahoma"/>
          <w:i/>
          <w:iCs/>
          <w:sz w:val="24"/>
          <w:szCs w:val="24"/>
          <w:lang w:eastAsia="en-US" w:val="en-US" w:bidi="en-US"/>
        </w:rPr>
        <w:t>C. sulphurascens</w:t>
      </w:r>
      <w:r>
        <w:rPr>
          <w:rFonts w:ascii="Liberation Serif" w:hAnsi="Liberation Serif" w:eastAsia="Segoe UI" w:cs="Tahoma"/>
          <w:sz w:val="24"/>
          <w:szCs w:val="24"/>
          <w:lang w:eastAsia="en-US" w:val="en-US" w:bidi="en-US"/>
        </w:rPr>
        <w:t xml:space="preserve">, the cause of laminated root rot. The specific objectives were to: (i) evaluate the effect of thinning on </w:t>
      </w:r>
      <w:r>
        <w:rPr>
          <w:rFonts w:ascii="Liberation Serif" w:hAnsi="Liberation Serif" w:eastAsia="Segoe UI" w:cs="Tahoma"/>
          <w:i/>
          <w:iCs/>
          <w:sz w:val="24"/>
          <w:szCs w:val="24"/>
          <w:lang w:eastAsia="en-US" w:val="en-US" w:bidi="en-US"/>
        </w:rPr>
        <w:t xml:space="preserve">C. sulphurascens </w:t>
      </w:r>
      <w:r>
        <w:rPr>
          <w:rFonts w:ascii="Liberation Serif" w:hAnsi="Liberation Serif" w:eastAsia="Segoe UI" w:cs="Tahoma"/>
          <w:sz w:val="24"/>
          <w:szCs w:val="24"/>
          <w:lang w:eastAsia="en-US" w:val="en-US" w:bidi="en-US"/>
        </w:rPr>
        <w:t xml:space="preserve">induced mortality; (ii) compare the rate of </w:t>
      </w:r>
      <w:r>
        <w:rPr>
          <w:rFonts w:ascii="Liberation Serif" w:hAnsi="Liberation Serif" w:eastAsia="Segoe UI" w:cs="Tahoma"/>
          <w:i/>
          <w:iCs/>
          <w:sz w:val="24"/>
          <w:szCs w:val="24"/>
          <w:lang w:eastAsia="en-US" w:val="en-US" w:bidi="en-US"/>
        </w:rPr>
        <w:t>C. sulphurascens</w:t>
      </w:r>
      <w:r>
        <w:rPr>
          <w:rFonts w:ascii="Liberation Serif" w:hAnsi="Liberation Serif" w:eastAsia="Segoe UI" w:cs="Tahoma"/>
          <w:sz w:val="24"/>
          <w:szCs w:val="24"/>
          <w:lang w:eastAsia="en-US" w:val="en-US" w:bidi="en-US"/>
        </w:rPr>
        <w:t xml:space="preserve"> in thinned and unthinned stands; and (iii) validate the ability of the Western Root Disease Model to predict growth and yield of thinned and unthinned stands impacted by </w:t>
      </w:r>
      <w:r>
        <w:rPr>
          <w:rFonts w:ascii="Liberation Serif" w:hAnsi="Liberation Serif" w:eastAsia="Segoe UI" w:cs="Tahoma"/>
          <w:i/>
          <w:iCs/>
          <w:sz w:val="24"/>
          <w:szCs w:val="24"/>
          <w:lang w:eastAsia="en-US" w:val="en-US" w:bidi="en-US"/>
        </w:rPr>
        <w:t>C. sulphurascens.</w:t>
      </w:r>
    </w:p>
  </w:comment>
  <w:comment w:id="21" w:author="showalt_d" w:date="2022-08-29T10:52:00Z" w:initials="s">
    <w:p>
      <w:r>
        <w:rPr>
          <w:rFonts w:ascii="Liberation Serif" w:hAnsi="Liberation Serif" w:eastAsia="Segoe UI" w:cs="Tahoma"/>
          <w:sz w:val="24"/>
          <w:szCs w:val="24"/>
          <w:lang w:eastAsia="en-US" w:val="en-US" w:bidi="en-US"/>
        </w:rPr>
        <w:t>These numbers don’t make sense when comparing with Figure 2. It would also make sense to report stand mean +/-SE in addition to or instead of the experiment total.</w:t>
      </w:r>
    </w:p>
  </w:comment>
  <w:comment w:id="20" w:author="Shawn McMurtrey" w:date="2022-08-31T21:52:00Z" w:initials="SM">
    <w:p>
      <w:r>
        <w:rPr>
          <w:rFonts w:ascii="Liberation Serif" w:hAnsi="Liberation Serif" w:eastAsia="Segoe UI" w:cs="Tahoma"/>
          <w:sz w:val="24"/>
          <w:szCs w:val="24"/>
          <w:lang w:eastAsia="en-US" w:val="en-US" w:bidi="en-US"/>
        </w:rPr>
        <w:t xml:space="preserve">Figure 2 is: dead 1990/total 1990 </w:t>
      </w:r>
    </w:p>
    <w:p>
      <w:r>
        <w:rPr>
          <w:rFonts w:ascii="Liberation Serif" w:hAnsi="Liberation Serif" w:eastAsia="Segoe UI" w:cs="Tahoma"/>
          <w:sz w:val="24"/>
          <w:szCs w:val="24"/>
          <w:lang w:val="en-US" w:eastAsia="en-US" w:bidi="en-US"/>
        </w:rPr>
      </w:r>
    </w:p>
    <w:p>
      <w:r>
        <w:rPr>
          <w:rFonts w:ascii="Liberation Serif" w:hAnsi="Liberation Serif" w:eastAsia="Segoe UI" w:cs="Tahoma"/>
          <w:sz w:val="24"/>
          <w:szCs w:val="24"/>
          <w:lang w:eastAsia="en-US" w:val="en-US" w:bidi="en-US"/>
        </w:rPr>
        <w:t xml:space="preserve">These numbers are: (dead 1990) + (dead + 1995) + (dead 2000) + (dead 2010) + (dead 2020) / total 2020. </w:t>
      </w:r>
    </w:p>
  </w:comment>
  <w:comment w:id="19" w:author="Shawn McMurtrey" w:date="2022-08-31T21:55:00Z" w:initials="SM">
    <w:p>
      <w:r>
        <w:rPr>
          <w:rFonts w:ascii="Liberation Serif" w:hAnsi="Liberation Serif" w:eastAsia="Segoe UI" w:cs="Tahoma"/>
          <w:sz w:val="24"/>
          <w:szCs w:val="24"/>
          <w:lang w:eastAsia="en-US" w:val="en-US" w:bidi="en-US"/>
        </w:rPr>
        <w:t>I am not exactly sure why I went with this calculations though and I agree that it is confusing. Maybe I should have these calculations just be consistent with figure 2? We should discuss this at our meeting on Friday.</w:t>
      </w:r>
    </w:p>
  </w:comment>
  <w:comment w:id="18" w:author="showalt_d" w:date="2022-09-16T13:55:00Z" w:initials="s">
    <w:p>
      <w:r>
        <w:rPr>
          <w:rFonts w:ascii="Liberation Serif" w:hAnsi="Liberation Serif" w:eastAsia="Segoe UI" w:cs="Tahoma"/>
          <w:sz w:val="24"/>
          <w:szCs w:val="24"/>
          <w:lang w:eastAsia="en-US" w:val="en-US" w:bidi="en-US"/>
        </w:rPr>
        <w:t>We will represent mortality over time with a graph.</w:t>
      </w:r>
    </w:p>
  </w:comment>
  <w:comment w:id="22" w:author="showalt_d" w:date="2022-09-16T15:27:00Z" w:initials="s">
    <w:p>
      <w:r>
        <w:rPr>
          <w:rFonts w:ascii="Liberation Serif" w:hAnsi="Liberation Serif" w:eastAsia="Segoe UI" w:cs="Tahoma"/>
          <w:sz w:val="24"/>
          <w:szCs w:val="24"/>
          <w:lang w:eastAsia="en-US" w:val="en-US" w:bidi="en-US"/>
        </w:rPr>
        <w:t>Replace with a ribbon style like Apiary?</w:t>
      </w:r>
    </w:p>
  </w:comment>
  <w:comment w:id="23" w:author="showalt_d" w:date="2022-09-16T15:28:00Z" w:initials="s">
    <w:p>
      <w:r>
        <w:rPr>
          <w:rFonts w:ascii="Liberation Serif" w:hAnsi="Liberation Serif" w:eastAsia="Segoe UI" w:cs="Tahoma"/>
          <w:sz w:val="24"/>
          <w:szCs w:val="24"/>
          <w:lang w:eastAsia="en-US" w:val="en-US" w:bidi="en-US"/>
        </w:rPr>
        <w:t>Convert to ribbon style graph with all measurement dates like in Apiary.</w:t>
      </w:r>
    </w:p>
  </w:comment>
  <w:comment w:id="24" w:author="showalt_d" w:date="2022-09-16T13:56:00Z" w:initials="s">
    <w:p>
      <w:r>
        <w:rPr>
          <w:rFonts w:ascii="Liberation Serif" w:hAnsi="Liberation Serif" w:eastAsia="Segoe UI" w:cs="Tahoma"/>
          <w:sz w:val="24"/>
          <w:szCs w:val="24"/>
          <w:lang w:eastAsia="en-US" w:val="en-US" w:bidi="en-US"/>
        </w:rPr>
        <w:t>The basal area measurments will be represented with a graph and the percentage of plots with LRR can go in the text of the results.</w:t>
      </w:r>
    </w:p>
  </w:comment>
  <w:comment w:id="25" w:author="showalt_d" w:date="2022-08-29T10:56:00Z" w:initials="s">
    <w:p>
      <w:r>
        <w:rPr>
          <w:rFonts w:ascii="Liberation Serif" w:hAnsi="Liberation Serif" w:eastAsia="Segoe UI" w:cs="Tahoma"/>
          <w:sz w:val="24"/>
          <w:szCs w:val="24"/>
          <w:lang w:eastAsia="en-US" w:val="en-US" w:bidi="en-US"/>
        </w:rPr>
        <w:t>Could be also get a figure that plots mean +/- SE stand basal area for each of the treatments on the same graph.  This would complement Table 1 which reports just 1990 and 2020 BA.</w:t>
      </w:r>
    </w:p>
  </w:comment>
  <w:comment w:id="28" w:author="showalt_d" w:date="2022-09-16T15:28:00Z" w:initials="s">
    <w:p>
      <w:r>
        <w:rPr>
          <w:rFonts w:ascii="Liberation Serif" w:hAnsi="Liberation Serif" w:eastAsia="Segoe UI" w:cs="Tahoma"/>
          <w:sz w:val="24"/>
          <w:szCs w:val="24"/>
          <w:lang w:eastAsia="en-US" w:val="en-US" w:bidi="en-US"/>
        </w:rPr>
        <w:t>Shawn is preparing a panel for the Apiary Douglas fir treatment.</w:t>
      </w:r>
    </w:p>
  </w:comment>
  <w:comment w:id="27" w:author="Shawn McMurtrey" w:date="2022-09-22T22:33:00Z" w:initials="SM">
    <w:p>
      <w:r>
        <w:rPr>
          <w:rFonts w:ascii="Liberation Serif" w:hAnsi="Liberation Serif" w:eastAsia="Segoe UI" w:cs="Tahoma"/>
          <w:sz w:val="24"/>
          <w:szCs w:val="24"/>
          <w:lang w:val="en-US" w:eastAsia="en-US" w:bidi="en-US"/>
        </w:rPr>
        <w:t>See figure 3D. I suppose that I should scale the x axis for 24 years and 8 years?</w:t>
      </w:r>
    </w:p>
  </w:comment>
  <w:comment w:id="26" w:author="Shawn McMurtrey" w:date="2022-09-22T22:33:00Z" w:initials="SM">
    <w:p>
      <w:r>
        <w:rPr>
          <w:rFonts w:ascii="Liberation Serif" w:hAnsi="Liberation Serif" w:eastAsia="Segoe UI" w:cs="Tahoma"/>
          <w:sz w:val="24"/>
          <w:szCs w:val="24"/>
          <w:lang w:val="en-US" w:eastAsia="en-US" w:bidi="en-US"/>
        </w:rPr>
        <w:t>Any other changes?</w:t>
      </w:r>
    </w:p>
  </w:comment>
  <w:comment w:id="29" w:author="showalt_d" w:date="2022-09-16T15:17:00Z" w:initials="s">
    <w:p>
      <w:r>
        <w:rPr>
          <w:rFonts w:ascii="Liberation Serif" w:hAnsi="Liberation Serif" w:eastAsia="Segoe UI" w:cs="Tahoma"/>
          <w:sz w:val="24"/>
          <w:szCs w:val="24"/>
          <w:lang w:eastAsia="en-US" w:val="en-US" w:bidi="en-US"/>
        </w:rPr>
        <w:t>These survival curves need some polishing of the format.</w:t>
      </w:r>
    </w:p>
  </w:comment>
  <w:comment w:id="31" w:author="Shawn McMurtrey" w:date="2022-08-18T20:01:00Z" w:initials="SM">
    <w:p>
      <w:r>
        <w:rPr>
          <w:rFonts w:ascii="Liberation Serif" w:hAnsi="Liberation Serif" w:eastAsia="Segoe UI" w:cs="Tahoma"/>
          <w:sz w:val="24"/>
          <w:szCs w:val="24"/>
          <w:lang w:eastAsia="en-US" w:val="en-US" w:bidi="en-US"/>
        </w:rPr>
        <w:t>Is this true?</w:t>
      </w:r>
    </w:p>
  </w:comment>
  <w:comment w:id="30" w:author="Shawn McMurtrey" w:date="2022-08-31T22:00:00Z" w:initials="SM">
    <w:p>
      <w:r>
        <w:rPr>
          <w:rFonts w:ascii="Liberation Serif" w:hAnsi="Liberation Serif" w:eastAsia="Segoe UI" w:cs="Tahoma"/>
          <w:sz w:val="24"/>
          <w:szCs w:val="24"/>
          <w:lang w:eastAsia="en-US" w:val="en-US" w:bidi="en-US"/>
        </w:rPr>
        <w:t xml:space="preserve">I will check this again I just haven't had time to get to it yet. </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Georgia">
    <w:charset w:val="00"/>
    <w:family w:val="roman"/>
    <w:pitch w:val="variable"/>
  </w:font>
  <w:font w:name="Open Sans">
    <w:charset w:val="00"/>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e01d7"/>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customStyle="1">
    <w:name w:val="Line Numbering"/>
    <w:rPr/>
  </w:style>
  <w:style w:type="character" w:styleId="BalloonTextChar" w:customStyle="1">
    <w:name w:val="Balloon Text Char"/>
    <w:basedOn w:val="DefaultParagraphFont"/>
    <w:link w:val="BalloonText"/>
    <w:uiPriority w:val="99"/>
    <w:semiHidden/>
    <w:qFormat/>
    <w:rsid w:val="00642dee"/>
    <w:rPr>
      <w:rFonts w:ascii="Segoe UI" w:hAnsi="Segoe UI" w:cs="Segoe UI"/>
      <w:sz w:val="18"/>
      <w:szCs w:val="18"/>
    </w:rPr>
  </w:style>
  <w:style w:type="paragraph" w:styleId="Heading" w:customStyle="1">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
    <w:basedOn w:val="Normal"/>
    <w:qFormat/>
    <w:pPr>
      <w:suppressLineNumbers/>
      <w:spacing w:before="120" w:after="120"/>
    </w:pPr>
    <w:rPr>
      <w:rFonts w:cs="Lucida Sans"/>
      <w:i/>
      <w:iCs/>
      <w:sz w:val="24"/>
      <w:szCs w:val="24"/>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Rule="auto" w:line="240"/>
    </w:pPr>
    <w:rPr>
      <w:rFonts w:ascii="Segoe UI" w:hAnsi="Segoe UI" w:cs="Segoe UI"/>
      <w:sz w:val="18"/>
      <w:szCs w:val="18"/>
    </w:rPr>
  </w:style>
  <w:style w:type="paragraph" w:styleId="Revision">
    <w:name w:val="Revision"/>
    <w:uiPriority w:val="99"/>
    <w:semiHidden/>
    <w:qFormat/>
    <w:rsid w:val="00f06a51"/>
    <w:pPr>
      <w:widowControl/>
      <w:suppressAutoHyphens w:val="false"/>
      <w:bidi w:val="0"/>
      <w:spacing w:before="0" w:after="0"/>
      <w:jc w:val="left"/>
    </w:pPr>
    <w:rPr>
      <w:rFonts w:ascii="Arial" w:hAnsi="Arial" w:eastAsia="Arial" w:cs="Arial"/>
      <w:color w:val="auto"/>
      <w:kern w:val="0"/>
      <w:sz w:val="22"/>
      <w:szCs w:val="22"/>
      <w:lang w:val="en" w:eastAsia="en-US" w:bidi="ar-SA"/>
    </w:rPr>
  </w:style>
  <w:style w:type="paragraph" w:styleId="Landscape" w:customStyle="1">
    <w:name w:val="Landscape"/>
    <w:basedOn w:val="Normal"/>
    <w:qFormat/>
    <w:pPr>
      <w:spacing w:lineRule="auto" w:line="480"/>
    </w:pPr>
    <w:rPr>
      <w:sz w:val="24"/>
      <w:szCs w:val="24"/>
    </w:rPr>
  </w:style>
  <w:style w:type="paragraph" w:styleId="HeaderandFooter" w:customStyle="1">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Franz_Petrak" TargetMode="External"/><Relationship Id="rId3" Type="http://schemas.openxmlformats.org/officeDocument/2006/relationships/hyperlink" Target="https://en.wikipedia.org/wiki/Elias_Magnus_Fries" TargetMode="External"/><Relationship Id="rId4" Type="http://schemas.openxmlformats.org/officeDocument/2006/relationships/hyperlink" Target="https://en.wikipedia.org/wiki/Elias_Magnus_Fries" TargetMode="External"/><Relationship Id="rId5" Type="http://schemas.openxmlformats.org/officeDocument/2006/relationships/hyperlink" Target="https://en.wikipedia.org/wiki/Bref." TargetMode="External"/><Relationship Id="rId6" Type="http://schemas.openxmlformats.org/officeDocument/2006/relationships/hyperlink" Target="https://en.wikipedia.org/wiki/William_John_Swainson" TargetMode="External"/><Relationship Id="rId7" Type="http://schemas.openxmlformats.org/officeDocument/2006/relationships/hyperlink" Target="https://en.wikipedia.org/wiki/John_Xantus_de_Vesey" TargetMode="External"/><Relationship Id="rId8" Type="http://schemas.openxmlformats.org/officeDocument/2006/relationships/hyperlink" Target="https://www.sciencedirect.com/topics/agricultural-and-biological-sciences/tsuga-heterophylla" TargetMode="External"/><Relationship Id="rId9" Type="http://schemas.openxmlformats.org/officeDocument/2006/relationships/hyperlink" Target="https://www.sciencedirect.com/topics/agricultural-and-biological-sciences/thuja-plicata" TargetMode="External"/><Relationship Id="rId10" Type="http://schemas.openxmlformats.org/officeDocument/2006/relationships/hyperlink" Target="https://en.wikipedia.org/wiki/David_Douglas_(botanist)" TargetMode="External"/><Relationship Id="rId11" Type="http://schemas.openxmlformats.org/officeDocument/2006/relationships/hyperlink" Target="https://en.wikipedia.org/wiki/David_Don" TargetMode="External"/><Relationship Id="rId12" Type="http://schemas.openxmlformats.org/officeDocument/2006/relationships/hyperlink" Target="https://en.wikipedia.org/wiki/John_Lindley" TargetMode="External"/><Relationship Id="rId13" Type="http://schemas.openxmlformats.org/officeDocument/2006/relationships/hyperlink" Target="https://en.wikipedia.org/wiki/David_Douglas_(botanist)" TargetMode="External"/><Relationship Id="rId14" Type="http://schemas.openxmlformats.org/officeDocument/2006/relationships/hyperlink" Target="https://en.wikipedia.org/wiki/William_Jackson_Hooker" TargetMode="External"/><Relationship Id="rId15" Type="http://schemas.openxmlformats.org/officeDocument/2006/relationships/hyperlink" Target="https://en.wikipedia.org/w/index.php?title=Hjelmq.&amp;action=edit&amp;redlink=1" TargetMode="External"/><Relationship Id="rId16" Type="http://schemas.openxmlformats.org/officeDocument/2006/relationships/hyperlink" Target="http://earthexplorer.usgs.gov/" TargetMode="External"/><Relationship Id="rId17" Type="http://schemas.openxmlformats.org/officeDocument/2006/relationships/image" Target="media/image1.jpeg"/><Relationship Id="rId18" Type="http://schemas.openxmlformats.org/officeDocument/2006/relationships/hyperlink" Target="https://mcmurtrs.github.io/WoodsCreek/" TargetMode="External"/><Relationship Id="rId19" Type="http://schemas.openxmlformats.org/officeDocument/2006/relationships/header" Target="header1.xml"/><Relationship Id="rId20" Type="http://schemas.openxmlformats.org/officeDocument/2006/relationships/image" Target="media/image2.png"/><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header" Target="header4.xml"/><Relationship Id="rId24" Type="http://schemas.openxmlformats.org/officeDocument/2006/relationships/image" Target="media/image3.jpeg"/><Relationship Id="rId25" Type="http://schemas.openxmlformats.org/officeDocument/2006/relationships/image" Target="media/image4.jpeg"/><Relationship Id="rId26" Type="http://schemas.openxmlformats.org/officeDocument/2006/relationships/image" Target="media/image5.jpeg"/><Relationship Id="rId27" Type="http://schemas.openxmlformats.org/officeDocument/2006/relationships/image" Target="media/image6.jpeg"/><Relationship Id="rId28" Type="http://schemas.openxmlformats.org/officeDocument/2006/relationships/image" Target="media/image7.jpeg"/><Relationship Id="rId29" Type="http://schemas.openxmlformats.org/officeDocument/2006/relationships/image" Target="media/image8.jpeg"/><Relationship Id="rId30" Type="http://schemas.openxmlformats.org/officeDocument/2006/relationships/header" Target="header5.xml"/><Relationship Id="rId31" Type="http://schemas.openxmlformats.org/officeDocument/2006/relationships/header" Target="header6.xml"/><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 Id="rId39" Type="http://schemas.openxmlformats.org/officeDocument/2006/relationships/image" Target="media/image16.png"/><Relationship Id="rId40" Type="http://schemas.openxmlformats.org/officeDocument/2006/relationships/header" Target="header7.xml"/><Relationship Id="rId41" Type="http://schemas.openxmlformats.org/officeDocument/2006/relationships/header" Target="header8.xml"/><Relationship Id="rId42" Type="http://schemas.openxmlformats.org/officeDocument/2006/relationships/hyperlink" Target="https://github.com/mcmurtrs/WoodsCreek" TargetMode="External"/><Relationship Id="rId43" Type="http://schemas.openxmlformats.org/officeDocument/2006/relationships/hyperlink" Target="https://doi.org/10.1016/j.foreco.2005.01.034" TargetMode="External"/><Relationship Id="rId44" Type="http://schemas.openxmlformats.org/officeDocument/2006/relationships/hyperlink" Target="https://ir.library.oregonstate.edu/concern/graduate_thesis_or_dissertations/k930c098s" TargetMode="External"/><Relationship Id="rId45" Type="http://schemas.openxmlformats.org/officeDocument/2006/relationships/hyperlink" Target="https://doi.org/10.3389/ffgc.2021.695981" TargetMode="External"/><Relationship Id="rId46" Type="http://schemas.openxmlformats.org/officeDocument/2006/relationships/hyperlink" Target="https://doi.org/10.1016/j.foreco.2012.05.040" TargetMode="External"/><Relationship Id="rId47" Type="http://schemas.openxmlformats.org/officeDocument/2006/relationships/hyperlink" Target="https://www.fs.usda.gov/treesearch/pubs/46886" TargetMode="External"/><Relationship Id="rId48" Type="http://schemas.openxmlformats.org/officeDocument/2006/relationships/hyperlink" Target="https://doi.org/10.2737/PSW-GTR-165" TargetMode="External"/><Relationship Id="rId49" Type="http://schemas.openxmlformats.org/officeDocument/2006/relationships/hyperlink" Target="https://doi.org/10.5849/jof.10-006" TargetMode="External"/><Relationship Id="rId50" Type="http://schemas.openxmlformats.org/officeDocument/2006/relationships/hyperlink" Target="https://www.biodiversitylibrary.org/bibliography/178892" TargetMode="External"/><Relationship Id="rId51" Type="http://schemas.openxmlformats.org/officeDocument/2006/relationships/hyperlink" Target="https://doi.org/10.1139/x79-078" TargetMode="External"/><Relationship Id="rId52" Type="http://schemas.openxmlformats.org/officeDocument/2006/relationships/hyperlink" Target="https://doi.org/10.1002/ecs2.1569" TargetMode="External"/><Relationship Id="rId53" Type="http://schemas.openxmlformats.org/officeDocument/2006/relationships/hyperlink" Target="https://doi.org/10.1016/j.foreco.2019.03.063" TargetMode="External"/><Relationship Id="rId54" Type="http://schemas.openxmlformats.org/officeDocument/2006/relationships/hyperlink" Target="https://doi.org/10.1080/17550874.2012.679013" TargetMode="External"/><Relationship Id="rId55" Type="http://schemas.openxmlformats.org/officeDocument/2006/relationships/hyperlink" Target="https://doi.org/10.1094/PHYTO-12-17-0399-R" TargetMode="External"/><Relationship Id="rId56" Type="http://schemas.openxmlformats.org/officeDocument/2006/relationships/hyperlink" Target="https://doi.org/10.1111/j.1523-1739.2004.00492.x" TargetMode="External"/><Relationship Id="rId57" Type="http://schemas.openxmlformats.org/officeDocument/2006/relationships/hyperlink" Target="https://doi.org/10.1016/j.foreco.2014.02.007" TargetMode="External"/><Relationship Id="rId58" Type="http://schemas.openxmlformats.org/officeDocument/2006/relationships/hyperlink" Target="https://doi.org/10.1139/cjfr-2014-0168" TargetMode="External"/><Relationship Id="rId59" Type="http://schemas.openxmlformats.org/officeDocument/2006/relationships/hyperlink" Target="https://doi.org/10.1093/forestscience/51.5.425" TargetMode="External"/><Relationship Id="rId60" Type="http://schemas.openxmlformats.org/officeDocument/2006/relationships/hyperlink" Target="https://doi.org/10.1093/aob/mcm246" TargetMode="External"/><Relationship Id="rId61" Type="http://schemas.openxmlformats.org/officeDocument/2006/relationships/hyperlink" Target="http://www.rstudio.com/" TargetMode="External"/><Relationship Id="rId62" Type="http://schemas.openxmlformats.org/officeDocument/2006/relationships/hyperlink" Target="https://doi.org/10.1093/forestry/cpm041" TargetMode="External"/><Relationship Id="rId63" Type="http://schemas.openxmlformats.org/officeDocument/2006/relationships/hyperlink" Target="http://websoilsurvey.sc.egov.usda.gov/" TargetMode="External"/><Relationship Id="rId64" Type="http://schemas.openxmlformats.org/officeDocument/2006/relationships/hyperlink" Target="https://doi.org/10.1016/j.foreco.2018.03.043" TargetMode="External"/><Relationship Id="rId65" Type="http://schemas.openxmlformats.org/officeDocument/2006/relationships/hyperlink" Target="https://ggplot2.tidyverse.org/" TargetMode="External"/><Relationship Id="rId66" Type="http://schemas.openxmlformats.org/officeDocument/2006/relationships/hyperlink" Target="https://CRAN.R-project.org/package=tidyverse" TargetMode="External"/><Relationship Id="rId67" Type="http://schemas.openxmlformats.org/officeDocument/2006/relationships/hyperlink" Target="https://doi.org/10.1016/j.foreco.2019.117558" TargetMode="External"/><Relationship Id="rId68" Type="http://schemas.openxmlformats.org/officeDocument/2006/relationships/header" Target="header9.xml"/><Relationship Id="rId69" Type="http://schemas.openxmlformats.org/officeDocument/2006/relationships/comments" Target="comments.xml"/><Relationship Id="rId70" Type="http://schemas.openxmlformats.org/officeDocument/2006/relationships/fontTable" Target="fontTable.xml"/><Relationship Id="rId71" Type="http://schemas.openxmlformats.org/officeDocument/2006/relationships/settings" Target="settings.xml"/><Relationship Id="rId72" Type="http://schemas.openxmlformats.org/officeDocument/2006/relationships/theme" Target="theme/theme1.xml"/><Relationship Id="rId73"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795E00-1F1B-4D9F-B387-1021D5AD9A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Application>LibreOffice/7.1.5.2$Windows_X86_64 LibreOffice_project/85f04e9f809797b8199d13c421bd8a2b025d52b5</Application>
  <AppVersion>15.0000</AppVersion>
  <Pages>64</Pages>
  <Words>8497</Words>
  <Characters>46883</Characters>
  <CharactersWithSpaces>54836</CharactersWithSpaces>
  <Paragraphs>664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2022-09-23T05:19:00Z</dcterms:created>
  <dc:creator>Shawn McMurtrey</dc:creator>
  <dc:description/>
  <dc:language>en-US</dc:language>
  <cp:lastModifiedBy/>
  <dcterms:modified xsi:type="dcterms:W3CDTF">2022-09-23T15:18:17Z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