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Apiary methods</w:t>
      </w:r>
    </w:p>
    <w:p>
      <w:pPr>
        <w:pStyle w:val="Normal"/>
        <w:bidi w:val="0"/>
        <w:jc w:val="left"/>
        <w:rPr/>
      </w:pPr>
      <w:r>
        <w:rPr/>
        <w:t>4/13/2022</w:t>
      </w:r>
    </w:p>
    <w:p>
      <w:pPr>
        <w:pStyle w:val="Normal"/>
        <w:bidi w:val="0"/>
        <w:jc w:val="left"/>
        <w:rPr/>
      </w:pPr>
      <w:r>
        <w:rPr/>
      </w:r>
    </w:p>
    <w:p>
      <w:pPr>
        <w:pStyle w:val="Normal"/>
        <w:bidi w:val="0"/>
        <w:jc w:val="left"/>
        <w:rPr/>
      </w:pPr>
      <w:r>
        <w:rPr/>
      </w:r>
    </w:p>
    <w:p>
      <w:pPr>
        <w:pStyle w:val="Normal"/>
        <w:bidi w:val="0"/>
        <w:jc w:val="left"/>
        <w:rPr>
          <w:i/>
          <w:i/>
          <w:iCs/>
        </w:rPr>
      </w:pPr>
      <w:r>
        <w:rPr>
          <w:i/>
          <w:iCs/>
        </w:rPr>
        <w:t>Site characterisitcs and establishment</w:t>
      </w:r>
    </w:p>
    <w:p>
      <w:pPr>
        <w:pStyle w:val="Normal"/>
        <w:bidi w:val="0"/>
        <w:jc w:val="left"/>
        <w:rPr/>
      </w:pPr>
      <w:r>
        <w:rPr/>
        <w:t xml:space="preserve">A 35 acre stand of 40 year old Douglas fir, at he time owned by International Paper Co., was selected based on high incidence of laminated root rot (LRR). The stand </w:t>
      </w:r>
      <w:r>
        <w:rPr>
          <w:rFonts w:eastAsia="NSimSun" w:cs="Lucida Sans"/>
          <w:color w:val="auto"/>
          <w:kern w:val="2"/>
          <w:sz w:val="24"/>
          <w:szCs w:val="24"/>
          <w:lang w:val="en-US" w:eastAsia="zh-CN" w:bidi="hi-IN"/>
        </w:rPr>
        <w:t>lay</w:t>
      </w:r>
      <w:r>
        <w:rPr/>
        <w:t xml:space="preserve"> on a NE slope at about 1800’ elevation near the town of Apiary in NW Oregon. In March of 1973, the experimental </w:t>
      </w:r>
      <w:r>
        <w:rPr>
          <w:rFonts w:eastAsia="NSimSun" w:cs="Lucida Sans"/>
          <w:color w:val="auto"/>
          <w:kern w:val="2"/>
          <w:sz w:val="24"/>
          <w:szCs w:val="24"/>
          <w:lang w:val="en-US" w:eastAsia="zh-CN" w:bidi="hi-IN"/>
        </w:rPr>
        <w:t>area</w:t>
      </w:r>
      <w:r>
        <w:rPr/>
        <w:t xml:space="preserve"> was delimited by establishing a grid of stakes at 2-chain (132’) intervals running NE-</w:t>
      </w:r>
      <w:r>
        <w:rPr/>
        <w:t>SW</w:t>
      </w:r>
      <w:r>
        <w:rPr/>
        <w:t xml:space="preserve"> and S</w:t>
      </w:r>
      <w:r>
        <w:rPr>
          <w:rFonts w:eastAsia="NSimSun" w:cs="Lucida Sans"/>
          <w:color w:val="auto"/>
          <w:kern w:val="2"/>
          <w:sz w:val="24"/>
          <w:szCs w:val="24"/>
          <w:lang w:val="en-US" w:eastAsia="zh-CN" w:bidi="hi-IN"/>
        </w:rPr>
        <w:t>E-</w:t>
      </w:r>
      <w:r>
        <w:rPr>
          <w:rFonts w:eastAsia="NSimSun" w:cs="Lucida Sans"/>
          <w:color w:val="auto"/>
          <w:kern w:val="2"/>
          <w:sz w:val="24"/>
          <w:szCs w:val="24"/>
          <w:lang w:val="en-US" w:eastAsia="zh-CN" w:bidi="hi-IN"/>
        </w:rPr>
        <w:t>NW</w:t>
      </w:r>
      <w:r>
        <w:rPr/>
        <w:t xml:space="preserve">. Each grid block was surveyed for evidence of laminated root rot, with each stump, log, or tree showing signs or symptoms recorded along with its diameter, </w:t>
      </w:r>
      <w:r>
        <w:rPr>
          <w:rFonts w:eastAsia="NSimSun" w:cs="Lucida Sans"/>
          <w:color w:val="auto"/>
          <w:kern w:val="2"/>
          <w:sz w:val="24"/>
          <w:szCs w:val="24"/>
          <w:lang w:val="en-US" w:eastAsia="zh-CN" w:bidi="hi-IN"/>
        </w:rPr>
        <w:t>location relative to chain grid,</w:t>
      </w:r>
      <w:r>
        <w:rPr/>
        <w:t xml:space="preserve"> and approximate date of </w:t>
      </w:r>
      <w:r>
        <w:rPr>
          <w:rFonts w:eastAsia="NSimSun" w:cs="Lucida Sans"/>
          <w:color w:val="auto"/>
          <w:kern w:val="2"/>
          <w:sz w:val="24"/>
          <w:szCs w:val="24"/>
          <w:lang w:val="en-US" w:eastAsia="zh-CN" w:bidi="hi-IN"/>
        </w:rPr>
        <w:t>mortality</w:t>
      </w:r>
      <w:r>
        <w:rPr/>
        <w:t xml:space="preserve">. Signs and symptoms included </w:t>
      </w:r>
      <w:r>
        <w:rPr>
          <w:rFonts w:eastAsia="NSimSun" w:cs="Lucida Sans"/>
          <w:color w:val="auto"/>
          <w:kern w:val="2"/>
          <w:sz w:val="24"/>
          <w:szCs w:val="24"/>
          <w:lang w:val="en-US" w:eastAsia="zh-CN" w:bidi="hi-IN"/>
        </w:rPr>
        <w:t>crescent-shaped decay pockets extending from bole to roots</w:t>
      </w:r>
      <w:r>
        <w:rPr/>
        <w:t xml:space="preserve">, ring lamination, and presence of setal hyphae (Hansen 1979). The site was harvested in in the autumn of 1973, at which point cut stumps were surveyed for presence of laminated root rot and recorded as before. </w:t>
      </w:r>
      <w:r>
        <w:rPr>
          <w:rFonts w:eastAsia="NSimSun" w:cs="Lucida Sans"/>
          <w:color w:val="auto"/>
          <w:kern w:val="2"/>
          <w:sz w:val="24"/>
          <w:szCs w:val="24"/>
          <w:lang w:val="en-US" w:eastAsia="zh-CN" w:bidi="hi-IN"/>
        </w:rPr>
        <w:t>S</w:t>
      </w:r>
      <w:r>
        <w:rPr/>
        <w:t xml:space="preserve">lash </w:t>
      </w:r>
      <w:r>
        <w:rPr>
          <w:rFonts w:eastAsia="NSimSun" w:cs="Lucida Sans"/>
          <w:color w:val="auto"/>
          <w:kern w:val="2"/>
          <w:sz w:val="24"/>
          <w:szCs w:val="24"/>
          <w:lang w:val="en-US" w:eastAsia="zh-CN" w:bidi="hi-IN"/>
        </w:rPr>
        <w:t xml:space="preserve">was broadcast burned in </w:t>
      </w:r>
      <w:r>
        <w:rPr/>
        <w:t xml:space="preserve">the spring of 1974.  </w:t>
      </w:r>
    </w:p>
    <w:p>
      <w:pPr>
        <w:pStyle w:val="Normal"/>
        <w:bidi w:val="0"/>
        <w:jc w:val="left"/>
        <w:rPr/>
      </w:pPr>
      <w:r>
        <w:rPr/>
      </w:r>
    </w:p>
    <w:p>
      <w:pPr>
        <w:pStyle w:val="Normal"/>
        <w:bidi w:val="0"/>
        <w:jc w:val="left"/>
        <w:rPr/>
      </w:pPr>
      <w:r>
        <w:rPr/>
        <w:t xml:space="preserve">25 plots were established and </w:t>
      </w:r>
      <w:r>
        <w:rPr>
          <w:rFonts w:eastAsia="NSimSun" w:cs="Lucida Sans"/>
          <w:color w:val="auto"/>
          <w:kern w:val="2"/>
          <w:sz w:val="24"/>
          <w:szCs w:val="24"/>
          <w:lang w:val="en-US" w:eastAsia="zh-CN" w:bidi="hi-IN"/>
        </w:rPr>
        <w:t xml:space="preserve">blocked </w:t>
      </w:r>
      <w:r>
        <w:rPr/>
        <w:t xml:space="preserve">by incidence and distribution of LRR. One </w:t>
      </w:r>
      <w:r>
        <w:rPr>
          <w:rFonts w:eastAsia="NSimSun" w:cs="Lucida Sans"/>
          <w:color w:val="auto"/>
          <w:kern w:val="2"/>
          <w:sz w:val="24"/>
          <w:szCs w:val="24"/>
          <w:lang w:val="en-US" w:eastAsia="zh-CN" w:bidi="hi-IN"/>
        </w:rPr>
        <w:t>block</w:t>
      </w:r>
      <w:r>
        <w:rPr/>
        <w:t xml:space="preserve"> included the five plots at the eastern corner of the site based on high incidence and density of LRR in the area. The remaining 20 plots were assigned to an additional 4 </w:t>
      </w:r>
      <w:r>
        <w:rPr>
          <w:rFonts w:eastAsia="NSimSun" w:cs="Lucida Sans"/>
          <w:color w:val="auto"/>
          <w:kern w:val="2"/>
          <w:sz w:val="24"/>
          <w:szCs w:val="24"/>
          <w:lang w:val="en-US" w:eastAsia="zh-CN" w:bidi="hi-IN"/>
        </w:rPr>
        <w:t>blocks</w:t>
      </w:r>
      <w:r>
        <w:rPr/>
        <w:t xml:space="preserve"> based on disease incidence. </w:t>
      </w:r>
      <w:r>
        <w:rPr>
          <w:rFonts w:eastAsia="NSimSun" w:cs="Lucida Sans"/>
          <w:color w:val="auto"/>
          <w:kern w:val="2"/>
          <w:sz w:val="24"/>
          <w:szCs w:val="24"/>
          <w:lang w:val="en-US" w:eastAsia="zh-CN" w:bidi="hi-IN"/>
        </w:rPr>
        <w:t>Five</w:t>
      </w:r>
      <w:r>
        <w:rPr/>
        <w:t xml:space="preserve"> treatments were randomly assigned to plots in each disease severity </w:t>
      </w:r>
      <w:r>
        <w:rPr>
          <w:rFonts w:eastAsia="NSimSun" w:cs="Lucida Sans"/>
          <w:color w:val="auto"/>
          <w:kern w:val="2"/>
          <w:sz w:val="24"/>
          <w:szCs w:val="24"/>
          <w:lang w:val="en-US" w:eastAsia="zh-CN" w:bidi="hi-IN"/>
        </w:rPr>
        <w:t>block</w:t>
      </w:r>
      <w:r>
        <w:rPr/>
        <w:t xml:space="preserve">: 1) </w:t>
      </w:r>
      <w:r>
        <w:rPr>
          <w:rFonts w:eastAsia="NSimSun" w:cs="Lucida Sans"/>
          <w:color w:val="auto"/>
          <w:kern w:val="2"/>
          <w:sz w:val="24"/>
          <w:szCs w:val="24"/>
          <w:lang w:val="en-US" w:eastAsia="zh-CN" w:bidi="hi-IN"/>
        </w:rPr>
        <w:t xml:space="preserve">immediate planting of Douglas fir; 2) 12 year rotation of red alder followed by Douglas fir; 3) 12 year rotation of cottonwood followed by Douglas fir; 4) 25 year red alder to Douglas fir;  and 5) 25 year cottonwood to Douglas fir.  Five 1/20 acre (26.3’ radius) survey subplots were established within in each plot to include the maximum number of </w:t>
      </w:r>
      <w:r>
        <w:rPr>
          <w:rFonts w:eastAsia="NSimSun" w:cs="Lucida Sans"/>
          <w:i/>
          <w:iCs/>
          <w:color w:val="auto"/>
          <w:kern w:val="2"/>
          <w:sz w:val="24"/>
          <w:szCs w:val="24"/>
          <w:lang w:val="en-US" w:eastAsia="zh-CN" w:bidi="hi-IN"/>
        </w:rPr>
        <w:t>C. sulphurascens</w:t>
      </w:r>
      <w:r>
        <w:rPr>
          <w:rFonts w:eastAsia="NSimSun" w:cs="Lucida Sans"/>
          <w:color w:val="auto"/>
          <w:kern w:val="2"/>
          <w:sz w:val="24"/>
          <w:szCs w:val="24"/>
          <w:lang w:val="en-US" w:eastAsia="zh-CN" w:bidi="hi-IN"/>
        </w:rPr>
        <w:t xml:space="preserve"> infected stumps while maintaining a 16’ buffer from the plot boundary. Plot centers were marked with metal stakes and mapped in reference to chain grid and later using GPS.</w:t>
      </w:r>
    </w:p>
    <w:p>
      <w:pPr>
        <w:pStyle w:val="Normal"/>
        <w:bidi w:val="0"/>
        <w:jc w:val="left"/>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r>
    </w:p>
    <w:p>
      <w:pPr>
        <w:pStyle w:val="Normal"/>
        <w:bidi w:val="0"/>
        <w:jc w:val="left"/>
        <w:rPr/>
      </w:pPr>
      <w:r>
        <w:rPr>
          <w:rFonts w:eastAsia="NSimSun" w:cs="Lucida Sans"/>
          <w:color w:val="auto"/>
          <w:kern w:val="2"/>
          <w:sz w:val="24"/>
          <w:szCs w:val="24"/>
          <w:lang w:val="en-US" w:eastAsia="zh-CN" w:bidi="hi-IN"/>
        </w:rPr>
        <w:t>In the fall of 1974 through spring 1975, all plots were stocked at 8’ x 8’ spacing (680 trees/acre, 34 trees/subplot) with 1-year old seedlings of their respective species. Stocking density was chosen to accommodate disease transmission via root proximity while allowing some room for growth over 10 years. Regenerating hardwoods were removed from Douglas fir plots and visa versa. Dead seedlings were replaced for two years within and near subplots to maintain stocking levels during establishment.</w:t>
      </w:r>
    </w:p>
    <w:p>
      <w:pPr>
        <w:pStyle w:val="Normal"/>
        <w:bidi w:val="0"/>
        <w:jc w:val="left"/>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r>
    </w:p>
    <w:p>
      <w:pPr>
        <w:pStyle w:val="Normal"/>
        <w:bidi w:val="0"/>
        <w:jc w:val="left"/>
        <w:rPr>
          <w:i/>
          <w:i/>
          <w:iCs/>
        </w:rPr>
      </w:pPr>
      <w:r>
        <w:rPr>
          <w:rFonts w:eastAsia="NSimSun" w:cs="Lucida Sans"/>
          <w:i/>
          <w:iCs/>
          <w:color w:val="auto"/>
          <w:kern w:val="2"/>
          <w:sz w:val="24"/>
          <w:szCs w:val="24"/>
          <w:lang w:val="en-US" w:eastAsia="zh-CN" w:bidi="hi-IN"/>
        </w:rPr>
        <w:t>Plot maintenance and inventory</w:t>
      </w:r>
    </w:p>
    <w:p>
      <w:pPr>
        <w:pStyle w:val="Normal"/>
        <w:bidi w:val="0"/>
        <w:jc w:val="left"/>
        <w:rPr/>
      </w:pPr>
      <w:r>
        <w:rPr>
          <w:rFonts w:eastAsia="NSimSun" w:cs="Lucida Sans"/>
          <w:color w:val="auto"/>
          <w:kern w:val="2"/>
          <w:sz w:val="24"/>
          <w:szCs w:val="24"/>
          <w:lang w:val="en-US" w:eastAsia="zh-CN" w:bidi="hi-IN"/>
        </w:rPr>
        <w:t>In the fall of 1986 the 12-year hardwood rotation plots (except 2 red alder plots which were missed) were harvested and in spring 1987 Douglas fir was planted in those plots with the same 8’x 8’ spacing and replacement of initial mortality.  Extensive re-sprouting of hardwoods occurred following harvest, and thus suppression of these sprouts using cutting and herbicide was conducted in 1990 and 1992. In the fall of 1999 and spring of 2000 the 25-year hardwood plots were harvested, and Douglas fir was again planted with 8’ x 8’ spacing and replacement of initial mortality. The site was clearcut in 2020 when the first Douglas fir replanted were 45 years old.</w:t>
      </w:r>
    </w:p>
    <w:p>
      <w:pPr>
        <w:pStyle w:val="Normal"/>
        <w:bidi w:val="0"/>
        <w:jc w:val="left"/>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r>
    </w:p>
    <w:p>
      <w:pPr>
        <w:pStyle w:val="Normal"/>
        <w:bidi w:val="0"/>
        <w:jc w:val="left"/>
        <w:rPr/>
      </w:pPr>
      <w:r>
        <w:rPr>
          <w:rFonts w:eastAsia="NSimSun" w:cs="Lucida Sans"/>
          <w:color w:val="auto"/>
          <w:kern w:val="2"/>
          <w:sz w:val="24"/>
          <w:szCs w:val="24"/>
          <w:lang w:val="en-US" w:eastAsia="zh-CN" w:bidi="hi-IN"/>
        </w:rPr>
        <w:t>Tree positions were mapped,  growth measured, and condition recorded multiple times across the study: 1986 (continuous Douglas fir plots only); 1995 (Douglas fir following 12-year hardwood rotation plots); 2011 (all plots); and 2020 (all plots).</w:t>
      </w:r>
    </w:p>
    <w:p>
      <w:pPr>
        <w:pStyle w:val="Normal"/>
        <w:bidi w:val="0"/>
        <w:jc w:val="left"/>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r>
    </w:p>
    <w:p>
      <w:pPr>
        <w:pStyle w:val="Normal"/>
        <w:bidi w:val="0"/>
        <w:jc w:val="left"/>
        <w:rPr>
          <w:rFonts w:ascii="Liberation Serif" w:hAnsi="Liberation Serif" w:eastAsia="NSimSun" w:cs="Lucida Sans"/>
          <w:color w:val="auto"/>
          <w:kern w:val="2"/>
          <w:sz w:val="24"/>
          <w:szCs w:val="24"/>
          <w:lang w:val="en-US" w:eastAsia="zh-CN" w:bidi="hi-IN"/>
        </w:rPr>
      </w:pPr>
      <w:r>
        <w:rPr>
          <w:rFonts w:eastAsia="NSimSun" w:cs="Lucida Sans"/>
          <w:color w:val="auto"/>
          <w:kern w:val="2"/>
          <w:sz w:val="24"/>
          <w:szCs w:val="24"/>
          <w:lang w:val="en-US" w:eastAsia="zh-CN" w:bidi="hi-IN"/>
        </w:rPr>
      </w:r>
    </w:p>
    <w:p>
      <w:pPr>
        <w:pStyle w:val="Normal"/>
        <w:bidi w:val="0"/>
        <w:jc w:val="left"/>
        <w:rPr/>
      </w:pPr>
      <w:r>
        <w:rPr>
          <w:rFonts w:eastAsia="NSimSun" w:cs="Lucida Sans"/>
          <w:color w:val="auto"/>
          <w:kern w:val="2"/>
          <w:sz w:val="24"/>
          <w:szCs w:val="24"/>
          <w:lang w:val="en-US" w:eastAsia="zh-CN" w:bidi="hi-IN"/>
        </w:rPr>
        <w:t>IPC sold site to S</w:t>
      </w:r>
      <w:r>
        <w:rPr>
          <w:rFonts w:eastAsia="NSimSun" w:cs="Lucida Sans"/>
          <w:color w:val="auto"/>
          <w:kern w:val="2"/>
          <w:sz w:val="24"/>
          <w:szCs w:val="24"/>
          <w:lang w:val="en-US" w:eastAsia="zh-CN" w:bidi="hi-IN"/>
        </w:rPr>
        <w:t>t</w:t>
      </w:r>
      <w:r>
        <w:rPr>
          <w:rFonts w:eastAsia="NSimSun" w:cs="Lucida Sans"/>
          <w:color w:val="auto"/>
          <w:kern w:val="2"/>
          <w:sz w:val="24"/>
          <w:szCs w:val="24"/>
          <w:lang w:val="en-US" w:eastAsia="zh-CN" w:bidi="hi-IN"/>
        </w:rPr>
        <w:t>im</w:t>
      </w:r>
      <w:r>
        <w:rPr>
          <w:rFonts w:eastAsia="NSimSun" w:cs="Lucida Sans"/>
          <w:color w:val="auto"/>
          <w:kern w:val="2"/>
          <w:sz w:val="24"/>
          <w:szCs w:val="24"/>
          <w:lang w:val="en-US" w:eastAsia="zh-CN" w:bidi="hi-IN"/>
        </w:rPr>
        <w:t>p</w:t>
      </w:r>
      <w:r>
        <w:rPr>
          <w:rFonts w:eastAsia="NSimSun" w:cs="Lucida Sans"/>
          <w:color w:val="auto"/>
          <w:kern w:val="2"/>
          <w:sz w:val="24"/>
          <w:szCs w:val="24"/>
          <w:lang w:val="en-US" w:eastAsia="zh-CN" w:bidi="hi-IN"/>
        </w:rPr>
        <w:t>son Lumber Company in 1993. Sold to Weyerhauser in 20??</w:t>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40</TotalTime>
  <Application>LibreOffice/7.1.5.2$Windows_X86_64 LibreOffice_project/85f04e9f809797b8199d13c421bd8a2b025d52b5</Application>
  <AppVersion>15.0000</AppVersion>
  <Pages>1</Pages>
  <Words>569</Words>
  <Characters>2880</Characters>
  <CharactersWithSpaces>3445</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2022-03-17T10:21:30Z</dcterms:created>
  <dc:creator/>
  <dc:description/>
  <dc:language>en-US</dc:language>
  <cp:lastModifiedBy/>
  <dcterms:modified xsi:type="dcterms:W3CDTF">2022-04-28T12:01:34Z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