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构造迭代计划V</w:t>
      </w:r>
      <w:r>
        <w:rPr>
          <w:rFonts w:hint="eastAsia"/>
          <w:b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b/>
          <w:sz w:val="32"/>
          <w:szCs w:val="32"/>
        </w:rPr>
        <w:t>.0</w:t>
      </w:r>
    </w:p>
    <w:p>
      <w:pPr>
        <w:pStyle w:val="5"/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　　　　　　　　　　　　　制定日期：1</w:t>
      </w:r>
      <w:r>
        <w:rPr>
          <w:szCs w:val="21"/>
        </w:rPr>
        <w:t>1</w:t>
      </w:r>
      <w:r>
        <w:rPr>
          <w:rFonts w:hint="eastAsia"/>
          <w:szCs w:val="21"/>
        </w:rPr>
        <w:t>.1</w:t>
      </w:r>
      <w:r>
        <w:rPr>
          <w:szCs w:val="21"/>
        </w:rPr>
        <w:t>8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1200" w:firstLineChars="50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  <w:szCs w:val="21"/>
              </w:rPr>
              <w:t>迭代三：</w:t>
            </w:r>
            <w:r>
              <w:rPr>
                <w:rFonts w:ascii="Helvetica Neue" w:hAnsi="Helvetica Neue"/>
                <w:color w:val="2D3B45"/>
                <w:shd w:val="clear" w:color="auto" w:fill="FFFFFF"/>
              </w:rPr>
              <w:t>构造迭代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1.18—1.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6"/>
              <w:gridCol w:w="3429"/>
              <w:gridCol w:w="2066"/>
              <w:gridCol w:w="20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1.1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作业前端修改功能完善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11.26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通知功能完善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1.18-11.26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错题本前端功能完善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1.18-11.26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错题后端功能完善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1.18-11.26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客观题自动批改答案功能实现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1.18-11.26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2.1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熟悉测试工具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11.26-11.31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太靖文，周峰，杨亘，秦梁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81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宋体"/>
                      <w:color w:val="auto"/>
                      <w:sz w:val="24"/>
                      <w:szCs w:val="21"/>
                      <w:lang w:val="en-US" w:eastAsia="zh-CN" w:bidi="ar-SA"/>
                    </w:rPr>
                    <w:t>3.1</w:t>
                  </w:r>
                </w:p>
              </w:tc>
              <w:tc>
                <w:tcPr>
                  <w:tcW w:w="3429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购买并更换</w:t>
                  </w:r>
                  <w:r>
                    <w:rPr>
                      <w:rFonts w:hint="eastAsia"/>
                      <w:lang w:val="en-US" w:eastAsia="zh-CN"/>
                    </w:rPr>
                    <w:t>了</w:t>
                  </w:r>
                  <w:r>
                    <w:rPr>
                      <w:rFonts w:hint="eastAsia"/>
                    </w:rPr>
                    <w:t>新服务器，重新部署多个服务</w:t>
                  </w:r>
                </w:p>
              </w:tc>
              <w:tc>
                <w:tcPr>
                  <w:tcW w:w="2066" w:type="dxa"/>
                  <w:shd w:val="clear" w:color="auto" w:fill="auto"/>
                  <w:vAlign w:val="top"/>
                </w:tcPr>
                <w:p>
                  <w:pPr>
                    <w:pStyle w:val="11"/>
                    <w:ind w:firstLine="0" w:firstLineChars="0"/>
                    <w:rPr>
                      <w:rFonts w:hint="eastAsia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宋体"/>
                      <w:color w:val="auto"/>
                      <w:sz w:val="24"/>
                      <w:szCs w:val="21"/>
                      <w:lang w:val="en-US" w:eastAsia="zh-CN" w:bidi="ar-SA"/>
                    </w:rPr>
                    <w:t>12.1-12.3</w:t>
                  </w:r>
                </w:p>
              </w:tc>
              <w:tc>
                <w:tcPr>
                  <w:tcW w:w="2056" w:type="dxa"/>
                  <w:shd w:val="clear" w:color="auto" w:fill="auto"/>
                  <w:vAlign w:val="top"/>
                </w:tcPr>
                <w:p>
                  <w:pPr>
                    <w:pStyle w:val="11"/>
                    <w:ind w:firstLine="0" w:firstLineChars="0"/>
                    <w:rPr>
                      <w:rFonts w:hint="eastAsia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杨亘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宋体"/>
                      <w:sz w:val="24"/>
                      <w:szCs w:val="21"/>
                      <w:lang w:val="en-US" w:eastAsia="zh-CN" w:bidi="ar-SA"/>
                    </w:rPr>
                    <w:t>3.2</w:t>
                  </w:r>
                </w:p>
              </w:tc>
              <w:tc>
                <w:tcPr>
                  <w:tcW w:w="3429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更改完善后端注册和头像功能</w:t>
                  </w:r>
                </w:p>
              </w:tc>
              <w:tc>
                <w:tcPr>
                  <w:tcW w:w="206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宋体"/>
                      <w:color w:val="auto"/>
                      <w:sz w:val="24"/>
                      <w:szCs w:val="21"/>
                      <w:lang w:val="en-US" w:eastAsia="zh-CN" w:bidi="ar-SA"/>
                    </w:rPr>
                    <w:t>12.1-12.3</w:t>
                  </w:r>
                </w:p>
              </w:tc>
              <w:tc>
                <w:tcPr>
                  <w:tcW w:w="205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color w:val="FF0000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宋体"/>
                      <w:color w:val="auto"/>
                      <w:sz w:val="24"/>
                      <w:szCs w:val="21"/>
                      <w:lang w:val="en-US" w:eastAsia="zh-CN" w:bidi="ar-SA"/>
                    </w:rPr>
                    <w:t>周峰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宋体" w:hAnsi="宋体" w:eastAsia="宋体" w:cs="宋体"/>
                      <w:color w:val="auto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宋体"/>
                      <w:color w:val="auto"/>
                      <w:sz w:val="24"/>
                      <w:szCs w:val="21"/>
                      <w:lang w:val="en-US" w:eastAsia="zh-CN" w:bidi="ar-SA"/>
                    </w:rPr>
                    <w:t>3.3</w:t>
                  </w:r>
                </w:p>
              </w:tc>
              <w:tc>
                <w:tcPr>
                  <w:tcW w:w="3429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color w:val="auto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</w:rPr>
                    <w:t>完成上传图片时对图像清晰度的检测的功能</w:t>
                  </w:r>
                </w:p>
              </w:tc>
              <w:tc>
                <w:tcPr>
                  <w:tcW w:w="206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color w:val="auto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</w:rPr>
                    <w:t>1</w:t>
                  </w:r>
                  <w:r>
                    <w:rPr>
                      <w:color w:val="auto"/>
                      <w:szCs w:val="21"/>
                    </w:rPr>
                    <w:t>2.1</w:t>
                  </w:r>
                  <w:r>
                    <w:rPr>
                      <w:rFonts w:hint="eastAsia"/>
                      <w:color w:val="auto"/>
                      <w:szCs w:val="21"/>
                    </w:rPr>
                    <w:t>-</w:t>
                  </w:r>
                  <w:r>
                    <w:rPr>
                      <w:color w:val="auto"/>
                      <w:szCs w:val="21"/>
                    </w:rPr>
                    <w:t>12.</w:t>
                  </w:r>
                  <w:r>
                    <w:rPr>
                      <w:rFonts w:hint="eastAsia"/>
                      <w:color w:val="auto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205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color w:val="auto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auto"/>
                      <w:szCs w:val="21"/>
                      <w:lang w:val="en-US" w:eastAsia="zh-CN"/>
                    </w:rPr>
                    <w:t>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4.1</w:t>
                  </w:r>
                </w:p>
              </w:tc>
              <w:tc>
                <w:tcPr>
                  <w:tcW w:w="3429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界面设计优化</w:t>
                  </w:r>
                </w:p>
              </w:tc>
              <w:tc>
                <w:tcPr>
                  <w:tcW w:w="206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11.30-12.4</w:t>
                  </w:r>
                </w:p>
              </w:tc>
              <w:tc>
                <w:tcPr>
                  <w:tcW w:w="205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4.2</w:t>
                  </w:r>
                </w:p>
              </w:tc>
              <w:tc>
                <w:tcPr>
                  <w:tcW w:w="3429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界面设计优化文档</w:t>
                  </w:r>
                </w:p>
              </w:tc>
              <w:tc>
                <w:tcPr>
                  <w:tcW w:w="206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12.5-12.6</w:t>
                  </w:r>
                </w:p>
              </w:tc>
              <w:tc>
                <w:tcPr>
                  <w:tcW w:w="205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宋体" w:hAnsi="宋体" w:eastAsia="宋体" w:cs="宋体"/>
                      <w:sz w:val="24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2.2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设计单元测试用例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12.1-12.2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太靖文，周峰，杨亘，秦梁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2.3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完成对后端登录注册、用户班级、课程、作业等功能部分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单元测试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12.3-12.7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周峰，杨亘，秦梁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2.3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生成单元测试报告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12.8-12.9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太靖文，周峰，杨亘，秦梁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5.1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进行功能测试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12.1-12.7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5.2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进行界面测试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12.8-12.9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5.3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进行性能测试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12.10-12.14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5.4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进行易用性测试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12.15-12.16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5.5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进行部署测试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12.17-12.18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5.6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进行可靠性测试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12.19-12.20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5.7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系统测试用例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12.19-12.20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周峰，杨亘，秦梁</w:t>
                  </w:r>
                  <w:r>
                    <w:rPr>
                      <w:rFonts w:hint="eastAsia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刘兆翰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复习期末考试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2.27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期末考试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12.28-12.30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6.1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编写系统测试报告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2.31-1.8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太靖文，杨亘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6" w:hRule="atLeast"/>
              </w:trPr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6.2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迭代评估报告编写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2.31-1.8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周峰，刘兆翰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6" w:hRule="atLeast"/>
              </w:trPr>
              <w:tc>
                <w:tcPr>
                  <w:tcW w:w="81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6.3</w:t>
                  </w:r>
                </w:p>
              </w:tc>
              <w:tc>
                <w:tcPr>
                  <w:tcW w:w="3429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项目总结报告编写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2.31-1.8</w:t>
                  </w:r>
                </w:p>
              </w:tc>
              <w:tc>
                <w:tcPr>
                  <w:tcW w:w="205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周峰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文档：多版本迭代计划、项目总结报告、迭代评估报告、单元测试报告、系统测试报告。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模型：完整的学易-云作业平台总模型，包括所有用例的用例实现。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源代码：前端所有页面的源代码，后端多个微服务以及注册中心、网关等源代码、前后端性能测试的代码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szCs w:val="21"/>
              </w:rPr>
              <w:t>1.</w:t>
            </w:r>
            <w:r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szCs w:val="21"/>
              </w:rPr>
              <w:t>spring cloud</w:t>
            </w:r>
            <w:r>
              <w:rPr>
                <w:rFonts w:hint="eastAsia"/>
                <w:szCs w:val="21"/>
              </w:rPr>
              <w:t>相关的一系列工具管理微服务，提升速度；采用分页p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>
            <w:pPr>
              <w:snapToGrid w:val="0"/>
              <w:rPr>
                <w:szCs w:val="21"/>
              </w:rPr>
            </w:pPr>
          </w:p>
          <w:p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.服务器使用时可能因为各种各样的原因出现崩溃、无法连接、内存爆满、C</w:t>
            </w:r>
            <w:r>
              <w:rPr>
                <w:b/>
                <w:szCs w:val="21"/>
              </w:rPr>
              <w:t>PU</w:t>
            </w:r>
            <w:r>
              <w:rPr>
                <w:rFonts w:hint="eastAsia"/>
                <w:b/>
                <w:szCs w:val="21"/>
              </w:rPr>
              <w:t>占用率过高等状况，导致所有工作无法继续测试运行</w:t>
            </w:r>
          </w:p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解决方案：在安排计划时预留出足够的时间，把修复服务器问题花费的时间计算在内；保持本地环境配置准确无误再到服务器上进行部署；利用安全组放行指定i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，使用强密码，更换默认端口等措施防止服务器被木马侵入（之前出现过被来自荷兰的挖矿病毒侵入的惨痛经历）。记下环境配置的步骤，积累经验，实在出现无法解决的问题时快速进行服务器重装。</w:t>
            </w:r>
          </w:p>
          <w:p>
            <w:pPr>
              <w:adjustRightInd w:val="0"/>
              <w:snapToGrid w:val="0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.架构返工：上一个迭代的技术架构存在缺陷和不完善，存在潜在的风险。</w:t>
            </w:r>
          </w:p>
          <w:p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解决方案：对架构进行补充和扩容，包括细粒度微服务，进一步分库分表，增加熔断预警机制等等。</w:t>
            </w:r>
          </w:p>
          <w:p>
            <w:pPr>
              <w:adjustRightInd w:val="0"/>
              <w:snapToGrid w:val="0"/>
              <w:rPr>
                <w:szCs w:val="21"/>
              </w:rPr>
            </w:pPr>
          </w:p>
          <w:p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4.</w:t>
            </w:r>
            <w:r>
              <w:rPr>
                <w:rFonts w:hint="eastAsia"/>
                <w:b/>
                <w:szCs w:val="21"/>
              </w:rPr>
              <w:t>时间风险：小组成员对系统测试，单元测试的工具和流程并不熟悉，是否能在规定时间内完成对云作业平台的测试，编写合格的系统测试报告。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天为单位分发布置任务，并实施督促。每周选定一天在学校内的小组自习室讨论，同步进度并进行互相评审。提前学习性能测试的工具j</w:t>
            </w:r>
            <w:r>
              <w:rPr>
                <w:szCs w:val="21"/>
              </w:rPr>
              <w:t>meter</w:t>
            </w:r>
            <w:r>
              <w:rPr>
                <w:rFonts w:hint="eastAsia"/>
                <w:szCs w:val="21"/>
              </w:rPr>
              <w:t>等，保证任务布置时所有成员能快速上手。</w:t>
            </w:r>
          </w:p>
          <w:p>
            <w:pPr>
              <w:adjustRightInd w:val="0"/>
              <w:snapToGrid w:val="0"/>
              <w:rPr>
                <w:szCs w:val="21"/>
              </w:rPr>
            </w:pPr>
          </w:p>
          <w:p>
            <w:pPr>
              <w:adjustRightInd w:val="0"/>
              <w:snapToGrid w:val="0"/>
              <w:rPr>
                <w:szCs w:val="21"/>
              </w:rPr>
            </w:pPr>
          </w:p>
          <w:p>
            <w:pPr>
              <w:adjustRightInd w:val="0"/>
              <w:snapToGrid w:val="0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51821"/>
    <w:rsid w:val="0005195C"/>
    <w:rsid w:val="00063642"/>
    <w:rsid w:val="00077B90"/>
    <w:rsid w:val="000829DA"/>
    <w:rsid w:val="000921D3"/>
    <w:rsid w:val="00095B8A"/>
    <w:rsid w:val="000A1418"/>
    <w:rsid w:val="000A7468"/>
    <w:rsid w:val="000B2A00"/>
    <w:rsid w:val="000B3BEA"/>
    <w:rsid w:val="000B43D1"/>
    <w:rsid w:val="000B546F"/>
    <w:rsid w:val="000B718C"/>
    <w:rsid w:val="000C16E3"/>
    <w:rsid w:val="000E0E5E"/>
    <w:rsid w:val="000E7158"/>
    <w:rsid w:val="00105513"/>
    <w:rsid w:val="00125024"/>
    <w:rsid w:val="00144D5F"/>
    <w:rsid w:val="00150035"/>
    <w:rsid w:val="0019574A"/>
    <w:rsid w:val="00196D19"/>
    <w:rsid w:val="001A2DDD"/>
    <w:rsid w:val="001A6C53"/>
    <w:rsid w:val="001B4A36"/>
    <w:rsid w:val="001C3FE8"/>
    <w:rsid w:val="001D1FF4"/>
    <w:rsid w:val="001D2923"/>
    <w:rsid w:val="001E3F18"/>
    <w:rsid w:val="001F295C"/>
    <w:rsid w:val="00226358"/>
    <w:rsid w:val="00227584"/>
    <w:rsid w:val="00227979"/>
    <w:rsid w:val="00240DDD"/>
    <w:rsid w:val="002457A7"/>
    <w:rsid w:val="002459B0"/>
    <w:rsid w:val="002505B0"/>
    <w:rsid w:val="002525E4"/>
    <w:rsid w:val="00253D57"/>
    <w:rsid w:val="00254D19"/>
    <w:rsid w:val="00257A2F"/>
    <w:rsid w:val="00261B0B"/>
    <w:rsid w:val="00264ED8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00262"/>
    <w:rsid w:val="003158F7"/>
    <w:rsid w:val="00357E7F"/>
    <w:rsid w:val="0036145C"/>
    <w:rsid w:val="003701EC"/>
    <w:rsid w:val="00372356"/>
    <w:rsid w:val="0038763E"/>
    <w:rsid w:val="00387AD5"/>
    <w:rsid w:val="0039754F"/>
    <w:rsid w:val="003A0AEE"/>
    <w:rsid w:val="003A2961"/>
    <w:rsid w:val="003A37AD"/>
    <w:rsid w:val="003D5B35"/>
    <w:rsid w:val="003E1389"/>
    <w:rsid w:val="003E5C83"/>
    <w:rsid w:val="003F0412"/>
    <w:rsid w:val="003F05C8"/>
    <w:rsid w:val="0040050E"/>
    <w:rsid w:val="00403E50"/>
    <w:rsid w:val="00404664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2BF4"/>
    <w:rsid w:val="004A37BB"/>
    <w:rsid w:val="004C6F0B"/>
    <w:rsid w:val="004D21BE"/>
    <w:rsid w:val="004D5A7F"/>
    <w:rsid w:val="004F6009"/>
    <w:rsid w:val="0050613A"/>
    <w:rsid w:val="00517FCE"/>
    <w:rsid w:val="00525629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C4A1A"/>
    <w:rsid w:val="005F66E9"/>
    <w:rsid w:val="00601D25"/>
    <w:rsid w:val="00605780"/>
    <w:rsid w:val="00621F13"/>
    <w:rsid w:val="0064141B"/>
    <w:rsid w:val="00641FCA"/>
    <w:rsid w:val="00644329"/>
    <w:rsid w:val="00696469"/>
    <w:rsid w:val="006A50B4"/>
    <w:rsid w:val="006B4848"/>
    <w:rsid w:val="006C45B1"/>
    <w:rsid w:val="006E2665"/>
    <w:rsid w:val="006F303E"/>
    <w:rsid w:val="006F4261"/>
    <w:rsid w:val="006F4315"/>
    <w:rsid w:val="006F529F"/>
    <w:rsid w:val="00707A63"/>
    <w:rsid w:val="007110D3"/>
    <w:rsid w:val="007546DC"/>
    <w:rsid w:val="00754FB5"/>
    <w:rsid w:val="007966AC"/>
    <w:rsid w:val="007A2CE5"/>
    <w:rsid w:val="007B7499"/>
    <w:rsid w:val="007D71A7"/>
    <w:rsid w:val="007E6CF8"/>
    <w:rsid w:val="007F652E"/>
    <w:rsid w:val="0080779B"/>
    <w:rsid w:val="00822A2D"/>
    <w:rsid w:val="00825B52"/>
    <w:rsid w:val="00837D4B"/>
    <w:rsid w:val="00840E80"/>
    <w:rsid w:val="00852C1F"/>
    <w:rsid w:val="0088650D"/>
    <w:rsid w:val="00891081"/>
    <w:rsid w:val="00892D72"/>
    <w:rsid w:val="008A099E"/>
    <w:rsid w:val="008B2660"/>
    <w:rsid w:val="008B5F9C"/>
    <w:rsid w:val="008B7622"/>
    <w:rsid w:val="008E1851"/>
    <w:rsid w:val="008E54F9"/>
    <w:rsid w:val="008E75C4"/>
    <w:rsid w:val="0090676A"/>
    <w:rsid w:val="0091585C"/>
    <w:rsid w:val="00941ADB"/>
    <w:rsid w:val="0094445A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250"/>
    <w:rsid w:val="00A46E7B"/>
    <w:rsid w:val="00A510B5"/>
    <w:rsid w:val="00A81036"/>
    <w:rsid w:val="00A822DC"/>
    <w:rsid w:val="00AA0EC6"/>
    <w:rsid w:val="00AC04CA"/>
    <w:rsid w:val="00AC6031"/>
    <w:rsid w:val="00AD448B"/>
    <w:rsid w:val="00AD765B"/>
    <w:rsid w:val="00AE3900"/>
    <w:rsid w:val="00AE6348"/>
    <w:rsid w:val="00AF1DBA"/>
    <w:rsid w:val="00B02A8E"/>
    <w:rsid w:val="00B04CE8"/>
    <w:rsid w:val="00B07B7F"/>
    <w:rsid w:val="00B16DB3"/>
    <w:rsid w:val="00B31DAF"/>
    <w:rsid w:val="00B535F5"/>
    <w:rsid w:val="00B53E48"/>
    <w:rsid w:val="00B63C6F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7715D"/>
    <w:rsid w:val="00C83F59"/>
    <w:rsid w:val="00CB5306"/>
    <w:rsid w:val="00CC015D"/>
    <w:rsid w:val="00CC154A"/>
    <w:rsid w:val="00CD5A89"/>
    <w:rsid w:val="00CD7046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607D"/>
    <w:rsid w:val="00DA2DD9"/>
    <w:rsid w:val="00DA4923"/>
    <w:rsid w:val="00DB22CD"/>
    <w:rsid w:val="00DB52C2"/>
    <w:rsid w:val="00DC265F"/>
    <w:rsid w:val="00DE7071"/>
    <w:rsid w:val="00DE7CBF"/>
    <w:rsid w:val="00DF197C"/>
    <w:rsid w:val="00DF7B55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20566"/>
    <w:rsid w:val="00F21484"/>
    <w:rsid w:val="00F62617"/>
    <w:rsid w:val="00F640B2"/>
    <w:rsid w:val="00F64CD7"/>
    <w:rsid w:val="00F83704"/>
    <w:rsid w:val="00F92631"/>
    <w:rsid w:val="00F97C60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434F3812"/>
    <w:rsid w:val="62D04A8F"/>
    <w:rsid w:val="68A41308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207</Words>
  <Characters>1184</Characters>
  <Lines>9</Lines>
  <Paragraphs>2</Paragraphs>
  <TotalTime>3</TotalTime>
  <ScaleCrop>false</ScaleCrop>
  <LinksUpToDate>false</LinksUpToDate>
  <CharactersWithSpaces>1389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TJW</cp:lastModifiedBy>
  <dcterms:modified xsi:type="dcterms:W3CDTF">2021-01-05T10:41:12Z</dcterms:modified>
  <dc:title>周活动总结表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