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F344D">
      <w:pPr>
        <w:jc w:val="center"/>
        <w:rPr>
          <w:rFonts w:ascii="黑体" w:hAnsi="黑体" w:eastAsia="黑体"/>
          <w:sz w:val="28"/>
          <w:szCs w:val="32"/>
        </w:rPr>
      </w:pPr>
      <w:r>
        <w:rPr>
          <w:rFonts w:hint="eastAsia" w:ascii="黑体" w:hAnsi="黑体" w:eastAsia="黑体"/>
          <w:sz w:val="28"/>
          <w:szCs w:val="32"/>
        </w:rPr>
        <w:t>下一代互联网课程论文讨论列表</w:t>
      </w:r>
    </w:p>
    <w:p w14:paraId="226632FC"/>
    <w:p w14:paraId="45BEAC30">
      <w:pPr>
        <w:pStyle w:val="10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互联网体系结构</w:t>
      </w:r>
    </w:p>
    <w:p w14:paraId="3EE08195">
      <w:pPr>
        <w:pStyle w:val="10"/>
        <w:numPr>
          <w:ilvl w:val="1"/>
          <w:numId w:val="1"/>
        </w:numPr>
        <w:ind w:firstLineChars="0"/>
      </w:pPr>
      <w:r>
        <w:t>[SIGCOMM 2019] Enabling a Permanent Revolution in Internet Architecture.</w:t>
      </w:r>
    </w:p>
    <w:p w14:paraId="45D80A4B">
      <w:pPr>
        <w:pStyle w:val="10"/>
        <w:numPr>
          <w:ilvl w:val="1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SIGCOMM CCR 2019] Democratizing the Network Edge.</w:t>
      </w:r>
    </w:p>
    <w:p w14:paraId="73EA7D15">
      <w:pPr>
        <w:pStyle w:val="10"/>
        <w:numPr>
          <w:ilvl w:val="1"/>
          <w:numId w:val="1"/>
        </w:numPr>
        <w:ind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SIGCOMM 1988] The design philosophy of the DARPA Internet protocols</w:t>
      </w:r>
    </w:p>
    <w:p w14:paraId="34131FD2">
      <w:pPr>
        <w:rPr>
          <w:color w:val="0432FF"/>
        </w:rPr>
      </w:pPr>
    </w:p>
    <w:p w14:paraId="6E7C08E9">
      <w:pPr>
        <w:pStyle w:val="10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</w:rPr>
        <w:t>IPv6安全及隐</w:t>
      </w:r>
      <w:bookmarkStart w:id="0" w:name="_GoBack"/>
      <w:bookmarkEnd w:id="0"/>
      <w:r>
        <w:rPr>
          <w:b/>
          <w:bCs/>
        </w:rPr>
        <w:t>私</w:t>
      </w:r>
    </w:p>
    <w:p w14:paraId="52FF857E">
      <w:pPr>
        <w:pStyle w:val="10"/>
        <w:numPr>
          <w:ilvl w:val="1"/>
          <w:numId w:val="1"/>
        </w:numPr>
        <w:ind w:firstLineChars="0"/>
      </w:pPr>
      <w:r>
        <w:t xml:space="preserve">[USENIX Security 2021] SiamHAN: IPv6 Address Correlation Attacks on TLS Encrypted Traffic via Siamese Heterogeneous Graph Attention Network. </w:t>
      </w:r>
    </w:p>
    <w:p w14:paraId="4EFF878F">
      <w:pPr>
        <w:pStyle w:val="10"/>
        <w:numPr>
          <w:ilvl w:val="1"/>
          <w:numId w:val="1"/>
        </w:numPr>
        <w:ind w:firstLineChars="0"/>
      </w:pPr>
      <w:r>
        <w:t xml:space="preserve">[S&amp;P 2021] Cross Layer Attacks and How to Use Them (for DNS Cache Poisoning, Device Tracking and More). </w:t>
      </w:r>
    </w:p>
    <w:p w14:paraId="567D7C6D">
      <w:pPr>
        <w:pStyle w:val="10"/>
        <w:numPr>
          <w:ilvl w:val="1"/>
          <w:numId w:val="1"/>
        </w:numPr>
        <w:ind w:firstLineChars="0"/>
      </w:pPr>
      <w:r>
        <w:t xml:space="preserve">[IMC 2021] Follow the scent: defeating IPv6 prefix rotation privacy. </w:t>
      </w:r>
    </w:p>
    <w:p w14:paraId="15D881BB">
      <w:pPr>
        <w:pStyle w:val="10"/>
        <w:numPr>
          <w:ilvl w:val="1"/>
          <w:numId w:val="1"/>
        </w:numPr>
        <w:ind w:firstLineChars="0"/>
      </w:pPr>
      <w:r>
        <w:t xml:space="preserve">[PAM 2021] NATting Else Matters: Evaluating IPv6 Access Control Policies in Residential Networks. </w:t>
      </w:r>
    </w:p>
    <w:p w14:paraId="0D299EAA">
      <w:pPr>
        <w:pStyle w:val="10"/>
        <w:numPr>
          <w:ilvl w:val="1"/>
          <w:numId w:val="1"/>
        </w:numPr>
        <w:ind w:firstLineChars="0"/>
      </w:pPr>
      <w:r>
        <w:t xml:space="preserve">[S&amp;P 2020] Flaw Label: Exploiting IPv6 Flow Label. </w:t>
      </w:r>
    </w:p>
    <w:p w14:paraId="7653DE75">
      <w:pPr>
        <w:pStyle w:val="10"/>
        <w:numPr>
          <w:ilvl w:val="1"/>
          <w:numId w:val="1"/>
        </w:numPr>
        <w:ind w:firstLineChars="0"/>
      </w:pPr>
      <w:r>
        <w:t>[S&amp;P 2022] Deployment of Source Address Validation by Network Operators: A Randomized Control Trial</w:t>
      </w:r>
    </w:p>
    <w:p w14:paraId="19802530">
      <w:pPr>
        <w:pStyle w:val="10"/>
        <w:numPr>
          <w:ilvl w:val="1"/>
          <w:numId w:val="1"/>
        </w:numPr>
        <w:ind w:firstLineChars="0"/>
      </w:pPr>
      <w:r>
        <w:t>[CCS 2019] Network Hygiene, Incentives, and Regulation: Deployment of Source Address Validation in the Internet.</w:t>
      </w:r>
    </w:p>
    <w:p w14:paraId="112FEAEA">
      <w:pPr>
        <w:pStyle w:val="10"/>
        <w:ind w:left="840" w:firstLine="0" w:firstLineChars="0"/>
      </w:pPr>
    </w:p>
    <w:p w14:paraId="7D8541B5">
      <w:pPr>
        <w:pStyle w:val="10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路由安全</w:t>
      </w:r>
    </w:p>
    <w:p w14:paraId="0E5E8EF8">
      <w:pPr>
        <w:pStyle w:val="10"/>
        <w:numPr>
          <w:ilvl w:val="1"/>
          <w:numId w:val="1"/>
        </w:numPr>
        <w:ind w:firstLineChars="0"/>
      </w:pPr>
      <w:r>
        <w:t>[NDSS 2022] ROV-MI: Large-Scale, Accurate and Efficient Measurement of ROV Deployment</w:t>
      </w:r>
    </w:p>
    <w:p w14:paraId="713A0E6C">
      <w:pPr>
        <w:pStyle w:val="10"/>
        <w:numPr>
          <w:ilvl w:val="1"/>
          <w:numId w:val="1"/>
        </w:numPr>
        <w:ind w:firstLineChars="0"/>
      </w:pPr>
      <w:r>
        <w:t>[NDSS 2021] Flexsealing BGP Against Route Leaks: Peerlock Active Measurement and Analysis</w:t>
      </w:r>
    </w:p>
    <w:p w14:paraId="5B482BF6">
      <w:pPr>
        <w:pStyle w:val="10"/>
        <w:numPr>
          <w:ilvl w:val="1"/>
          <w:numId w:val="1"/>
        </w:numPr>
        <w:ind w:firstLineChars="0"/>
      </w:pPr>
      <w:r>
        <w:t>[NDSS 2021] ROV++: Improved Deployable Defense against BGP Hijacking</w:t>
      </w:r>
    </w:p>
    <w:p w14:paraId="1D11FBE4">
      <w:pPr>
        <w:pStyle w:val="10"/>
        <w:numPr>
          <w:ilvl w:val="1"/>
          <w:numId w:val="1"/>
        </w:numPr>
        <w:ind w:firstLineChars="0"/>
      </w:pPr>
      <w:r>
        <w:t>[NDSS 2020] Withdrawing the BGP Re-Routing Curtain: Understanding the Security Impact of BGP Poisoning via Real-World Measurements</w:t>
      </w:r>
    </w:p>
    <w:p w14:paraId="673004AA">
      <w:pPr>
        <w:pStyle w:val="10"/>
        <w:numPr>
          <w:ilvl w:val="1"/>
          <w:numId w:val="1"/>
        </w:numPr>
        <w:ind w:firstLineChars="0"/>
      </w:pPr>
      <w:r>
        <w:rPr>
          <w:rFonts w:hint="eastAsia"/>
        </w:rPr>
        <w:t>[</w:t>
      </w:r>
      <w:r>
        <w:t>CCS 2019] SICO: Surgical Interception Attacks by Manipulating BGP Communities</w:t>
      </w:r>
    </w:p>
    <w:p w14:paraId="54718F21">
      <w:pPr>
        <w:pStyle w:val="10"/>
        <w:numPr>
          <w:ilvl w:val="1"/>
          <w:numId w:val="1"/>
        </w:numPr>
        <w:ind w:firstLineChars="0"/>
      </w:pPr>
      <w:r>
        <w:t>[IMC 2019] Profiling BGP Serial Hijackers: Capturing Persistent Misbehavior in the Global Routing Table</w:t>
      </w:r>
    </w:p>
    <w:p w14:paraId="0ECF06F6">
      <w:pPr>
        <w:pStyle w:val="10"/>
        <w:numPr>
          <w:ilvl w:val="1"/>
          <w:numId w:val="1"/>
        </w:numPr>
        <w:ind w:firstLineChars="0"/>
      </w:pPr>
      <w:r>
        <w:t>[S&amp;P 2018] Routing Around Congestion (Defeating DDoS Attacks and Adverse Network Conditions via Reactive BGP Routing)</w:t>
      </w:r>
    </w:p>
    <w:p w14:paraId="0353760D"/>
    <w:p w14:paraId="75D86F09">
      <w:pPr>
        <w:pStyle w:val="10"/>
        <w:numPr>
          <w:ilvl w:val="0"/>
          <w:numId w:val="1"/>
        </w:numPr>
        <w:ind w:firstLineChars="0"/>
        <w:rPr>
          <w:b/>
          <w:bCs/>
        </w:rPr>
      </w:pPr>
      <w:r>
        <w:rPr>
          <w:b/>
          <w:bCs/>
        </w:rPr>
        <w:t>传输</w:t>
      </w:r>
      <w:r>
        <w:rPr>
          <w:rFonts w:hint="eastAsia"/>
          <w:b/>
          <w:bCs/>
        </w:rPr>
        <w:t>协议与安全</w:t>
      </w:r>
    </w:p>
    <w:p w14:paraId="7E60534B">
      <w:pPr>
        <w:pStyle w:val="10"/>
        <w:numPr>
          <w:ilvl w:val="1"/>
          <w:numId w:val="1"/>
        </w:numPr>
        <w:ind w:left="420" w:leftChars="200" w:firstLine="0" w:firstLineChars="0"/>
      </w:pPr>
      <w:r>
        <w:t xml:space="preserve">[Queue 2016] BBR: congestion-based congestion control </w:t>
      </w:r>
    </w:p>
    <w:p w14:paraId="7EF724C4">
      <w:pPr>
        <w:pStyle w:val="10"/>
        <w:numPr>
          <w:ilvl w:val="1"/>
          <w:numId w:val="1"/>
        </w:numPr>
        <w:ind w:left="420" w:leftChars="200" w:firstLine="0" w:firstLineChars="0"/>
      </w:pPr>
      <w:r>
        <w:rPr>
          <w:rFonts w:hint="default"/>
          <w:lang w:val="en-US"/>
        </w:rPr>
        <w:t>[SIGCOMM</w:t>
      </w:r>
      <w:r>
        <w:t xml:space="preserve"> </w:t>
      </w:r>
      <w:r>
        <w:rPr>
          <w:rFonts w:hint="default"/>
          <w:lang w:val="en-US"/>
        </w:rPr>
        <w:t>2015]</w:t>
      </w:r>
      <w:r>
        <w:t xml:space="preserve"> </w:t>
      </w:r>
      <w:r>
        <w:rPr>
          <w:rFonts w:hint="eastAsia"/>
        </w:rPr>
        <w:t>Congestion Control for Large-Scale RDMA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Deployments</w:t>
      </w:r>
    </w:p>
    <w:p w14:paraId="34982E08">
      <w:pPr>
        <w:pStyle w:val="10"/>
        <w:numPr>
          <w:ilvl w:val="1"/>
          <w:numId w:val="1"/>
        </w:numPr>
        <w:ind w:left="420" w:leftChars="200" w:firstLine="0" w:firstLineChars="0"/>
      </w:pPr>
      <w:r>
        <w:t>[NSDI 2023] Bolt: Sub-RTT Congestion Control for Ultra-Low Latency</w:t>
      </w:r>
    </w:p>
    <w:p w14:paraId="47C278C2">
      <w:pPr>
        <w:pStyle w:val="10"/>
        <w:numPr>
          <w:ilvl w:val="1"/>
          <w:numId w:val="1"/>
        </w:numPr>
        <w:ind w:left="420" w:leftChars="200" w:firstLine="0" w:firstLineChars="0"/>
      </w:pPr>
      <w:r>
        <w:rPr>
          <w:rFonts w:hint="eastAsia"/>
        </w:rPr>
        <w:t>[NDSS</w:t>
      </w:r>
      <w:r>
        <w:rPr>
          <w:rFonts w:hint="default"/>
          <w:lang w:val="en-US"/>
        </w:rPr>
        <w:t xml:space="preserve"> </w:t>
      </w:r>
      <w:r>
        <w:rPr>
          <w:rFonts w:hint="eastAsia"/>
        </w:rPr>
        <w:t>20</w:t>
      </w:r>
      <w:r>
        <w:rPr>
          <w:rFonts w:hint="default"/>
          <w:lang w:val="en-US"/>
        </w:rPr>
        <w:t>18</w:t>
      </w:r>
      <w:r>
        <w:rPr>
          <w:rFonts w:hint="eastAsia"/>
        </w:rPr>
        <w:t>]</w:t>
      </w:r>
      <w:r>
        <w:rPr>
          <w:rFonts w:hint="default"/>
          <w:lang w:val="en-US"/>
        </w:rPr>
        <w:t xml:space="preserve"> Automated Attack Discovery in TCP Congestion Control Using a Model-guided Approach</w:t>
      </w:r>
    </w:p>
    <w:p w14:paraId="13971D4F">
      <w:pPr>
        <w:pStyle w:val="10"/>
        <w:numPr>
          <w:ilvl w:val="1"/>
          <w:numId w:val="1"/>
        </w:numPr>
        <w:ind w:left="420" w:leftChars="200" w:firstLine="0" w:firstLineChars="0"/>
      </w:pPr>
      <w:r>
        <w:t xml:space="preserve">[SIGCOMM 2017] The QUIC Transport Protocol: Design and Internet-Scale Deployment </w:t>
      </w:r>
    </w:p>
    <w:p w14:paraId="02DACB54">
      <w:pPr>
        <w:pStyle w:val="10"/>
        <w:numPr>
          <w:ilvl w:val="1"/>
          <w:numId w:val="1"/>
        </w:numPr>
        <w:ind w:firstLineChars="0"/>
      </w:pPr>
      <w:r>
        <w:t>[SIGCOMM 2021] XLINK: QoE-Driven Multi-Path QUIC Transport in Large-scale Video Services</w:t>
      </w:r>
    </w:p>
    <w:p w14:paraId="47F63E2D">
      <w:pPr>
        <w:pStyle w:val="10"/>
        <w:numPr>
          <w:ilvl w:val="1"/>
          <w:numId w:val="1"/>
        </w:numPr>
        <w:ind w:firstLineChars="0"/>
      </w:pPr>
      <w:r>
        <w:t>[NDSS 2023] QUICforge: client-side Request Forgery in QUIC.</w:t>
      </w:r>
    </w:p>
    <w:p w14:paraId="3C35EB57">
      <w:pPr>
        <w:pStyle w:val="10"/>
        <w:numPr>
          <w:ilvl w:val="-1"/>
          <w:numId w:val="0"/>
        </w:numPr>
        <w:ind w:left="0" w:firstLine="0" w:firstLineChars="0"/>
      </w:pPr>
    </w:p>
    <w:p w14:paraId="2F821154">
      <w:pPr>
        <w:rPr>
          <w:b/>
          <w:bCs/>
        </w:rPr>
      </w:pPr>
    </w:p>
    <w:p w14:paraId="07C4E56F">
      <w:pPr>
        <w:rPr>
          <w:b/>
          <w:bCs/>
        </w:rPr>
      </w:pPr>
    </w:p>
    <w:p w14:paraId="6E6680C2">
      <w:pPr>
        <w:pStyle w:val="10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流媒体传输</w:t>
      </w:r>
    </w:p>
    <w:p w14:paraId="2023486A">
      <w:pPr>
        <w:pStyle w:val="10"/>
        <w:numPr>
          <w:ilvl w:val="0"/>
          <w:numId w:val="2"/>
        </w:numPr>
        <w:ind w:left="420" w:firstLine="0" w:firstLineChars="0"/>
      </w:pPr>
      <w:r>
        <w:t>[SIGCOMM 2015] A Control-Theoretic Approach for Dynamic Adaptive Video Streaming over HTTP</w:t>
      </w:r>
    </w:p>
    <w:p w14:paraId="2F0ADBB8">
      <w:pPr>
        <w:pStyle w:val="10"/>
        <w:numPr>
          <w:ilvl w:val="0"/>
          <w:numId w:val="2"/>
        </w:numPr>
        <w:ind w:left="420" w:firstLine="0" w:firstLineChars="0"/>
      </w:pPr>
      <w:r>
        <w:rPr>
          <w:rFonts w:hint="default"/>
          <w:lang w:val="en-US"/>
        </w:rPr>
        <w:t xml:space="preserve">[INFOCOMM 2016] </w:t>
      </w:r>
      <w:r>
        <w:rPr>
          <w:rFonts w:hint="eastAsia"/>
        </w:rPr>
        <w:t>BOLA: Near-Optimal Bitrate Adaptation for Online Videos</w:t>
      </w:r>
    </w:p>
    <w:p w14:paraId="18BADB12">
      <w:pPr>
        <w:pStyle w:val="10"/>
        <w:numPr>
          <w:ilvl w:val="0"/>
          <w:numId w:val="2"/>
        </w:numPr>
        <w:ind w:left="420" w:firstLine="0" w:firstLineChars="0"/>
      </w:pPr>
      <w:r>
        <w:t>[NSDI 2023] Tambur: Efficient loss recovery for videoconferencing via streaming codes</w:t>
      </w:r>
    </w:p>
    <w:p w14:paraId="24D5FFEE">
      <w:pPr>
        <w:pStyle w:val="10"/>
        <w:numPr>
          <w:ilvl w:val="0"/>
          <w:numId w:val="2"/>
        </w:numPr>
        <w:ind w:left="420" w:leftChars="0" w:firstLine="0" w:firstLineChars="0"/>
      </w:pPr>
      <w:r>
        <w:t>[NSDI 2023] Dashlet: Taming Swipe Uncertainty for Robust Short Video Streaming</w:t>
      </w:r>
    </w:p>
    <w:p w14:paraId="5E60260C">
      <w:pPr>
        <w:pStyle w:val="10"/>
        <w:numPr>
          <w:ilvl w:val="0"/>
          <w:numId w:val="2"/>
        </w:numPr>
        <w:ind w:left="420" w:leftChars="0" w:firstLine="0" w:firstLineChars="0"/>
      </w:pPr>
      <w:r>
        <w:rPr>
          <w:rFonts w:hint="default"/>
          <w:lang w:val="en-US"/>
        </w:rPr>
        <w:t xml:space="preserve">[NSDI 2024] </w:t>
      </w:r>
      <w:r>
        <w:rPr>
          <w:rFonts w:hint="eastAsia"/>
        </w:rPr>
        <w:t>AUGUR: Practical Mobile Multipath Transport Service for Low Tail Latency in Real-Time Streaming</w:t>
      </w:r>
    </w:p>
    <w:p w14:paraId="32E9DF93">
      <w:pPr>
        <w:pStyle w:val="10"/>
        <w:numPr>
          <w:ilvl w:val="0"/>
          <w:numId w:val="2"/>
        </w:numPr>
        <w:ind w:left="420" w:leftChars="0" w:firstLine="0" w:firstLineChars="0"/>
      </w:pPr>
      <w:r>
        <w:t>[</w:t>
      </w:r>
      <w:r>
        <w:rPr>
          <w:rFonts w:hint="default"/>
          <w:lang w:val="en-US"/>
        </w:rPr>
        <w:t>NSDI 2024</w:t>
      </w:r>
      <w:r>
        <w:t xml:space="preserve">] </w:t>
      </w:r>
      <w:r>
        <w:rPr>
          <w:rFonts w:hint="eastAsia"/>
        </w:rPr>
        <w:t>Hairpin: Rethinking Packet Loss Recovery in Edge-based Interactive Video Streaming</w:t>
      </w:r>
    </w:p>
    <w:p w14:paraId="39633C7F">
      <w:pPr>
        <w:pStyle w:val="10"/>
        <w:numPr>
          <w:ilvl w:val="0"/>
          <w:numId w:val="0"/>
        </w:numPr>
        <w:ind w:firstLineChars="0"/>
      </w:pPr>
    </w:p>
    <w:p w14:paraId="01E01388">
      <w:pPr>
        <w:pStyle w:val="10"/>
        <w:numPr>
          <w:ilvl w:val="0"/>
          <w:numId w:val="1"/>
        </w:numPr>
        <w:ind w:left="0" w:leftChars="0" w:firstLine="0" w:firstLineChars="0"/>
      </w:pPr>
      <w:r>
        <w:rPr>
          <w:rFonts w:hint="eastAsia"/>
          <w:b/>
          <w:bCs/>
        </w:rPr>
        <w:t>机器学习与网络</w:t>
      </w:r>
    </w:p>
    <w:p w14:paraId="7E6A7263">
      <w:pPr>
        <w:pStyle w:val="10"/>
        <w:numPr>
          <w:ilvl w:val="0"/>
          <w:numId w:val="3"/>
        </w:numPr>
        <w:ind w:left="780" w:firstLineChars="0"/>
      </w:pPr>
      <w:r>
        <w:t>[NSDI 2020] Learning in situ: a randomized experiment in video streaming</w:t>
      </w:r>
    </w:p>
    <w:p w14:paraId="44416DE7">
      <w:pPr>
        <w:pStyle w:val="10"/>
        <w:numPr>
          <w:ilvl w:val="0"/>
          <w:numId w:val="3"/>
        </w:numPr>
        <w:ind w:left="780" w:firstLineChars="0"/>
      </w:pPr>
      <w:r>
        <w:rPr>
          <w:rFonts w:hint="default"/>
          <w:lang w:val="en-US"/>
        </w:rPr>
        <w:t>[SI</w:t>
      </w:r>
      <w:r>
        <w:t>GCOMM 2020] Classic Meets Modern: a Pragmatic Learning-Based Congestion Control for the Internet </w:t>
      </w:r>
    </w:p>
    <w:p w14:paraId="54B33141">
      <w:pPr>
        <w:pStyle w:val="10"/>
        <w:numPr>
          <w:ilvl w:val="0"/>
          <w:numId w:val="3"/>
        </w:numPr>
        <w:ind w:left="780" w:firstLineChars="0"/>
      </w:pPr>
      <w:r>
        <w:t>[NSDI 2021] On the Use of ML for Blackbox System Performance Prediction</w:t>
      </w:r>
    </w:p>
    <w:p w14:paraId="021A7F66">
      <w:pPr>
        <w:pStyle w:val="10"/>
        <w:numPr>
          <w:ilvl w:val="0"/>
          <w:numId w:val="3"/>
        </w:numPr>
        <w:ind w:left="780" w:firstLineChars="0"/>
      </w:pPr>
      <w:r>
        <w:t>[NSDI 2023] On Modular Learning of Distributed Systems for Predicting End-to-End Latency</w:t>
      </w:r>
    </w:p>
    <w:p w14:paraId="3FC2EDAF">
      <w:pPr>
        <w:pStyle w:val="10"/>
        <w:numPr>
          <w:ilvl w:val="0"/>
          <w:numId w:val="3"/>
        </w:numPr>
        <w:ind w:left="780" w:firstLineChars="0"/>
      </w:pPr>
      <w:r>
        <w:rPr>
          <w:rFonts w:hint="default"/>
          <w:lang w:val="en-US"/>
        </w:rPr>
        <w:t>[NSDI 2024] Leo: Online ML-based Traffic Classification at Multi-Terabit Line Rate</w:t>
      </w:r>
    </w:p>
    <w:p w14:paraId="2D7BA2B0">
      <w:pPr>
        <w:pStyle w:val="10"/>
        <w:numPr>
          <w:ilvl w:val="0"/>
          <w:numId w:val="3"/>
        </w:numPr>
        <w:ind w:left="780" w:firstLineChars="0"/>
      </w:pPr>
      <w:r>
        <w:rPr>
          <w:rFonts w:hint="default"/>
          <w:lang w:val="en-US"/>
        </w:rPr>
        <w:t xml:space="preserve">[SIGCOMM 2024] </w:t>
      </w:r>
      <w:r>
        <w:rPr>
          <w:rFonts w:hint="eastAsia"/>
        </w:rPr>
        <w:t>Netllm: Adapting large language models for networking</w:t>
      </w:r>
    </w:p>
    <w:p w14:paraId="46E11F74">
      <w:pPr>
        <w:pStyle w:val="10"/>
        <w:numPr>
          <w:ilvl w:val="-1"/>
          <w:numId w:val="0"/>
        </w:numPr>
        <w:ind w:left="0" w:firstLine="0" w:firstLineChars="0"/>
      </w:pPr>
    </w:p>
    <w:p w14:paraId="3F7FF8B0">
      <w:pPr>
        <w:rPr>
          <w:b/>
          <w:color w:val="FF0000"/>
          <w:sz w:val="22"/>
        </w:rPr>
      </w:pPr>
    </w:p>
    <w:p w14:paraId="28E2C7C0">
      <w:pPr>
        <w:rPr>
          <w:b/>
          <w:color w:val="FF0000"/>
          <w:sz w:val="22"/>
        </w:rPr>
      </w:pPr>
      <w:r>
        <w:rPr>
          <w:rFonts w:hint="eastAsia"/>
          <w:b/>
          <w:color w:val="FF0000"/>
          <w:sz w:val="22"/>
        </w:rPr>
        <w:t>要求：</w:t>
      </w:r>
    </w:p>
    <w:p w14:paraId="426B8BF8">
      <w:pPr>
        <w:rPr>
          <w:b/>
          <w:color w:val="FF0000"/>
          <w:sz w:val="22"/>
        </w:rPr>
      </w:pPr>
      <w:r>
        <w:rPr>
          <w:rFonts w:hint="eastAsia"/>
          <w:b/>
          <w:color w:val="FF0000"/>
          <w:sz w:val="22"/>
        </w:rPr>
        <w:t>1、每人至少选择其中的五篇，写出读书笔记。</w:t>
      </w:r>
    </w:p>
    <w:p w14:paraId="230140A1">
      <w:pPr>
        <w:rPr>
          <w:b/>
          <w:color w:val="FF0000"/>
          <w:sz w:val="22"/>
        </w:rPr>
      </w:pPr>
      <w:r>
        <w:rPr>
          <w:rFonts w:hint="eastAsia"/>
          <w:b/>
          <w:color w:val="FF0000"/>
          <w:sz w:val="22"/>
        </w:rPr>
        <w:t>2、每人需要选择一篇论文在课堂上进行汇报，时间</w:t>
      </w:r>
      <w:r>
        <w:rPr>
          <w:b/>
          <w:color w:val="FF0000"/>
          <w:sz w:val="22"/>
        </w:rPr>
        <w:t>20</w:t>
      </w:r>
      <w:r>
        <w:rPr>
          <w:rFonts w:hint="eastAsia"/>
          <w:b/>
          <w:color w:val="FF0000"/>
          <w:sz w:val="22"/>
        </w:rPr>
        <w:t>分钟。</w:t>
      </w:r>
    </w:p>
    <w:p w14:paraId="0DEF4BB1">
      <w:pPr>
        <w:rPr>
          <w:b/>
          <w:color w:val="FF0000"/>
          <w:sz w:val="22"/>
        </w:rPr>
      </w:pPr>
      <w:r>
        <w:rPr>
          <w:rFonts w:hint="eastAsia"/>
          <w:b/>
          <w:color w:val="FF0000"/>
          <w:sz w:val="22"/>
        </w:rPr>
        <w:t>3、第一次的论文汇报从</w:t>
      </w:r>
      <w:r>
        <w:rPr>
          <w:b/>
          <w:color w:val="FF0000"/>
          <w:sz w:val="22"/>
        </w:rPr>
        <w:t>9</w:t>
      </w:r>
      <w:r>
        <w:rPr>
          <w:rFonts w:hint="eastAsia"/>
          <w:b/>
          <w:color w:val="FF0000"/>
          <w:sz w:val="22"/>
        </w:rPr>
        <w:t>月</w:t>
      </w:r>
      <w:r>
        <w:rPr>
          <w:b/>
          <w:color w:val="FF0000"/>
          <w:sz w:val="22"/>
        </w:rPr>
        <w:t>2</w:t>
      </w:r>
      <w:r>
        <w:rPr>
          <w:rFonts w:hint="default"/>
          <w:b/>
          <w:color w:val="FF0000"/>
          <w:sz w:val="22"/>
          <w:lang w:val="en-US"/>
        </w:rPr>
        <w:t>6</w:t>
      </w:r>
      <w:r>
        <w:rPr>
          <w:rFonts w:hint="eastAsia"/>
          <w:b/>
          <w:color w:val="FF0000"/>
          <w:sz w:val="22"/>
        </w:rPr>
        <w:t>日开始，每周课的第三节课都是论文汇报。</w:t>
      </w:r>
    </w:p>
    <w:p w14:paraId="156A02A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749AD"/>
    <w:multiLevelType w:val="multilevel"/>
    <w:tmpl w:val="FFD749AD"/>
    <w:lvl w:ilvl="0" w:tentative="0">
      <w:start w:val="1"/>
      <w:numFmt w:val="lowerLetter"/>
      <w:lvlText w:val="%1)"/>
      <w:lvlJc w:val="left"/>
      <w:pPr>
        <w:ind w:left="78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1A235D9C"/>
    <w:multiLevelType w:val="multilevel"/>
    <w:tmpl w:val="1A235D9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CD6D0E"/>
    <w:multiLevelType w:val="multilevel"/>
    <w:tmpl w:val="2CCD6D0E"/>
    <w:lvl w:ilvl="0" w:tentative="0">
      <w:start w:val="1"/>
      <w:numFmt w:val="lowerLetter"/>
      <w:lvlText w:val="%1)"/>
      <w:lvlJc w:val="left"/>
      <w:pPr>
        <w:ind w:left="114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."/>
      <w:lvlJc w:val="left"/>
      <w:pPr>
        <w:ind w:left="1860" w:hanging="360"/>
      </w:pPr>
    </w:lvl>
    <w:lvl w:ilvl="2" w:tentative="0">
      <w:start w:val="1"/>
      <w:numFmt w:val="lowerRoman"/>
      <w:lvlText w:val="%3."/>
      <w:lvlJc w:val="right"/>
      <w:pPr>
        <w:ind w:left="2580" w:hanging="180"/>
      </w:pPr>
    </w:lvl>
    <w:lvl w:ilvl="3" w:tentative="0">
      <w:start w:val="1"/>
      <w:numFmt w:val="decimal"/>
      <w:lvlText w:val="%4."/>
      <w:lvlJc w:val="left"/>
      <w:pPr>
        <w:ind w:left="3300" w:hanging="360"/>
      </w:pPr>
    </w:lvl>
    <w:lvl w:ilvl="4" w:tentative="0">
      <w:start w:val="1"/>
      <w:numFmt w:val="lowerLetter"/>
      <w:lvlText w:val="%5."/>
      <w:lvlJc w:val="left"/>
      <w:pPr>
        <w:ind w:left="4020" w:hanging="360"/>
      </w:pPr>
    </w:lvl>
    <w:lvl w:ilvl="5" w:tentative="0">
      <w:start w:val="1"/>
      <w:numFmt w:val="lowerRoman"/>
      <w:lvlText w:val="%6."/>
      <w:lvlJc w:val="right"/>
      <w:pPr>
        <w:ind w:left="4740" w:hanging="180"/>
      </w:pPr>
    </w:lvl>
    <w:lvl w:ilvl="6" w:tentative="0">
      <w:start w:val="1"/>
      <w:numFmt w:val="decimal"/>
      <w:lvlText w:val="%7."/>
      <w:lvlJc w:val="left"/>
      <w:pPr>
        <w:ind w:left="5460" w:hanging="360"/>
      </w:pPr>
    </w:lvl>
    <w:lvl w:ilvl="7" w:tentative="0">
      <w:start w:val="1"/>
      <w:numFmt w:val="lowerLetter"/>
      <w:lvlText w:val="%8."/>
      <w:lvlJc w:val="left"/>
      <w:pPr>
        <w:ind w:left="6180" w:hanging="360"/>
      </w:pPr>
    </w:lvl>
    <w:lvl w:ilvl="8" w:tentative="0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6B"/>
    <w:rsid w:val="00007C2A"/>
    <w:rsid w:val="00096B10"/>
    <w:rsid w:val="000C443F"/>
    <w:rsid w:val="000E31D9"/>
    <w:rsid w:val="001369D8"/>
    <w:rsid w:val="00141B23"/>
    <w:rsid w:val="00153FFB"/>
    <w:rsid w:val="001731B0"/>
    <w:rsid w:val="001C5D60"/>
    <w:rsid w:val="001E47ED"/>
    <w:rsid w:val="002131C3"/>
    <w:rsid w:val="002200E9"/>
    <w:rsid w:val="00232568"/>
    <w:rsid w:val="00245DB1"/>
    <w:rsid w:val="002670D0"/>
    <w:rsid w:val="00282042"/>
    <w:rsid w:val="0029772A"/>
    <w:rsid w:val="002A12C7"/>
    <w:rsid w:val="002B66E7"/>
    <w:rsid w:val="002C059E"/>
    <w:rsid w:val="00313422"/>
    <w:rsid w:val="00325721"/>
    <w:rsid w:val="00335534"/>
    <w:rsid w:val="0033768D"/>
    <w:rsid w:val="00350987"/>
    <w:rsid w:val="00363070"/>
    <w:rsid w:val="00372009"/>
    <w:rsid w:val="00396869"/>
    <w:rsid w:val="003A16BC"/>
    <w:rsid w:val="003F29A9"/>
    <w:rsid w:val="003F6F8C"/>
    <w:rsid w:val="00403520"/>
    <w:rsid w:val="00404ED5"/>
    <w:rsid w:val="0041615F"/>
    <w:rsid w:val="00425EF1"/>
    <w:rsid w:val="00453765"/>
    <w:rsid w:val="00477664"/>
    <w:rsid w:val="004862BE"/>
    <w:rsid w:val="004C5FD7"/>
    <w:rsid w:val="005003BE"/>
    <w:rsid w:val="00515602"/>
    <w:rsid w:val="00516CBE"/>
    <w:rsid w:val="00534E9A"/>
    <w:rsid w:val="005372B3"/>
    <w:rsid w:val="005A1879"/>
    <w:rsid w:val="005B150A"/>
    <w:rsid w:val="005F0CE2"/>
    <w:rsid w:val="0062711D"/>
    <w:rsid w:val="0064493D"/>
    <w:rsid w:val="006528C8"/>
    <w:rsid w:val="00652DF3"/>
    <w:rsid w:val="0065646A"/>
    <w:rsid w:val="0067754A"/>
    <w:rsid w:val="0069328F"/>
    <w:rsid w:val="006B5BE6"/>
    <w:rsid w:val="006B6099"/>
    <w:rsid w:val="006C056D"/>
    <w:rsid w:val="00712EE5"/>
    <w:rsid w:val="007205CF"/>
    <w:rsid w:val="0073560B"/>
    <w:rsid w:val="00750767"/>
    <w:rsid w:val="00772D68"/>
    <w:rsid w:val="007742AF"/>
    <w:rsid w:val="00776656"/>
    <w:rsid w:val="00781EBA"/>
    <w:rsid w:val="0078645D"/>
    <w:rsid w:val="007B3521"/>
    <w:rsid w:val="007C56BF"/>
    <w:rsid w:val="007D4BFA"/>
    <w:rsid w:val="007F0584"/>
    <w:rsid w:val="0080059B"/>
    <w:rsid w:val="00822A3E"/>
    <w:rsid w:val="00826EE8"/>
    <w:rsid w:val="00862BA5"/>
    <w:rsid w:val="008665E0"/>
    <w:rsid w:val="008740D6"/>
    <w:rsid w:val="008B61FE"/>
    <w:rsid w:val="008D4F7A"/>
    <w:rsid w:val="008E5717"/>
    <w:rsid w:val="008F65B1"/>
    <w:rsid w:val="00921A80"/>
    <w:rsid w:val="00923938"/>
    <w:rsid w:val="00923CA5"/>
    <w:rsid w:val="009458A3"/>
    <w:rsid w:val="00950F6B"/>
    <w:rsid w:val="009640DD"/>
    <w:rsid w:val="009A5156"/>
    <w:rsid w:val="009D23EF"/>
    <w:rsid w:val="009E2479"/>
    <w:rsid w:val="009E729D"/>
    <w:rsid w:val="00A015A1"/>
    <w:rsid w:val="00A534A7"/>
    <w:rsid w:val="00A56A7C"/>
    <w:rsid w:val="00A848AC"/>
    <w:rsid w:val="00A9485B"/>
    <w:rsid w:val="00A97594"/>
    <w:rsid w:val="00AA2A31"/>
    <w:rsid w:val="00AA7F48"/>
    <w:rsid w:val="00AD60E9"/>
    <w:rsid w:val="00B02987"/>
    <w:rsid w:val="00B10ADC"/>
    <w:rsid w:val="00B73AF6"/>
    <w:rsid w:val="00B91505"/>
    <w:rsid w:val="00BA6C32"/>
    <w:rsid w:val="00BF3609"/>
    <w:rsid w:val="00CC156C"/>
    <w:rsid w:val="00CC3FF6"/>
    <w:rsid w:val="00CC7293"/>
    <w:rsid w:val="00CF7348"/>
    <w:rsid w:val="00CF75D0"/>
    <w:rsid w:val="00D475E4"/>
    <w:rsid w:val="00D87DAE"/>
    <w:rsid w:val="00DA70DE"/>
    <w:rsid w:val="00DB7DC7"/>
    <w:rsid w:val="00DC459F"/>
    <w:rsid w:val="00DE61C9"/>
    <w:rsid w:val="00DF23A8"/>
    <w:rsid w:val="00DF547A"/>
    <w:rsid w:val="00E11CD3"/>
    <w:rsid w:val="00E7525B"/>
    <w:rsid w:val="00EA2E0E"/>
    <w:rsid w:val="00EB490C"/>
    <w:rsid w:val="00EC52B3"/>
    <w:rsid w:val="00ED479C"/>
    <w:rsid w:val="00F12419"/>
    <w:rsid w:val="00F52B7E"/>
    <w:rsid w:val="00F570B4"/>
    <w:rsid w:val="00FB0C79"/>
    <w:rsid w:val="00FD16B2"/>
    <w:rsid w:val="00FD2B8B"/>
    <w:rsid w:val="00FD3C18"/>
    <w:rsid w:val="00FD7F6C"/>
    <w:rsid w:val="00FE3BC0"/>
    <w:rsid w:val="3F4E4AAB"/>
    <w:rsid w:val="773DEEA0"/>
    <w:rsid w:val="77F972EA"/>
    <w:rsid w:val="7BDF1133"/>
    <w:rsid w:val="9FFFEEC4"/>
    <w:rsid w:val="EFE9747C"/>
    <w:rsid w:val="FFEC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uiPriority w:val="99"/>
    <w:rPr>
      <w:rFonts w:ascii="宋体" w:eastAsia="宋体"/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6"/>
    <w:link w:val="4"/>
    <w:uiPriority w:val="99"/>
    <w:rPr>
      <w:sz w:val="18"/>
      <w:szCs w:val="18"/>
    </w:rPr>
  </w:style>
  <w:style w:type="character" w:customStyle="1" w:styleId="12">
    <w:name w:val="页脚 字符"/>
    <w:basedOn w:val="6"/>
    <w:link w:val="3"/>
    <w:uiPriority w:val="99"/>
    <w:rPr>
      <w:sz w:val="18"/>
      <w:szCs w:val="18"/>
    </w:rPr>
  </w:style>
  <w:style w:type="character" w:customStyle="1" w:styleId="13">
    <w:name w:val="批注框文本 字符"/>
    <w:basedOn w:val="6"/>
    <w:link w:val="2"/>
    <w:semiHidden/>
    <w:uiPriority w:val="99"/>
    <w:rPr>
      <w:rFonts w:ascii="宋体" w:eastAsia="宋体"/>
      <w:sz w:val="18"/>
      <w:szCs w:val="18"/>
    </w:rPr>
  </w:style>
  <w:style w:type="character" w:customStyle="1" w:styleId="14">
    <w:name w:val="innercontentcontain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449</Words>
  <Characters>2561</Characters>
  <Lines>21</Lines>
  <Paragraphs>6</Paragraphs>
  <TotalTime>1437</TotalTime>
  <ScaleCrop>false</ScaleCrop>
  <LinksUpToDate>false</LinksUpToDate>
  <CharactersWithSpaces>3004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2024-09-13T17:55:00Z</dcterms:created>
  <dc:creator>lenovo</dc:creator>
  <cp:lastModifiedBy>XXX</cp:lastModifiedBy>
  <dcterms:modified xsi:type="dcterms:W3CDTF">2025-09-19T14:22:50Z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8B9248FC18D1466D9470CB6856335B4B_42</vt:lpwstr>
  </property>
</Properties>
</file>