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Outcome 2 — Data quality ownership</w:t>
      </w:r>
    </w:p>
    <w:p>
      <w:pPr>
        <w:spacing w:after="240"/>
        <w:jc w:val="right"/>
      </w:pPr>
      <w:r>
        <w:rPr>
          <w:i/>
          <w:iCs/>
          <w:color w:val="666666"/>
          <w:sz w:val="18"/>
          <w:szCs w:val="18"/>
        </w:rPr>
        <w:t xml:space="preserve">Reflection compiled May 2026</w:t>
      </w:r>
    </w:p>
    <w:p>
      <w:pPr>
        <w:pBdr>
          <w:left w:val="single" w:color="999999" w:sz="8" w:space="6"/>
        </w:pBdr>
        <w:spacing w:after="200" w:before="100"/>
        <w:ind w:left="360"/>
      </w:pPr>
      <w:r>
        <w:rPr>
          <w:i/>
          <w:iCs/>
        </w:rPr>
        <w:t xml:space="preserve">You take responsibility for and ownership of data quality by sourcing, analysing, preparing and visualising data based on validated data quality standards.</w:t>
      </w:r>
    </w:p>
    <w:p>
      <w:pPr>
        <w:pStyle w:val="Heading2"/>
      </w:pPr>
      <w:r>
        <w:t xml:space="preserve">Sourcing</w:t>
      </w:r>
    </w:p>
    <w:p>
      <w:pPr>
        <w:spacing w:after="120"/>
      </w:pPr>
      <w:r>
        <w:t xml:space="preserve">The project draws on three independent data sources, each with a distinct role: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Smogon chaos JSON files — 14 (gen, tier) datasets across Gen 1 through Gen 6 (OU, Ubers, LC, NU, Doubles OU). Fetched by data_pipeline/fetch_chaos.py which probes for the highest-rated ladder bucket per metagame and falls back through earlier months when the current month is not yet published.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PokeAPI (pokeapi.co) — used by the synergy fallback to attach moves to each team member. Accessed through a persistent requests-cache SQLite store so the same call hits the network at most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data/processed/pokemon_final.csv — an internal base table with type, stats, role, weaknesses, and legendary flags. Used as the authoritative join target for both recommenders.</w:t>
      </w:r>
    </w:p>
    <w:p>
      <w:pPr>
        <w:pStyle w:val="Heading2"/>
      </w:pPr>
      <w:r>
        <w:t xml:space="preserve">Analysing</w:t>
      </w:r>
    </w:p>
    <w:p>
      <w:pPr>
        <w:spacing w:after="120"/>
      </w:pPr>
      <w:r>
        <w:t xml:space="preserve">Analysis happens during ingest. data_pipeline/build_dataset.py reports per-file row counts as it parses each chaos JSON — e.g., “parsed gen1ou: 68 mons, 1482 moveset rows, 3424 teammate edges.” After ingest, report_missing() lists every Pokemon name from chaos that did not match a row in the base CSV; in the current build, 93 names did not join (mostly Mega forms, Arceus type variants, and Deoxys forms). That mismatch is surfaced to the developer rather than silently swallowed.</w:t>
      </w:r>
    </w:p>
    <w:p>
      <w:pPr>
        <w:pStyle w:val="Heading2"/>
      </w:pPr>
      <w:r>
        <w:t xml:space="preserve">Preparing</w:t>
      </w:r>
    </w:p>
    <w:p>
      <w:pPr>
        <w:spacing w:after="120"/>
      </w:pPr>
      <w:r>
        <w:t xml:space="preserve">Three preparation steps live in the pipeline: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canonicalisation — normalize_name() converts Smogon’s Title Case with spaces and punctuation (“Mr. Mime,” “Ho-Oh,” “Tapu Koko”) to a lowercase hyphenated form that joins cleanly against the base CSV.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discovery — the chaos JSON ships in two on-disk layouts (flat in the fixtures folder; nested under month/gen/tier in the live fetch tree). The discovery regex now recognises both. Catching this layout mismatch came directly from owning data quality: I noticed the dropdown showed only 2 metagames when 14 JSON files were on disk.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Parquet writes — the cleaned data is persisted as pokemon_meta.parquet, movesets.parquet, and teammates.parquet. Parquet enforces column types and is the schema contract for everything downstream.</w:t>
      </w:r>
    </w:p>
    <w:p>
      <w:pPr>
        <w:pStyle w:val="Heading2"/>
      </w:pPr>
      <w:r>
        <w:t xml:space="preserve">Visualising</w:t>
      </w:r>
    </w:p>
    <w:p>
      <w:pPr>
        <w:spacing w:after="120"/>
      </w:pPr>
      <w:r>
        <w:t xml:space="preserve">Visualisation happens in two places. The Flask UI renders a team summary card per request — average HP / Attack / Special Attack / Bulk / Speed, plus role distribution and common weaknesses across the recommended six. The terminal and logs/poketeam.log show per-metagame counts at ingest, and per-request build durations at runtime, which is itself a form of operational visualisation.</w:t>
      </w:r>
    </w:p>
    <w:p>
      <w:pPr>
        <w:pStyle w:val="Heading2"/>
      </w:pPr>
      <w:r>
        <w:t xml:space="preserve">Quality standards in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contracts — Parquet schemas pin column types. Pandas raises on shape mismatches downstream.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Reproducibility — the smoke test in tests/test_pipeline.py rebuilds the pipeline from fixtures and asserts row count thresholds (&gt;= 20 meta, &gt;= 200 movesets, &gt;= 100 teammate edges).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 — every load step logs row counts so a regression in input data is visible in the very next run’s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Missing-data reporting — report_missing() emits a developer warning for unjoined names rather than dropping them silently.</w:t>
      </w:r>
    </w:p>
    <w:p>
      <w:pPr>
        <w:pStyle w:val="Heading2"/>
      </w:pPr>
      <w:r>
        <w:t xml:space="preserve">Concrete moments where data ownership mattered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dropdown stuck at 2 metagames despite 14 JSONs on disk. I tracked this to a regex that only recognised one of two file layouts. Without taking ownership of the pipeline output, this could have shipped as “it works for me.”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LightGBM’s viability.lgb crashed on load with “expect a tree here.” Reading the raw bytes revealed CRLF line endings; converting to LF in place fixed the loader. This is data quality at the artefact-file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During synergy scoring, recomputing type resistances on every call was wasteful and led to repeated lookups in the type-effectiveness table. Caching by (type1, type2) is both a performance fix and a data-correctness fix — the same defender now always returns an identical immutable frozenset.</w:t>
      </w:r>
    </w:p>
    <w:p>
      <w:pPr>
        <w:pStyle w:val="Heading2"/>
      </w:pPr>
      <w:r>
        <w:t xml:space="preserve">Honest gaps in this LO</w:t>
      </w:r>
    </w:p>
    <w:p>
      <w:pPr>
        <w:spacing w:after="120"/>
      </w:pPr>
      <w:r>
        <w:t xml:space="preserve">No formal data quality framework (the six-dimensional model of accuracy, completeness, consistency, timeliness, validity, uniqueness) is explicitly adopted or measured. Visualisation is limited to the team summary card; there are no distribution charts, no missing-data heatmaps, no historical comparisons. The 93 unjoined names are acknowledged but not resolved. These are real holes in the LO and I list them here rather than hide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2026-05-20T15:58:38.400Z</dcterms:created>
  <dcterms:modified xsi:type="dcterms:W3CDTF">2026-05-20T15:58:38.400Z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