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0F0C" w14:textId="77777777" w:rsidR="00842324" w:rsidRDefault="00000000">
      <w:pPr>
        <w:pStyle w:val="Title"/>
      </w:pPr>
      <w:r>
        <w:t>Unified Probabilistic Validation for Energy Markets: A Production-Grade Architecture for Simulation and Forecasting Models</w:t>
      </w:r>
    </w:p>
    <w:p w14:paraId="5D040F0D" w14:textId="77777777" w:rsidR="00842324" w:rsidRDefault="00000000">
      <w:pPr>
        <w:pStyle w:val="Subtitle"/>
      </w:pPr>
      <w:r>
        <w:t>Master’s Thesis</w:t>
      </w:r>
    </w:p>
    <w:p w14:paraId="5D040F0E" w14:textId="77777777" w:rsidR="00842324" w:rsidRDefault="00000000">
      <w:pPr>
        <w:pStyle w:val="Author"/>
      </w:pPr>
      <w:r>
        <w:t>Authors: Jia Yang Le &amp; Komila Askarova</w:t>
      </w:r>
    </w:p>
    <w:p w14:paraId="5D040F0F" w14:textId="77777777" w:rsidR="00842324" w:rsidRDefault="00000000">
      <w:pPr>
        <w:pStyle w:val="Author"/>
      </w:pPr>
      <w:r>
        <w:t>Study programme: Data Analytics and Business Economics</w:t>
      </w:r>
    </w:p>
    <w:p w14:paraId="5D040F10" w14:textId="77777777" w:rsidR="00842324" w:rsidRDefault="00000000">
      <w:pPr>
        <w:pStyle w:val="Author"/>
      </w:pPr>
      <w:r>
        <w:t>Supervisor: Luca Margaritella</w:t>
      </w:r>
    </w:p>
    <w:p w14:paraId="5D040F11" w14:textId="77777777" w:rsidR="00842324" w:rsidRDefault="00000000">
      <w:pPr>
        <w:pStyle w:val="Author"/>
      </w:pPr>
      <w:r>
        <w:t>Industry Supervisor: Rikard Green, Energy Quant Solutions Sweden AB</w:t>
      </w:r>
    </w:p>
    <w:p w14:paraId="5D040F12" w14:textId="77777777" w:rsidR="00842324" w:rsidRDefault="00000000">
      <w:pPr>
        <w:pStyle w:val="Author"/>
      </w:pPr>
      <w:r>
        <w:t>Year of defence: 2026</w:t>
      </w:r>
    </w:p>
    <w:sdt>
      <w:sdtPr>
        <w:rPr>
          <w:rFonts w:asciiTheme="minorHAnsi" w:eastAsiaTheme="minorEastAsia" w:hAnsiTheme="minorHAnsi" w:cstheme="minorBidi"/>
          <w:color w:val="auto"/>
          <w:sz w:val="24"/>
          <w:szCs w:val="24"/>
        </w:rPr>
        <w:id w:val="329026653"/>
        <w:docPartObj>
          <w:docPartGallery w:val="Table of Contents"/>
          <w:docPartUnique/>
        </w:docPartObj>
      </w:sdtPr>
      <w:sdtContent>
        <w:p w14:paraId="5D040F13" w14:textId="77777777" w:rsidR="00842324" w:rsidRDefault="00000000">
          <w:pPr>
            <w:pStyle w:val="TOCHeading"/>
          </w:pPr>
          <w:r>
            <w:t>Table of Contents</w:t>
          </w:r>
        </w:p>
        <w:p w14:paraId="190FDD7B" w14:textId="46A9B860" w:rsidR="007A1A72" w:rsidRDefault="00000000">
          <w:pPr>
            <w:pStyle w:val="TOC1"/>
            <w:tabs>
              <w:tab w:val="right" w:leader="dot" w:pos="9350"/>
            </w:tabs>
            <w:rPr>
              <w:noProof/>
            </w:rPr>
          </w:pPr>
          <w:r>
            <w:fldChar w:fldCharType="begin"/>
          </w:r>
          <w:r>
            <w:instrText>TOC \o "1-2" \h \z \u</w:instrText>
          </w:r>
          <w:r>
            <w:fldChar w:fldCharType="separate"/>
          </w:r>
          <w:hyperlink w:anchor="_Toc225682061" w:history="1">
            <w:r w:rsidR="007A1A72" w:rsidRPr="00626A48">
              <w:rPr>
                <w:rStyle w:val="Hyperlink"/>
                <w:noProof/>
              </w:rPr>
              <w:t>Abstract</w:t>
            </w:r>
            <w:r w:rsidR="007A1A72">
              <w:rPr>
                <w:noProof/>
                <w:webHidden/>
              </w:rPr>
              <w:tab/>
            </w:r>
            <w:r w:rsidR="007A1A72">
              <w:rPr>
                <w:noProof/>
                <w:webHidden/>
              </w:rPr>
              <w:fldChar w:fldCharType="begin"/>
            </w:r>
            <w:r w:rsidR="007A1A72">
              <w:rPr>
                <w:noProof/>
                <w:webHidden/>
              </w:rPr>
              <w:instrText xml:space="preserve"> PAGEREF _Toc225682061 \h </w:instrText>
            </w:r>
            <w:r w:rsidR="007A1A72">
              <w:rPr>
                <w:noProof/>
                <w:webHidden/>
              </w:rPr>
            </w:r>
            <w:r w:rsidR="007A1A72">
              <w:rPr>
                <w:noProof/>
                <w:webHidden/>
              </w:rPr>
              <w:fldChar w:fldCharType="separate"/>
            </w:r>
            <w:r w:rsidR="007A1A72">
              <w:rPr>
                <w:noProof/>
                <w:webHidden/>
              </w:rPr>
              <w:t>3</w:t>
            </w:r>
            <w:r w:rsidR="007A1A72">
              <w:rPr>
                <w:noProof/>
                <w:webHidden/>
              </w:rPr>
              <w:fldChar w:fldCharType="end"/>
            </w:r>
          </w:hyperlink>
        </w:p>
        <w:p w14:paraId="10B07581" w14:textId="0FBAFA65" w:rsidR="007A1A72" w:rsidRDefault="007A1A72">
          <w:pPr>
            <w:pStyle w:val="TOC1"/>
            <w:tabs>
              <w:tab w:val="right" w:leader="dot" w:pos="9350"/>
            </w:tabs>
            <w:rPr>
              <w:noProof/>
            </w:rPr>
          </w:pPr>
          <w:hyperlink w:anchor="_Toc225682062" w:history="1">
            <w:r w:rsidRPr="00626A48">
              <w:rPr>
                <w:rStyle w:val="Hyperlink"/>
                <w:noProof/>
              </w:rPr>
              <w:t>Acknowledgements</w:t>
            </w:r>
            <w:r>
              <w:rPr>
                <w:noProof/>
                <w:webHidden/>
              </w:rPr>
              <w:tab/>
            </w:r>
            <w:r>
              <w:rPr>
                <w:noProof/>
                <w:webHidden/>
              </w:rPr>
              <w:fldChar w:fldCharType="begin"/>
            </w:r>
            <w:r>
              <w:rPr>
                <w:noProof/>
                <w:webHidden/>
              </w:rPr>
              <w:instrText xml:space="preserve"> PAGEREF _Toc225682062 \h </w:instrText>
            </w:r>
            <w:r>
              <w:rPr>
                <w:noProof/>
                <w:webHidden/>
              </w:rPr>
            </w:r>
            <w:r>
              <w:rPr>
                <w:noProof/>
                <w:webHidden/>
              </w:rPr>
              <w:fldChar w:fldCharType="separate"/>
            </w:r>
            <w:r>
              <w:rPr>
                <w:noProof/>
                <w:webHidden/>
              </w:rPr>
              <w:t>4</w:t>
            </w:r>
            <w:r>
              <w:rPr>
                <w:noProof/>
                <w:webHidden/>
              </w:rPr>
              <w:fldChar w:fldCharType="end"/>
            </w:r>
          </w:hyperlink>
        </w:p>
        <w:p w14:paraId="5C9883B8" w14:textId="03792716" w:rsidR="007A1A72" w:rsidRDefault="007A1A72">
          <w:pPr>
            <w:pStyle w:val="TOC1"/>
            <w:tabs>
              <w:tab w:val="right" w:leader="dot" w:pos="9350"/>
            </w:tabs>
            <w:rPr>
              <w:noProof/>
            </w:rPr>
          </w:pPr>
          <w:hyperlink w:anchor="_Toc225682063" w:history="1">
            <w:r w:rsidRPr="00626A48">
              <w:rPr>
                <w:rStyle w:val="Hyperlink"/>
                <w:noProof/>
              </w:rPr>
              <w:t>Introduction</w:t>
            </w:r>
            <w:r>
              <w:rPr>
                <w:noProof/>
                <w:webHidden/>
              </w:rPr>
              <w:tab/>
            </w:r>
            <w:r>
              <w:rPr>
                <w:noProof/>
                <w:webHidden/>
              </w:rPr>
              <w:fldChar w:fldCharType="begin"/>
            </w:r>
            <w:r>
              <w:rPr>
                <w:noProof/>
                <w:webHidden/>
              </w:rPr>
              <w:instrText xml:space="preserve"> PAGEREF _Toc225682063 \h </w:instrText>
            </w:r>
            <w:r>
              <w:rPr>
                <w:noProof/>
                <w:webHidden/>
              </w:rPr>
            </w:r>
            <w:r>
              <w:rPr>
                <w:noProof/>
                <w:webHidden/>
              </w:rPr>
              <w:fldChar w:fldCharType="separate"/>
            </w:r>
            <w:r>
              <w:rPr>
                <w:noProof/>
                <w:webHidden/>
              </w:rPr>
              <w:t>4</w:t>
            </w:r>
            <w:r>
              <w:rPr>
                <w:noProof/>
                <w:webHidden/>
              </w:rPr>
              <w:fldChar w:fldCharType="end"/>
            </w:r>
          </w:hyperlink>
        </w:p>
        <w:p w14:paraId="620209FA" w14:textId="142ED538" w:rsidR="007A1A72" w:rsidRDefault="007A1A72">
          <w:pPr>
            <w:pStyle w:val="TOC1"/>
            <w:tabs>
              <w:tab w:val="right" w:leader="dot" w:pos="9350"/>
            </w:tabs>
            <w:rPr>
              <w:noProof/>
            </w:rPr>
          </w:pPr>
          <w:hyperlink w:anchor="_Toc225682064" w:history="1">
            <w:r w:rsidRPr="00626A48">
              <w:rPr>
                <w:rStyle w:val="Hyperlink"/>
                <w:noProof/>
              </w:rPr>
              <w:t>Introduction</w:t>
            </w:r>
            <w:r>
              <w:rPr>
                <w:noProof/>
                <w:webHidden/>
              </w:rPr>
              <w:tab/>
            </w:r>
            <w:r>
              <w:rPr>
                <w:noProof/>
                <w:webHidden/>
              </w:rPr>
              <w:fldChar w:fldCharType="begin"/>
            </w:r>
            <w:r>
              <w:rPr>
                <w:noProof/>
                <w:webHidden/>
              </w:rPr>
              <w:instrText xml:space="preserve"> PAGEREF _Toc225682064 \h </w:instrText>
            </w:r>
            <w:r>
              <w:rPr>
                <w:noProof/>
                <w:webHidden/>
              </w:rPr>
            </w:r>
            <w:r>
              <w:rPr>
                <w:noProof/>
                <w:webHidden/>
              </w:rPr>
              <w:fldChar w:fldCharType="separate"/>
            </w:r>
            <w:r>
              <w:rPr>
                <w:noProof/>
                <w:webHidden/>
              </w:rPr>
              <w:t>4</w:t>
            </w:r>
            <w:r>
              <w:rPr>
                <w:noProof/>
                <w:webHidden/>
              </w:rPr>
              <w:fldChar w:fldCharType="end"/>
            </w:r>
          </w:hyperlink>
        </w:p>
        <w:p w14:paraId="03459763" w14:textId="69DE669D" w:rsidR="007A1A72" w:rsidRDefault="007A1A72">
          <w:pPr>
            <w:pStyle w:val="TOC2"/>
            <w:tabs>
              <w:tab w:val="right" w:leader="dot" w:pos="9350"/>
            </w:tabs>
            <w:rPr>
              <w:noProof/>
            </w:rPr>
          </w:pPr>
          <w:hyperlink w:anchor="_Toc225682065" w:history="1">
            <w:r w:rsidRPr="00626A48">
              <w:rPr>
                <w:rStyle w:val="Hyperlink"/>
                <w:noProof/>
              </w:rPr>
              <w:t>1.1 Background and Motivation</w:t>
            </w:r>
            <w:r>
              <w:rPr>
                <w:noProof/>
                <w:webHidden/>
              </w:rPr>
              <w:tab/>
            </w:r>
            <w:r>
              <w:rPr>
                <w:noProof/>
                <w:webHidden/>
              </w:rPr>
              <w:fldChar w:fldCharType="begin"/>
            </w:r>
            <w:r>
              <w:rPr>
                <w:noProof/>
                <w:webHidden/>
              </w:rPr>
              <w:instrText xml:space="preserve"> PAGEREF _Toc225682065 \h </w:instrText>
            </w:r>
            <w:r>
              <w:rPr>
                <w:noProof/>
                <w:webHidden/>
              </w:rPr>
            </w:r>
            <w:r>
              <w:rPr>
                <w:noProof/>
                <w:webHidden/>
              </w:rPr>
              <w:fldChar w:fldCharType="separate"/>
            </w:r>
            <w:r>
              <w:rPr>
                <w:noProof/>
                <w:webHidden/>
              </w:rPr>
              <w:t>4</w:t>
            </w:r>
            <w:r>
              <w:rPr>
                <w:noProof/>
                <w:webHidden/>
              </w:rPr>
              <w:fldChar w:fldCharType="end"/>
            </w:r>
          </w:hyperlink>
        </w:p>
        <w:p w14:paraId="1FCD6318" w14:textId="4D7C6067" w:rsidR="007A1A72" w:rsidRDefault="007A1A72">
          <w:pPr>
            <w:pStyle w:val="TOC2"/>
            <w:tabs>
              <w:tab w:val="right" w:leader="dot" w:pos="9350"/>
            </w:tabs>
            <w:rPr>
              <w:noProof/>
            </w:rPr>
          </w:pPr>
          <w:hyperlink w:anchor="_Toc225682066" w:history="1">
            <w:r w:rsidRPr="00626A48">
              <w:rPr>
                <w:rStyle w:val="Hyperlink"/>
                <w:noProof/>
              </w:rPr>
              <w:t>1.2 Research Questions</w:t>
            </w:r>
            <w:r>
              <w:rPr>
                <w:noProof/>
                <w:webHidden/>
              </w:rPr>
              <w:tab/>
            </w:r>
            <w:r>
              <w:rPr>
                <w:noProof/>
                <w:webHidden/>
              </w:rPr>
              <w:fldChar w:fldCharType="begin"/>
            </w:r>
            <w:r>
              <w:rPr>
                <w:noProof/>
                <w:webHidden/>
              </w:rPr>
              <w:instrText xml:space="preserve"> PAGEREF _Toc225682066 \h </w:instrText>
            </w:r>
            <w:r>
              <w:rPr>
                <w:noProof/>
                <w:webHidden/>
              </w:rPr>
            </w:r>
            <w:r>
              <w:rPr>
                <w:noProof/>
                <w:webHidden/>
              </w:rPr>
              <w:fldChar w:fldCharType="separate"/>
            </w:r>
            <w:r>
              <w:rPr>
                <w:noProof/>
                <w:webHidden/>
              </w:rPr>
              <w:t>5</w:t>
            </w:r>
            <w:r>
              <w:rPr>
                <w:noProof/>
                <w:webHidden/>
              </w:rPr>
              <w:fldChar w:fldCharType="end"/>
            </w:r>
          </w:hyperlink>
        </w:p>
        <w:p w14:paraId="255F570E" w14:textId="705E9EC9" w:rsidR="007A1A72" w:rsidRDefault="007A1A72">
          <w:pPr>
            <w:pStyle w:val="TOC2"/>
            <w:tabs>
              <w:tab w:val="right" w:leader="dot" w:pos="9350"/>
            </w:tabs>
            <w:rPr>
              <w:noProof/>
            </w:rPr>
          </w:pPr>
          <w:hyperlink w:anchor="_Toc225682067" w:history="1">
            <w:r w:rsidRPr="00626A48">
              <w:rPr>
                <w:rStyle w:val="Hyperlink"/>
                <w:noProof/>
              </w:rPr>
              <w:t>1.3 Scope and Contributions</w:t>
            </w:r>
            <w:r>
              <w:rPr>
                <w:noProof/>
                <w:webHidden/>
              </w:rPr>
              <w:tab/>
            </w:r>
            <w:r>
              <w:rPr>
                <w:noProof/>
                <w:webHidden/>
              </w:rPr>
              <w:fldChar w:fldCharType="begin"/>
            </w:r>
            <w:r>
              <w:rPr>
                <w:noProof/>
                <w:webHidden/>
              </w:rPr>
              <w:instrText xml:space="preserve"> PAGEREF _Toc225682067 \h </w:instrText>
            </w:r>
            <w:r>
              <w:rPr>
                <w:noProof/>
                <w:webHidden/>
              </w:rPr>
            </w:r>
            <w:r>
              <w:rPr>
                <w:noProof/>
                <w:webHidden/>
              </w:rPr>
              <w:fldChar w:fldCharType="separate"/>
            </w:r>
            <w:r>
              <w:rPr>
                <w:noProof/>
                <w:webHidden/>
              </w:rPr>
              <w:t>6</w:t>
            </w:r>
            <w:r>
              <w:rPr>
                <w:noProof/>
                <w:webHidden/>
              </w:rPr>
              <w:fldChar w:fldCharType="end"/>
            </w:r>
          </w:hyperlink>
        </w:p>
        <w:p w14:paraId="559B7B91" w14:textId="53FC937A" w:rsidR="007A1A72" w:rsidRDefault="007A1A72">
          <w:pPr>
            <w:pStyle w:val="TOC2"/>
            <w:tabs>
              <w:tab w:val="right" w:leader="dot" w:pos="9350"/>
            </w:tabs>
            <w:rPr>
              <w:noProof/>
            </w:rPr>
          </w:pPr>
          <w:hyperlink w:anchor="_Toc225682068" w:history="1">
            <w:r w:rsidRPr="00626A48">
              <w:rPr>
                <w:rStyle w:val="Hyperlink"/>
                <w:noProof/>
              </w:rPr>
              <w:t>1.4 Industry Context</w:t>
            </w:r>
            <w:r>
              <w:rPr>
                <w:noProof/>
                <w:webHidden/>
              </w:rPr>
              <w:tab/>
            </w:r>
            <w:r>
              <w:rPr>
                <w:noProof/>
                <w:webHidden/>
              </w:rPr>
              <w:fldChar w:fldCharType="begin"/>
            </w:r>
            <w:r>
              <w:rPr>
                <w:noProof/>
                <w:webHidden/>
              </w:rPr>
              <w:instrText xml:space="preserve"> PAGEREF _Toc225682068 \h </w:instrText>
            </w:r>
            <w:r>
              <w:rPr>
                <w:noProof/>
                <w:webHidden/>
              </w:rPr>
            </w:r>
            <w:r>
              <w:rPr>
                <w:noProof/>
                <w:webHidden/>
              </w:rPr>
              <w:fldChar w:fldCharType="separate"/>
            </w:r>
            <w:r>
              <w:rPr>
                <w:noProof/>
                <w:webHidden/>
              </w:rPr>
              <w:t>7</w:t>
            </w:r>
            <w:r>
              <w:rPr>
                <w:noProof/>
                <w:webHidden/>
              </w:rPr>
              <w:fldChar w:fldCharType="end"/>
            </w:r>
          </w:hyperlink>
        </w:p>
        <w:p w14:paraId="48E04E74" w14:textId="29DA8BDD" w:rsidR="007A1A72" w:rsidRDefault="007A1A72">
          <w:pPr>
            <w:pStyle w:val="TOC2"/>
            <w:tabs>
              <w:tab w:val="right" w:leader="dot" w:pos="9350"/>
            </w:tabs>
            <w:rPr>
              <w:noProof/>
            </w:rPr>
          </w:pPr>
          <w:hyperlink w:anchor="_Toc225682069" w:history="1">
            <w:r w:rsidRPr="00626A48">
              <w:rPr>
                <w:rStyle w:val="Hyperlink"/>
                <w:noProof/>
              </w:rPr>
              <w:t>1.5 Literature Positioning</w:t>
            </w:r>
            <w:r>
              <w:rPr>
                <w:noProof/>
                <w:webHidden/>
              </w:rPr>
              <w:tab/>
            </w:r>
            <w:r>
              <w:rPr>
                <w:noProof/>
                <w:webHidden/>
              </w:rPr>
              <w:fldChar w:fldCharType="begin"/>
            </w:r>
            <w:r>
              <w:rPr>
                <w:noProof/>
                <w:webHidden/>
              </w:rPr>
              <w:instrText xml:space="preserve"> PAGEREF _Toc225682069 \h </w:instrText>
            </w:r>
            <w:r>
              <w:rPr>
                <w:noProof/>
                <w:webHidden/>
              </w:rPr>
            </w:r>
            <w:r>
              <w:rPr>
                <w:noProof/>
                <w:webHidden/>
              </w:rPr>
              <w:fldChar w:fldCharType="separate"/>
            </w:r>
            <w:r>
              <w:rPr>
                <w:noProof/>
                <w:webHidden/>
              </w:rPr>
              <w:t>8</w:t>
            </w:r>
            <w:r>
              <w:rPr>
                <w:noProof/>
                <w:webHidden/>
              </w:rPr>
              <w:fldChar w:fldCharType="end"/>
            </w:r>
          </w:hyperlink>
        </w:p>
        <w:p w14:paraId="602E9DBE" w14:textId="350D77DA" w:rsidR="007A1A72" w:rsidRDefault="007A1A72">
          <w:pPr>
            <w:pStyle w:val="TOC2"/>
            <w:tabs>
              <w:tab w:val="right" w:leader="dot" w:pos="9350"/>
            </w:tabs>
            <w:rPr>
              <w:noProof/>
            </w:rPr>
          </w:pPr>
          <w:hyperlink w:anchor="_Toc225682070" w:history="1">
            <w:r w:rsidRPr="00626A48">
              <w:rPr>
                <w:rStyle w:val="Hyperlink"/>
                <w:noProof/>
              </w:rPr>
              <w:t>1.6 Thesis Structure</w:t>
            </w:r>
            <w:r>
              <w:rPr>
                <w:noProof/>
                <w:webHidden/>
              </w:rPr>
              <w:tab/>
            </w:r>
            <w:r>
              <w:rPr>
                <w:noProof/>
                <w:webHidden/>
              </w:rPr>
              <w:fldChar w:fldCharType="begin"/>
            </w:r>
            <w:r>
              <w:rPr>
                <w:noProof/>
                <w:webHidden/>
              </w:rPr>
              <w:instrText xml:space="preserve"> PAGEREF _Toc225682070 \h </w:instrText>
            </w:r>
            <w:r>
              <w:rPr>
                <w:noProof/>
                <w:webHidden/>
              </w:rPr>
            </w:r>
            <w:r>
              <w:rPr>
                <w:noProof/>
                <w:webHidden/>
              </w:rPr>
              <w:fldChar w:fldCharType="separate"/>
            </w:r>
            <w:r>
              <w:rPr>
                <w:noProof/>
                <w:webHidden/>
              </w:rPr>
              <w:t>9</w:t>
            </w:r>
            <w:r>
              <w:rPr>
                <w:noProof/>
                <w:webHidden/>
              </w:rPr>
              <w:fldChar w:fldCharType="end"/>
            </w:r>
          </w:hyperlink>
        </w:p>
        <w:p w14:paraId="7766678C" w14:textId="1EE81DC1" w:rsidR="007A1A72" w:rsidRDefault="007A1A72">
          <w:pPr>
            <w:pStyle w:val="TOC1"/>
            <w:tabs>
              <w:tab w:val="right" w:leader="dot" w:pos="9350"/>
            </w:tabs>
            <w:rPr>
              <w:noProof/>
            </w:rPr>
          </w:pPr>
          <w:hyperlink w:anchor="_Toc225682071" w:history="1">
            <w:r w:rsidRPr="00626A48">
              <w:rPr>
                <w:rStyle w:val="Hyperlink"/>
                <w:noProof/>
              </w:rPr>
              <w:t>Methodology</w:t>
            </w:r>
            <w:r>
              <w:rPr>
                <w:noProof/>
                <w:webHidden/>
              </w:rPr>
              <w:tab/>
            </w:r>
            <w:r>
              <w:rPr>
                <w:noProof/>
                <w:webHidden/>
              </w:rPr>
              <w:fldChar w:fldCharType="begin"/>
            </w:r>
            <w:r>
              <w:rPr>
                <w:noProof/>
                <w:webHidden/>
              </w:rPr>
              <w:instrText xml:space="preserve"> PAGEREF _Toc225682071 \h </w:instrText>
            </w:r>
            <w:r>
              <w:rPr>
                <w:noProof/>
                <w:webHidden/>
              </w:rPr>
            </w:r>
            <w:r>
              <w:rPr>
                <w:noProof/>
                <w:webHidden/>
              </w:rPr>
              <w:fldChar w:fldCharType="separate"/>
            </w:r>
            <w:r>
              <w:rPr>
                <w:noProof/>
                <w:webHidden/>
              </w:rPr>
              <w:t>9</w:t>
            </w:r>
            <w:r>
              <w:rPr>
                <w:noProof/>
                <w:webHidden/>
              </w:rPr>
              <w:fldChar w:fldCharType="end"/>
            </w:r>
          </w:hyperlink>
        </w:p>
        <w:p w14:paraId="2E9F6AC9" w14:textId="6BB1F875" w:rsidR="007A1A72" w:rsidRDefault="007A1A72">
          <w:pPr>
            <w:pStyle w:val="TOC1"/>
            <w:tabs>
              <w:tab w:val="right" w:leader="dot" w:pos="9350"/>
            </w:tabs>
            <w:rPr>
              <w:noProof/>
            </w:rPr>
          </w:pPr>
          <w:hyperlink w:anchor="_Toc225682072" w:history="1">
            <w:r w:rsidRPr="00626A48">
              <w:rPr>
                <w:rStyle w:val="Hyperlink"/>
                <w:noProof/>
              </w:rPr>
              <w:t>Methodology</w:t>
            </w:r>
            <w:r>
              <w:rPr>
                <w:noProof/>
                <w:webHidden/>
              </w:rPr>
              <w:tab/>
            </w:r>
            <w:r>
              <w:rPr>
                <w:noProof/>
                <w:webHidden/>
              </w:rPr>
              <w:fldChar w:fldCharType="begin"/>
            </w:r>
            <w:r>
              <w:rPr>
                <w:noProof/>
                <w:webHidden/>
              </w:rPr>
              <w:instrText xml:space="preserve"> PAGEREF _Toc225682072 \h </w:instrText>
            </w:r>
            <w:r>
              <w:rPr>
                <w:noProof/>
                <w:webHidden/>
              </w:rPr>
            </w:r>
            <w:r>
              <w:rPr>
                <w:noProof/>
                <w:webHidden/>
              </w:rPr>
              <w:fldChar w:fldCharType="separate"/>
            </w:r>
            <w:r>
              <w:rPr>
                <w:noProof/>
                <w:webHidden/>
              </w:rPr>
              <w:t>9</w:t>
            </w:r>
            <w:r>
              <w:rPr>
                <w:noProof/>
                <w:webHidden/>
              </w:rPr>
              <w:fldChar w:fldCharType="end"/>
            </w:r>
          </w:hyperlink>
        </w:p>
        <w:p w14:paraId="34D05D7D" w14:textId="741001DE" w:rsidR="007A1A72" w:rsidRDefault="007A1A72">
          <w:pPr>
            <w:pStyle w:val="TOC2"/>
            <w:tabs>
              <w:tab w:val="right" w:leader="dot" w:pos="9350"/>
            </w:tabs>
            <w:rPr>
              <w:noProof/>
            </w:rPr>
          </w:pPr>
          <w:hyperlink w:anchor="_Toc225682073" w:history="1">
            <w:r w:rsidRPr="00626A48">
              <w:rPr>
                <w:rStyle w:val="Hyperlink"/>
                <w:noProof/>
              </w:rPr>
              <w:t>1. Framework Overview</w:t>
            </w:r>
            <w:r>
              <w:rPr>
                <w:noProof/>
                <w:webHidden/>
              </w:rPr>
              <w:tab/>
            </w:r>
            <w:r>
              <w:rPr>
                <w:noProof/>
                <w:webHidden/>
              </w:rPr>
              <w:fldChar w:fldCharType="begin"/>
            </w:r>
            <w:r>
              <w:rPr>
                <w:noProof/>
                <w:webHidden/>
              </w:rPr>
              <w:instrText xml:space="preserve"> PAGEREF _Toc225682073 \h </w:instrText>
            </w:r>
            <w:r>
              <w:rPr>
                <w:noProof/>
                <w:webHidden/>
              </w:rPr>
            </w:r>
            <w:r>
              <w:rPr>
                <w:noProof/>
                <w:webHidden/>
              </w:rPr>
              <w:fldChar w:fldCharType="separate"/>
            </w:r>
            <w:r>
              <w:rPr>
                <w:noProof/>
                <w:webHidden/>
              </w:rPr>
              <w:t>9</w:t>
            </w:r>
            <w:r>
              <w:rPr>
                <w:noProof/>
                <w:webHidden/>
              </w:rPr>
              <w:fldChar w:fldCharType="end"/>
            </w:r>
          </w:hyperlink>
        </w:p>
        <w:p w14:paraId="389F4E4A" w14:textId="059F0532" w:rsidR="007A1A72" w:rsidRDefault="007A1A72">
          <w:pPr>
            <w:pStyle w:val="TOC2"/>
            <w:tabs>
              <w:tab w:val="right" w:leader="dot" w:pos="9350"/>
            </w:tabs>
            <w:rPr>
              <w:noProof/>
            </w:rPr>
          </w:pPr>
          <w:hyperlink w:anchor="_Toc225682074" w:history="1">
            <w:r w:rsidRPr="00626A48">
              <w:rPr>
                <w:rStyle w:val="Hyperlink"/>
                <w:noProof/>
              </w:rPr>
              <w:t>2. Model Classes and Datasets</w:t>
            </w:r>
            <w:r>
              <w:rPr>
                <w:noProof/>
                <w:webHidden/>
              </w:rPr>
              <w:tab/>
            </w:r>
            <w:r>
              <w:rPr>
                <w:noProof/>
                <w:webHidden/>
              </w:rPr>
              <w:fldChar w:fldCharType="begin"/>
            </w:r>
            <w:r>
              <w:rPr>
                <w:noProof/>
                <w:webHidden/>
              </w:rPr>
              <w:instrText xml:space="preserve"> PAGEREF _Toc225682074 \h </w:instrText>
            </w:r>
            <w:r>
              <w:rPr>
                <w:noProof/>
                <w:webHidden/>
              </w:rPr>
            </w:r>
            <w:r>
              <w:rPr>
                <w:noProof/>
                <w:webHidden/>
              </w:rPr>
              <w:fldChar w:fldCharType="separate"/>
            </w:r>
            <w:r>
              <w:rPr>
                <w:noProof/>
                <w:webHidden/>
              </w:rPr>
              <w:t>10</w:t>
            </w:r>
            <w:r>
              <w:rPr>
                <w:noProof/>
                <w:webHidden/>
              </w:rPr>
              <w:fldChar w:fldCharType="end"/>
            </w:r>
          </w:hyperlink>
        </w:p>
        <w:p w14:paraId="528B4A78" w14:textId="7C27C0EE" w:rsidR="007A1A72" w:rsidRDefault="007A1A72">
          <w:pPr>
            <w:pStyle w:val="TOC2"/>
            <w:tabs>
              <w:tab w:val="right" w:leader="dot" w:pos="9350"/>
            </w:tabs>
            <w:rPr>
              <w:noProof/>
            </w:rPr>
          </w:pPr>
          <w:hyperlink w:anchor="_Toc225682075" w:history="1">
            <w:r w:rsidRPr="00626A48">
              <w:rPr>
                <w:rStyle w:val="Hyperlink"/>
                <w:noProof/>
              </w:rPr>
              <w:t>3. Distribution Reconstruction</w:t>
            </w:r>
            <w:r>
              <w:rPr>
                <w:noProof/>
                <w:webHidden/>
              </w:rPr>
              <w:tab/>
            </w:r>
            <w:r>
              <w:rPr>
                <w:noProof/>
                <w:webHidden/>
              </w:rPr>
              <w:fldChar w:fldCharType="begin"/>
            </w:r>
            <w:r>
              <w:rPr>
                <w:noProof/>
                <w:webHidden/>
              </w:rPr>
              <w:instrText xml:space="preserve"> PAGEREF _Toc225682075 \h </w:instrText>
            </w:r>
            <w:r>
              <w:rPr>
                <w:noProof/>
                <w:webHidden/>
              </w:rPr>
            </w:r>
            <w:r>
              <w:rPr>
                <w:noProof/>
                <w:webHidden/>
              </w:rPr>
              <w:fldChar w:fldCharType="separate"/>
            </w:r>
            <w:r>
              <w:rPr>
                <w:noProof/>
                <w:webHidden/>
              </w:rPr>
              <w:t>12</w:t>
            </w:r>
            <w:r>
              <w:rPr>
                <w:noProof/>
                <w:webHidden/>
              </w:rPr>
              <w:fldChar w:fldCharType="end"/>
            </w:r>
          </w:hyperlink>
        </w:p>
        <w:p w14:paraId="44B4B26A" w14:textId="457C562B" w:rsidR="007A1A72" w:rsidRDefault="007A1A72">
          <w:pPr>
            <w:pStyle w:val="TOC2"/>
            <w:tabs>
              <w:tab w:val="right" w:leader="dot" w:pos="9350"/>
            </w:tabs>
            <w:rPr>
              <w:noProof/>
            </w:rPr>
          </w:pPr>
          <w:hyperlink w:anchor="_Toc225682076" w:history="1">
            <w:r w:rsidRPr="00626A48">
              <w:rPr>
                <w:rStyle w:val="Hyperlink"/>
                <w:noProof/>
              </w:rPr>
              <w:t>4. Diagnostic Evaluation</w:t>
            </w:r>
            <w:r>
              <w:rPr>
                <w:noProof/>
                <w:webHidden/>
              </w:rPr>
              <w:tab/>
            </w:r>
            <w:r>
              <w:rPr>
                <w:noProof/>
                <w:webHidden/>
              </w:rPr>
              <w:fldChar w:fldCharType="begin"/>
            </w:r>
            <w:r>
              <w:rPr>
                <w:noProof/>
                <w:webHidden/>
              </w:rPr>
              <w:instrText xml:space="preserve"> PAGEREF _Toc225682076 \h </w:instrText>
            </w:r>
            <w:r>
              <w:rPr>
                <w:noProof/>
                <w:webHidden/>
              </w:rPr>
            </w:r>
            <w:r>
              <w:rPr>
                <w:noProof/>
                <w:webHidden/>
              </w:rPr>
              <w:fldChar w:fldCharType="separate"/>
            </w:r>
            <w:r>
              <w:rPr>
                <w:noProof/>
                <w:webHidden/>
              </w:rPr>
              <w:t>13</w:t>
            </w:r>
            <w:r>
              <w:rPr>
                <w:noProof/>
                <w:webHidden/>
              </w:rPr>
              <w:fldChar w:fldCharType="end"/>
            </w:r>
          </w:hyperlink>
        </w:p>
        <w:p w14:paraId="632D57A9" w14:textId="5160710C" w:rsidR="007A1A72" w:rsidRDefault="007A1A72">
          <w:pPr>
            <w:pStyle w:val="TOC2"/>
            <w:tabs>
              <w:tab w:val="right" w:leader="dot" w:pos="9350"/>
            </w:tabs>
            <w:rPr>
              <w:noProof/>
            </w:rPr>
          </w:pPr>
          <w:hyperlink w:anchor="_Toc225682077" w:history="1">
            <w:r w:rsidRPr="00626A48">
              <w:rPr>
                <w:rStyle w:val="Hyperlink"/>
                <w:noProof/>
              </w:rPr>
              <w:t>5. Conformal Augmentation</w:t>
            </w:r>
            <w:r>
              <w:rPr>
                <w:noProof/>
                <w:webHidden/>
              </w:rPr>
              <w:tab/>
            </w:r>
            <w:r>
              <w:rPr>
                <w:noProof/>
                <w:webHidden/>
              </w:rPr>
              <w:fldChar w:fldCharType="begin"/>
            </w:r>
            <w:r>
              <w:rPr>
                <w:noProof/>
                <w:webHidden/>
              </w:rPr>
              <w:instrText xml:space="preserve"> PAGEREF _Toc225682077 \h </w:instrText>
            </w:r>
            <w:r>
              <w:rPr>
                <w:noProof/>
                <w:webHidden/>
              </w:rPr>
            </w:r>
            <w:r>
              <w:rPr>
                <w:noProof/>
                <w:webHidden/>
              </w:rPr>
              <w:fldChar w:fldCharType="separate"/>
            </w:r>
            <w:r>
              <w:rPr>
                <w:noProof/>
                <w:webHidden/>
              </w:rPr>
              <w:t>15</w:t>
            </w:r>
            <w:r>
              <w:rPr>
                <w:noProof/>
                <w:webHidden/>
              </w:rPr>
              <w:fldChar w:fldCharType="end"/>
            </w:r>
          </w:hyperlink>
        </w:p>
        <w:p w14:paraId="5D88CF5A" w14:textId="065838DD" w:rsidR="007A1A72" w:rsidRDefault="007A1A72">
          <w:pPr>
            <w:pStyle w:val="TOC2"/>
            <w:tabs>
              <w:tab w:val="right" w:leader="dot" w:pos="9350"/>
            </w:tabs>
            <w:rPr>
              <w:noProof/>
            </w:rPr>
          </w:pPr>
          <w:hyperlink w:anchor="_Toc225682078" w:history="1">
            <w:r w:rsidRPr="00626A48">
              <w:rPr>
                <w:rStyle w:val="Hyperlink"/>
                <w:noProof/>
              </w:rPr>
              <w:t>6. Governance Classification</w:t>
            </w:r>
            <w:r>
              <w:rPr>
                <w:noProof/>
                <w:webHidden/>
              </w:rPr>
              <w:tab/>
            </w:r>
            <w:r>
              <w:rPr>
                <w:noProof/>
                <w:webHidden/>
              </w:rPr>
              <w:fldChar w:fldCharType="begin"/>
            </w:r>
            <w:r>
              <w:rPr>
                <w:noProof/>
                <w:webHidden/>
              </w:rPr>
              <w:instrText xml:space="preserve"> PAGEREF _Toc225682078 \h </w:instrText>
            </w:r>
            <w:r>
              <w:rPr>
                <w:noProof/>
                <w:webHidden/>
              </w:rPr>
            </w:r>
            <w:r>
              <w:rPr>
                <w:noProof/>
                <w:webHidden/>
              </w:rPr>
              <w:fldChar w:fldCharType="separate"/>
            </w:r>
            <w:r>
              <w:rPr>
                <w:noProof/>
                <w:webHidden/>
              </w:rPr>
              <w:t>16</w:t>
            </w:r>
            <w:r>
              <w:rPr>
                <w:noProof/>
                <w:webHidden/>
              </w:rPr>
              <w:fldChar w:fldCharType="end"/>
            </w:r>
          </w:hyperlink>
        </w:p>
        <w:p w14:paraId="64878B2E" w14:textId="2B517C72" w:rsidR="007A1A72" w:rsidRDefault="007A1A72">
          <w:pPr>
            <w:pStyle w:val="TOC2"/>
            <w:tabs>
              <w:tab w:val="right" w:leader="dot" w:pos="9350"/>
            </w:tabs>
            <w:rPr>
              <w:noProof/>
            </w:rPr>
          </w:pPr>
          <w:hyperlink w:anchor="_Toc225682079" w:history="1">
            <w:r w:rsidRPr="00626A48">
              <w:rPr>
                <w:rStyle w:val="Hyperlink"/>
                <w:noProof/>
              </w:rPr>
              <w:t>7. Multivariate Extension</w:t>
            </w:r>
            <w:r>
              <w:rPr>
                <w:noProof/>
                <w:webHidden/>
              </w:rPr>
              <w:tab/>
            </w:r>
            <w:r>
              <w:rPr>
                <w:noProof/>
                <w:webHidden/>
              </w:rPr>
              <w:fldChar w:fldCharType="begin"/>
            </w:r>
            <w:r>
              <w:rPr>
                <w:noProof/>
                <w:webHidden/>
              </w:rPr>
              <w:instrText xml:space="preserve"> PAGEREF _Toc225682079 \h </w:instrText>
            </w:r>
            <w:r>
              <w:rPr>
                <w:noProof/>
                <w:webHidden/>
              </w:rPr>
            </w:r>
            <w:r>
              <w:rPr>
                <w:noProof/>
                <w:webHidden/>
              </w:rPr>
              <w:fldChar w:fldCharType="separate"/>
            </w:r>
            <w:r>
              <w:rPr>
                <w:noProof/>
                <w:webHidden/>
              </w:rPr>
              <w:t>17</w:t>
            </w:r>
            <w:r>
              <w:rPr>
                <w:noProof/>
                <w:webHidden/>
              </w:rPr>
              <w:fldChar w:fldCharType="end"/>
            </w:r>
          </w:hyperlink>
        </w:p>
        <w:p w14:paraId="3EF35B99" w14:textId="146A1BA3" w:rsidR="007A1A72" w:rsidRDefault="007A1A72">
          <w:pPr>
            <w:pStyle w:val="TOC2"/>
            <w:tabs>
              <w:tab w:val="right" w:leader="dot" w:pos="9350"/>
            </w:tabs>
            <w:rPr>
              <w:noProof/>
            </w:rPr>
          </w:pPr>
          <w:hyperlink w:anchor="_Toc225682080" w:history="1">
            <w:r w:rsidRPr="00626A48">
              <w:rPr>
                <w:rStyle w:val="Hyperlink"/>
                <w:noProof/>
              </w:rPr>
              <w:t>8. Reproducibility</w:t>
            </w:r>
            <w:r>
              <w:rPr>
                <w:noProof/>
                <w:webHidden/>
              </w:rPr>
              <w:tab/>
            </w:r>
            <w:r>
              <w:rPr>
                <w:noProof/>
                <w:webHidden/>
              </w:rPr>
              <w:fldChar w:fldCharType="begin"/>
            </w:r>
            <w:r>
              <w:rPr>
                <w:noProof/>
                <w:webHidden/>
              </w:rPr>
              <w:instrText xml:space="preserve"> PAGEREF _Toc225682080 \h </w:instrText>
            </w:r>
            <w:r>
              <w:rPr>
                <w:noProof/>
                <w:webHidden/>
              </w:rPr>
            </w:r>
            <w:r>
              <w:rPr>
                <w:noProof/>
                <w:webHidden/>
              </w:rPr>
              <w:fldChar w:fldCharType="separate"/>
            </w:r>
            <w:r>
              <w:rPr>
                <w:noProof/>
                <w:webHidden/>
              </w:rPr>
              <w:t>18</w:t>
            </w:r>
            <w:r>
              <w:rPr>
                <w:noProof/>
                <w:webHidden/>
              </w:rPr>
              <w:fldChar w:fldCharType="end"/>
            </w:r>
          </w:hyperlink>
        </w:p>
        <w:p w14:paraId="190DC80A" w14:textId="7DC19E09" w:rsidR="007A1A72" w:rsidRDefault="007A1A72">
          <w:pPr>
            <w:pStyle w:val="TOC2"/>
            <w:tabs>
              <w:tab w:val="right" w:leader="dot" w:pos="9350"/>
            </w:tabs>
            <w:rPr>
              <w:noProof/>
            </w:rPr>
          </w:pPr>
          <w:hyperlink w:anchor="_Toc225682081" w:history="1">
            <w:r w:rsidRPr="00626A48">
              <w:rPr>
                <w:rStyle w:val="Hyperlink"/>
                <w:noProof/>
              </w:rPr>
              <w:t>9. Production Architecture</w:t>
            </w:r>
            <w:r>
              <w:rPr>
                <w:noProof/>
                <w:webHidden/>
              </w:rPr>
              <w:tab/>
            </w:r>
            <w:r>
              <w:rPr>
                <w:noProof/>
                <w:webHidden/>
              </w:rPr>
              <w:fldChar w:fldCharType="begin"/>
            </w:r>
            <w:r>
              <w:rPr>
                <w:noProof/>
                <w:webHidden/>
              </w:rPr>
              <w:instrText xml:space="preserve"> PAGEREF _Toc225682081 \h </w:instrText>
            </w:r>
            <w:r>
              <w:rPr>
                <w:noProof/>
                <w:webHidden/>
              </w:rPr>
            </w:r>
            <w:r>
              <w:rPr>
                <w:noProof/>
                <w:webHidden/>
              </w:rPr>
              <w:fldChar w:fldCharType="separate"/>
            </w:r>
            <w:r>
              <w:rPr>
                <w:noProof/>
                <w:webHidden/>
              </w:rPr>
              <w:t>18</w:t>
            </w:r>
            <w:r>
              <w:rPr>
                <w:noProof/>
                <w:webHidden/>
              </w:rPr>
              <w:fldChar w:fldCharType="end"/>
            </w:r>
          </w:hyperlink>
        </w:p>
        <w:p w14:paraId="40BFD7BD" w14:textId="22A08669" w:rsidR="007A1A72" w:rsidRDefault="007A1A72">
          <w:pPr>
            <w:pStyle w:val="TOC1"/>
            <w:tabs>
              <w:tab w:val="right" w:leader="dot" w:pos="9350"/>
            </w:tabs>
            <w:rPr>
              <w:noProof/>
            </w:rPr>
          </w:pPr>
          <w:hyperlink w:anchor="_Toc225682082" w:history="1">
            <w:r w:rsidRPr="00626A48">
              <w:rPr>
                <w:rStyle w:val="Hyperlink"/>
                <w:noProof/>
              </w:rPr>
              <w:t>Results</w:t>
            </w:r>
            <w:r>
              <w:rPr>
                <w:noProof/>
                <w:webHidden/>
              </w:rPr>
              <w:tab/>
            </w:r>
            <w:r>
              <w:rPr>
                <w:noProof/>
                <w:webHidden/>
              </w:rPr>
              <w:fldChar w:fldCharType="begin"/>
            </w:r>
            <w:r>
              <w:rPr>
                <w:noProof/>
                <w:webHidden/>
              </w:rPr>
              <w:instrText xml:space="preserve"> PAGEREF _Toc225682082 \h </w:instrText>
            </w:r>
            <w:r>
              <w:rPr>
                <w:noProof/>
                <w:webHidden/>
              </w:rPr>
            </w:r>
            <w:r>
              <w:rPr>
                <w:noProof/>
                <w:webHidden/>
              </w:rPr>
              <w:fldChar w:fldCharType="separate"/>
            </w:r>
            <w:r>
              <w:rPr>
                <w:noProof/>
                <w:webHidden/>
              </w:rPr>
              <w:t>23</w:t>
            </w:r>
            <w:r>
              <w:rPr>
                <w:noProof/>
                <w:webHidden/>
              </w:rPr>
              <w:fldChar w:fldCharType="end"/>
            </w:r>
          </w:hyperlink>
        </w:p>
        <w:p w14:paraId="1AC438AA" w14:textId="5D906467" w:rsidR="007A1A72" w:rsidRDefault="007A1A72">
          <w:pPr>
            <w:pStyle w:val="TOC1"/>
            <w:tabs>
              <w:tab w:val="right" w:leader="dot" w:pos="9350"/>
            </w:tabs>
            <w:rPr>
              <w:noProof/>
            </w:rPr>
          </w:pPr>
          <w:hyperlink w:anchor="_Toc225682083" w:history="1">
            <w:r w:rsidRPr="00626A48">
              <w:rPr>
                <w:rStyle w:val="Hyperlink"/>
                <w:noProof/>
              </w:rPr>
              <w:t>Results</w:t>
            </w:r>
            <w:r>
              <w:rPr>
                <w:noProof/>
                <w:webHidden/>
              </w:rPr>
              <w:tab/>
            </w:r>
            <w:r>
              <w:rPr>
                <w:noProof/>
                <w:webHidden/>
              </w:rPr>
              <w:fldChar w:fldCharType="begin"/>
            </w:r>
            <w:r>
              <w:rPr>
                <w:noProof/>
                <w:webHidden/>
              </w:rPr>
              <w:instrText xml:space="preserve"> PAGEREF _Toc225682083 \h </w:instrText>
            </w:r>
            <w:r>
              <w:rPr>
                <w:noProof/>
                <w:webHidden/>
              </w:rPr>
            </w:r>
            <w:r>
              <w:rPr>
                <w:noProof/>
                <w:webHidden/>
              </w:rPr>
              <w:fldChar w:fldCharType="separate"/>
            </w:r>
            <w:r>
              <w:rPr>
                <w:noProof/>
                <w:webHidden/>
              </w:rPr>
              <w:t>23</w:t>
            </w:r>
            <w:r>
              <w:rPr>
                <w:noProof/>
                <w:webHidden/>
              </w:rPr>
              <w:fldChar w:fldCharType="end"/>
            </w:r>
          </w:hyperlink>
        </w:p>
        <w:p w14:paraId="74BEA4C7" w14:textId="53D5F09B" w:rsidR="007A1A72" w:rsidRDefault="007A1A72">
          <w:pPr>
            <w:pStyle w:val="TOC2"/>
            <w:tabs>
              <w:tab w:val="right" w:leader="dot" w:pos="9350"/>
            </w:tabs>
            <w:rPr>
              <w:noProof/>
            </w:rPr>
          </w:pPr>
          <w:hyperlink w:anchor="_Toc225682084" w:history="1">
            <w:r w:rsidRPr="00626A48">
              <w:rPr>
                <w:rStyle w:val="Hyperlink"/>
                <w:noProof/>
              </w:rPr>
              <w:t>1. ENTSO-E Short-Term Electricity Load Forecasting (run_001)</w:t>
            </w:r>
            <w:r>
              <w:rPr>
                <w:noProof/>
                <w:webHidden/>
              </w:rPr>
              <w:tab/>
            </w:r>
            <w:r>
              <w:rPr>
                <w:noProof/>
                <w:webHidden/>
              </w:rPr>
              <w:fldChar w:fldCharType="begin"/>
            </w:r>
            <w:r>
              <w:rPr>
                <w:noProof/>
                <w:webHidden/>
              </w:rPr>
              <w:instrText xml:space="preserve"> PAGEREF _Toc225682084 \h </w:instrText>
            </w:r>
            <w:r>
              <w:rPr>
                <w:noProof/>
                <w:webHidden/>
              </w:rPr>
            </w:r>
            <w:r>
              <w:rPr>
                <w:noProof/>
                <w:webHidden/>
              </w:rPr>
              <w:fldChar w:fldCharType="separate"/>
            </w:r>
            <w:r>
              <w:rPr>
                <w:noProof/>
                <w:webHidden/>
              </w:rPr>
              <w:t>24</w:t>
            </w:r>
            <w:r>
              <w:rPr>
                <w:noProof/>
                <w:webHidden/>
              </w:rPr>
              <w:fldChar w:fldCharType="end"/>
            </w:r>
          </w:hyperlink>
        </w:p>
        <w:p w14:paraId="50C44A06" w14:textId="2A8B123B" w:rsidR="007A1A72" w:rsidRDefault="007A1A72">
          <w:pPr>
            <w:pStyle w:val="TOC2"/>
            <w:tabs>
              <w:tab w:val="right" w:leader="dot" w:pos="9350"/>
            </w:tabs>
            <w:rPr>
              <w:noProof/>
            </w:rPr>
          </w:pPr>
          <w:hyperlink w:anchor="_Toc225682085" w:history="1">
            <w:r w:rsidRPr="00626A48">
              <w:rPr>
                <w:rStyle w:val="Hyperlink"/>
                <w:noProof/>
              </w:rPr>
              <w:t>2. Long-Term PV Generation (run_002)</w:t>
            </w:r>
            <w:r>
              <w:rPr>
                <w:noProof/>
                <w:webHidden/>
              </w:rPr>
              <w:tab/>
            </w:r>
            <w:r>
              <w:rPr>
                <w:noProof/>
                <w:webHidden/>
              </w:rPr>
              <w:fldChar w:fldCharType="begin"/>
            </w:r>
            <w:r>
              <w:rPr>
                <w:noProof/>
                <w:webHidden/>
              </w:rPr>
              <w:instrText xml:space="preserve"> PAGEREF _Toc225682085 \h </w:instrText>
            </w:r>
            <w:r>
              <w:rPr>
                <w:noProof/>
                <w:webHidden/>
              </w:rPr>
            </w:r>
            <w:r>
              <w:rPr>
                <w:noProof/>
                <w:webHidden/>
              </w:rPr>
              <w:fldChar w:fldCharType="separate"/>
            </w:r>
            <w:r>
              <w:rPr>
                <w:noProof/>
                <w:webHidden/>
              </w:rPr>
              <w:t>26</w:t>
            </w:r>
            <w:r>
              <w:rPr>
                <w:noProof/>
                <w:webHidden/>
              </w:rPr>
              <w:fldChar w:fldCharType="end"/>
            </w:r>
          </w:hyperlink>
        </w:p>
        <w:p w14:paraId="15589908" w14:textId="2C047ABE" w:rsidR="007A1A72" w:rsidRDefault="007A1A72">
          <w:pPr>
            <w:pStyle w:val="TOC2"/>
            <w:tabs>
              <w:tab w:val="right" w:leader="dot" w:pos="9350"/>
            </w:tabs>
            <w:rPr>
              <w:noProof/>
            </w:rPr>
          </w:pPr>
          <w:hyperlink w:anchor="_Toc225682086" w:history="1">
            <w:r w:rsidRPr="00626A48">
              <w:rPr>
                <w:rStyle w:val="Hyperlink"/>
                <w:noProof/>
              </w:rPr>
              <w:t>3. Long-Term Wind Generation (run_003)</w:t>
            </w:r>
            <w:r>
              <w:rPr>
                <w:noProof/>
                <w:webHidden/>
              </w:rPr>
              <w:tab/>
            </w:r>
            <w:r>
              <w:rPr>
                <w:noProof/>
                <w:webHidden/>
              </w:rPr>
              <w:fldChar w:fldCharType="begin"/>
            </w:r>
            <w:r>
              <w:rPr>
                <w:noProof/>
                <w:webHidden/>
              </w:rPr>
              <w:instrText xml:space="preserve"> PAGEREF _Toc225682086 \h </w:instrText>
            </w:r>
            <w:r>
              <w:rPr>
                <w:noProof/>
                <w:webHidden/>
              </w:rPr>
            </w:r>
            <w:r>
              <w:rPr>
                <w:noProof/>
                <w:webHidden/>
              </w:rPr>
              <w:fldChar w:fldCharType="separate"/>
            </w:r>
            <w:r>
              <w:rPr>
                <w:noProof/>
                <w:webHidden/>
              </w:rPr>
              <w:t>28</w:t>
            </w:r>
            <w:r>
              <w:rPr>
                <w:noProof/>
                <w:webHidden/>
              </w:rPr>
              <w:fldChar w:fldCharType="end"/>
            </w:r>
          </w:hyperlink>
        </w:p>
        <w:p w14:paraId="02F37B03" w14:textId="7A52393C" w:rsidR="007A1A72" w:rsidRDefault="007A1A72">
          <w:pPr>
            <w:pStyle w:val="TOC2"/>
            <w:tabs>
              <w:tab w:val="right" w:leader="dot" w:pos="9350"/>
            </w:tabs>
            <w:rPr>
              <w:noProof/>
            </w:rPr>
          </w:pPr>
          <w:hyperlink w:anchor="_Toc225682087" w:history="1">
            <w:r w:rsidRPr="00626A48">
              <w:rPr>
                <w:rStyle w:val="Hyperlink"/>
                <w:noProof/>
              </w:rPr>
              <w:t>4. Synthetic Simulation Model (run_004)</w:t>
            </w:r>
            <w:r>
              <w:rPr>
                <w:noProof/>
                <w:webHidden/>
              </w:rPr>
              <w:tab/>
            </w:r>
            <w:r>
              <w:rPr>
                <w:noProof/>
                <w:webHidden/>
              </w:rPr>
              <w:fldChar w:fldCharType="begin"/>
            </w:r>
            <w:r>
              <w:rPr>
                <w:noProof/>
                <w:webHidden/>
              </w:rPr>
              <w:instrText xml:space="preserve"> PAGEREF _Toc225682087 \h </w:instrText>
            </w:r>
            <w:r>
              <w:rPr>
                <w:noProof/>
                <w:webHidden/>
              </w:rPr>
            </w:r>
            <w:r>
              <w:rPr>
                <w:noProof/>
                <w:webHidden/>
              </w:rPr>
              <w:fldChar w:fldCharType="separate"/>
            </w:r>
            <w:r>
              <w:rPr>
                <w:noProof/>
                <w:webHidden/>
              </w:rPr>
              <w:t>30</w:t>
            </w:r>
            <w:r>
              <w:rPr>
                <w:noProof/>
                <w:webHidden/>
              </w:rPr>
              <w:fldChar w:fldCharType="end"/>
            </w:r>
          </w:hyperlink>
        </w:p>
        <w:p w14:paraId="51C2D0EB" w14:textId="7CCC0873" w:rsidR="007A1A72" w:rsidRDefault="007A1A72">
          <w:pPr>
            <w:pStyle w:val="TOC2"/>
            <w:tabs>
              <w:tab w:val="right" w:leader="dot" w:pos="9350"/>
            </w:tabs>
            <w:rPr>
              <w:noProof/>
            </w:rPr>
          </w:pPr>
          <w:hyperlink w:anchor="_Toc225682088" w:history="1">
            <w:r w:rsidRPr="00626A48">
              <w:rPr>
                <w:rStyle w:val="Hyperlink"/>
                <w:noProof/>
              </w:rPr>
              <w:t>4b. Extended Simulation — Electricity Price, Natural Gas, Carbon (run_011–013)</w:t>
            </w:r>
            <w:r>
              <w:rPr>
                <w:noProof/>
                <w:webHidden/>
              </w:rPr>
              <w:tab/>
            </w:r>
            <w:r>
              <w:rPr>
                <w:noProof/>
                <w:webHidden/>
              </w:rPr>
              <w:fldChar w:fldCharType="begin"/>
            </w:r>
            <w:r>
              <w:rPr>
                <w:noProof/>
                <w:webHidden/>
              </w:rPr>
              <w:instrText xml:space="preserve"> PAGEREF _Toc225682088 \h </w:instrText>
            </w:r>
            <w:r>
              <w:rPr>
                <w:noProof/>
                <w:webHidden/>
              </w:rPr>
            </w:r>
            <w:r>
              <w:rPr>
                <w:noProof/>
                <w:webHidden/>
              </w:rPr>
              <w:fldChar w:fldCharType="separate"/>
            </w:r>
            <w:r>
              <w:rPr>
                <w:noProof/>
                <w:webHidden/>
              </w:rPr>
              <w:t>31</w:t>
            </w:r>
            <w:r>
              <w:rPr>
                <w:noProof/>
                <w:webHidden/>
              </w:rPr>
              <w:fldChar w:fldCharType="end"/>
            </w:r>
          </w:hyperlink>
        </w:p>
        <w:p w14:paraId="39D5B55E" w14:textId="05F09E0B" w:rsidR="007A1A72" w:rsidRDefault="007A1A72">
          <w:pPr>
            <w:pStyle w:val="TOC2"/>
            <w:tabs>
              <w:tab w:val="right" w:leader="dot" w:pos="9350"/>
            </w:tabs>
            <w:rPr>
              <w:noProof/>
            </w:rPr>
          </w:pPr>
          <w:hyperlink w:anchor="_Toc225682089" w:history="1">
            <w:r w:rsidRPr="00626A48">
              <w:rPr>
                <w:rStyle w:val="Hyperlink"/>
                <w:noProof/>
              </w:rPr>
              <w:t>5. Synthetic Simulation — Misspecification Scenarios (run_004b)</w:t>
            </w:r>
            <w:r>
              <w:rPr>
                <w:noProof/>
                <w:webHidden/>
              </w:rPr>
              <w:tab/>
            </w:r>
            <w:r>
              <w:rPr>
                <w:noProof/>
                <w:webHidden/>
              </w:rPr>
              <w:fldChar w:fldCharType="begin"/>
            </w:r>
            <w:r>
              <w:rPr>
                <w:noProof/>
                <w:webHidden/>
              </w:rPr>
              <w:instrText xml:space="preserve"> PAGEREF _Toc225682089 \h </w:instrText>
            </w:r>
            <w:r>
              <w:rPr>
                <w:noProof/>
                <w:webHidden/>
              </w:rPr>
            </w:r>
            <w:r>
              <w:rPr>
                <w:noProof/>
                <w:webHidden/>
              </w:rPr>
              <w:fldChar w:fldCharType="separate"/>
            </w:r>
            <w:r>
              <w:rPr>
                <w:noProof/>
                <w:webHidden/>
              </w:rPr>
              <w:t>32</w:t>
            </w:r>
            <w:r>
              <w:rPr>
                <w:noProof/>
                <w:webHidden/>
              </w:rPr>
              <w:fldChar w:fldCharType="end"/>
            </w:r>
          </w:hyperlink>
        </w:p>
        <w:p w14:paraId="569BBA81" w14:textId="418D7196" w:rsidR="007A1A72" w:rsidRDefault="007A1A72">
          <w:pPr>
            <w:pStyle w:val="TOC2"/>
            <w:tabs>
              <w:tab w:val="right" w:leader="dot" w:pos="9350"/>
            </w:tabs>
            <w:rPr>
              <w:noProof/>
            </w:rPr>
          </w:pPr>
          <w:hyperlink w:anchor="_Toc225682090" w:history="1">
            <w:r w:rsidRPr="00626A48">
              <w:rPr>
                <w:rStyle w:val="Hyperlink"/>
                <w:noProof/>
              </w:rPr>
              <w:t>6. Multivariate Dependency Analysis — PV and Wind (run_005)</w:t>
            </w:r>
            <w:r>
              <w:rPr>
                <w:noProof/>
                <w:webHidden/>
              </w:rPr>
              <w:tab/>
            </w:r>
            <w:r>
              <w:rPr>
                <w:noProof/>
                <w:webHidden/>
              </w:rPr>
              <w:fldChar w:fldCharType="begin"/>
            </w:r>
            <w:r>
              <w:rPr>
                <w:noProof/>
                <w:webHidden/>
              </w:rPr>
              <w:instrText xml:space="preserve"> PAGEREF _Toc225682090 \h </w:instrText>
            </w:r>
            <w:r>
              <w:rPr>
                <w:noProof/>
                <w:webHidden/>
              </w:rPr>
            </w:r>
            <w:r>
              <w:rPr>
                <w:noProof/>
                <w:webHidden/>
              </w:rPr>
              <w:fldChar w:fldCharType="separate"/>
            </w:r>
            <w:r>
              <w:rPr>
                <w:noProof/>
                <w:webHidden/>
              </w:rPr>
              <w:t>34</w:t>
            </w:r>
            <w:r>
              <w:rPr>
                <w:noProof/>
                <w:webHidden/>
              </w:rPr>
              <w:fldChar w:fldCharType="end"/>
            </w:r>
          </w:hyperlink>
        </w:p>
        <w:p w14:paraId="2F4EBB29" w14:textId="67BC98BD" w:rsidR="007A1A72" w:rsidRDefault="007A1A72">
          <w:pPr>
            <w:pStyle w:val="TOC2"/>
            <w:tabs>
              <w:tab w:val="right" w:leader="dot" w:pos="9350"/>
            </w:tabs>
            <w:rPr>
              <w:noProof/>
            </w:rPr>
          </w:pPr>
          <w:hyperlink w:anchor="_Toc225682091" w:history="1">
            <w:r w:rsidRPr="00626A48">
              <w:rPr>
                <w:rStyle w:val="Hyperlink"/>
                <w:noProof/>
              </w:rPr>
              <w:t>6b. Multivariate Extended Simulation — Five Commodity Series (run_014)</w:t>
            </w:r>
            <w:r>
              <w:rPr>
                <w:noProof/>
                <w:webHidden/>
              </w:rPr>
              <w:tab/>
            </w:r>
            <w:r>
              <w:rPr>
                <w:noProof/>
                <w:webHidden/>
              </w:rPr>
              <w:fldChar w:fldCharType="begin"/>
            </w:r>
            <w:r>
              <w:rPr>
                <w:noProof/>
                <w:webHidden/>
              </w:rPr>
              <w:instrText xml:space="preserve"> PAGEREF _Toc225682091 \h </w:instrText>
            </w:r>
            <w:r>
              <w:rPr>
                <w:noProof/>
                <w:webHidden/>
              </w:rPr>
            </w:r>
            <w:r>
              <w:rPr>
                <w:noProof/>
                <w:webHidden/>
              </w:rPr>
              <w:fldChar w:fldCharType="separate"/>
            </w:r>
            <w:r>
              <w:rPr>
                <w:noProof/>
                <w:webHidden/>
              </w:rPr>
              <w:t>36</w:t>
            </w:r>
            <w:r>
              <w:rPr>
                <w:noProof/>
                <w:webHidden/>
              </w:rPr>
              <w:fldChar w:fldCharType="end"/>
            </w:r>
          </w:hyperlink>
        </w:p>
        <w:p w14:paraId="7A6ED4A1" w14:textId="32579594" w:rsidR="007A1A72" w:rsidRDefault="007A1A72">
          <w:pPr>
            <w:pStyle w:val="TOC2"/>
            <w:tabs>
              <w:tab w:val="right" w:leader="dot" w:pos="9350"/>
            </w:tabs>
            <w:rPr>
              <w:noProof/>
            </w:rPr>
          </w:pPr>
          <w:hyperlink w:anchor="_Toc225682092" w:history="1">
            <w:r w:rsidRPr="00626A48">
              <w:rPr>
                <w:rStyle w:val="Hyperlink"/>
                <w:noProof/>
              </w:rPr>
              <w:t>7. Cross-Dataset Synthesis</w:t>
            </w:r>
            <w:r>
              <w:rPr>
                <w:noProof/>
                <w:webHidden/>
              </w:rPr>
              <w:tab/>
            </w:r>
            <w:r>
              <w:rPr>
                <w:noProof/>
                <w:webHidden/>
              </w:rPr>
              <w:fldChar w:fldCharType="begin"/>
            </w:r>
            <w:r>
              <w:rPr>
                <w:noProof/>
                <w:webHidden/>
              </w:rPr>
              <w:instrText xml:space="preserve"> PAGEREF _Toc225682092 \h </w:instrText>
            </w:r>
            <w:r>
              <w:rPr>
                <w:noProof/>
                <w:webHidden/>
              </w:rPr>
            </w:r>
            <w:r>
              <w:rPr>
                <w:noProof/>
                <w:webHidden/>
              </w:rPr>
              <w:fldChar w:fldCharType="separate"/>
            </w:r>
            <w:r>
              <w:rPr>
                <w:noProof/>
                <w:webHidden/>
              </w:rPr>
              <w:t>37</w:t>
            </w:r>
            <w:r>
              <w:rPr>
                <w:noProof/>
                <w:webHidden/>
              </w:rPr>
              <w:fldChar w:fldCharType="end"/>
            </w:r>
          </w:hyperlink>
        </w:p>
        <w:p w14:paraId="08E0224C" w14:textId="04A6D43E" w:rsidR="007A1A72" w:rsidRDefault="007A1A72">
          <w:pPr>
            <w:pStyle w:val="TOC2"/>
            <w:tabs>
              <w:tab w:val="right" w:leader="dot" w:pos="9350"/>
            </w:tabs>
            <w:rPr>
              <w:noProof/>
            </w:rPr>
          </w:pPr>
          <w:hyperlink w:anchor="_Toc225682093" w:history="1">
            <w:r w:rsidRPr="00626A48">
              <w:rPr>
                <w:rStyle w:val="Hyperlink"/>
                <w:noProof/>
              </w:rPr>
              <w:t>8. Conformal Augmentation Results (Reference)</w:t>
            </w:r>
            <w:r>
              <w:rPr>
                <w:noProof/>
                <w:webHidden/>
              </w:rPr>
              <w:tab/>
            </w:r>
            <w:r>
              <w:rPr>
                <w:noProof/>
                <w:webHidden/>
              </w:rPr>
              <w:fldChar w:fldCharType="begin"/>
            </w:r>
            <w:r>
              <w:rPr>
                <w:noProof/>
                <w:webHidden/>
              </w:rPr>
              <w:instrText xml:space="preserve"> PAGEREF _Toc225682093 \h </w:instrText>
            </w:r>
            <w:r>
              <w:rPr>
                <w:noProof/>
                <w:webHidden/>
              </w:rPr>
            </w:r>
            <w:r>
              <w:rPr>
                <w:noProof/>
                <w:webHidden/>
              </w:rPr>
              <w:fldChar w:fldCharType="separate"/>
            </w:r>
            <w:r>
              <w:rPr>
                <w:noProof/>
                <w:webHidden/>
              </w:rPr>
              <w:t>41</w:t>
            </w:r>
            <w:r>
              <w:rPr>
                <w:noProof/>
                <w:webHidden/>
              </w:rPr>
              <w:fldChar w:fldCharType="end"/>
            </w:r>
          </w:hyperlink>
        </w:p>
        <w:p w14:paraId="19907030" w14:textId="34697E39" w:rsidR="007A1A72" w:rsidRDefault="007A1A72">
          <w:pPr>
            <w:pStyle w:val="TOC2"/>
            <w:tabs>
              <w:tab w:val="right" w:leader="dot" w:pos="9350"/>
            </w:tabs>
            <w:rPr>
              <w:noProof/>
            </w:rPr>
          </w:pPr>
          <w:hyperlink w:anchor="_Toc225682094" w:history="1">
            <w:r w:rsidRPr="00626A48">
              <w:rPr>
                <w:rStyle w:val="Hyperlink"/>
                <w:noProof/>
              </w:rPr>
              <w:t>9. VaR Sensitivity Analysis (run_006)</w:t>
            </w:r>
            <w:r>
              <w:rPr>
                <w:noProof/>
                <w:webHidden/>
              </w:rPr>
              <w:tab/>
            </w:r>
            <w:r>
              <w:rPr>
                <w:noProof/>
                <w:webHidden/>
              </w:rPr>
              <w:fldChar w:fldCharType="begin"/>
            </w:r>
            <w:r>
              <w:rPr>
                <w:noProof/>
                <w:webHidden/>
              </w:rPr>
              <w:instrText xml:space="preserve"> PAGEREF _Toc225682094 \h </w:instrText>
            </w:r>
            <w:r>
              <w:rPr>
                <w:noProof/>
                <w:webHidden/>
              </w:rPr>
            </w:r>
            <w:r>
              <w:rPr>
                <w:noProof/>
                <w:webHidden/>
              </w:rPr>
              <w:fldChar w:fldCharType="separate"/>
            </w:r>
            <w:r>
              <w:rPr>
                <w:noProof/>
                <w:webHidden/>
              </w:rPr>
              <w:t>41</w:t>
            </w:r>
            <w:r>
              <w:rPr>
                <w:noProof/>
                <w:webHidden/>
              </w:rPr>
              <w:fldChar w:fldCharType="end"/>
            </w:r>
          </w:hyperlink>
        </w:p>
        <w:p w14:paraId="552CAC37" w14:textId="288ADAB1" w:rsidR="007A1A72" w:rsidRDefault="007A1A72">
          <w:pPr>
            <w:pStyle w:val="TOC2"/>
            <w:tabs>
              <w:tab w:val="right" w:leader="dot" w:pos="9350"/>
            </w:tabs>
            <w:rPr>
              <w:noProof/>
            </w:rPr>
          </w:pPr>
          <w:hyperlink w:anchor="_Toc225682095" w:history="1">
            <w:r w:rsidRPr="00626A48">
              <w:rPr>
                <w:rStyle w:val="Hyperlink"/>
                <w:noProof/>
              </w:rPr>
              <w:t>10. Traffic-Light Stability Analysis (run_007)</w:t>
            </w:r>
            <w:r>
              <w:rPr>
                <w:noProof/>
                <w:webHidden/>
              </w:rPr>
              <w:tab/>
            </w:r>
            <w:r>
              <w:rPr>
                <w:noProof/>
                <w:webHidden/>
              </w:rPr>
              <w:fldChar w:fldCharType="begin"/>
            </w:r>
            <w:r>
              <w:rPr>
                <w:noProof/>
                <w:webHidden/>
              </w:rPr>
              <w:instrText xml:space="preserve"> PAGEREF _Toc225682095 \h </w:instrText>
            </w:r>
            <w:r>
              <w:rPr>
                <w:noProof/>
                <w:webHidden/>
              </w:rPr>
            </w:r>
            <w:r>
              <w:rPr>
                <w:noProof/>
                <w:webHidden/>
              </w:rPr>
              <w:fldChar w:fldCharType="separate"/>
            </w:r>
            <w:r>
              <w:rPr>
                <w:noProof/>
                <w:webHidden/>
              </w:rPr>
              <w:t>44</w:t>
            </w:r>
            <w:r>
              <w:rPr>
                <w:noProof/>
                <w:webHidden/>
              </w:rPr>
              <w:fldChar w:fldCharType="end"/>
            </w:r>
          </w:hyperlink>
        </w:p>
        <w:p w14:paraId="2DD79E76" w14:textId="4955FD46" w:rsidR="007A1A72" w:rsidRDefault="007A1A72">
          <w:pPr>
            <w:pStyle w:val="TOC2"/>
            <w:tabs>
              <w:tab w:val="right" w:leader="dot" w:pos="9350"/>
            </w:tabs>
            <w:rPr>
              <w:noProof/>
            </w:rPr>
          </w:pPr>
          <w:hyperlink w:anchor="_Toc225682096" w:history="1">
            <w:r w:rsidRPr="00626A48">
              <w:rPr>
                <w:rStyle w:val="Hyperlink"/>
                <w:noProof/>
              </w:rPr>
              <w:t>11. Governance Decisions and Narrative Generation (run_008)</w:t>
            </w:r>
            <w:r>
              <w:rPr>
                <w:noProof/>
                <w:webHidden/>
              </w:rPr>
              <w:tab/>
            </w:r>
            <w:r>
              <w:rPr>
                <w:noProof/>
                <w:webHidden/>
              </w:rPr>
              <w:fldChar w:fldCharType="begin"/>
            </w:r>
            <w:r>
              <w:rPr>
                <w:noProof/>
                <w:webHidden/>
              </w:rPr>
              <w:instrText xml:space="preserve"> PAGEREF _Toc225682096 \h </w:instrText>
            </w:r>
            <w:r>
              <w:rPr>
                <w:noProof/>
                <w:webHidden/>
              </w:rPr>
            </w:r>
            <w:r>
              <w:rPr>
                <w:noProof/>
                <w:webHidden/>
              </w:rPr>
              <w:fldChar w:fldCharType="separate"/>
            </w:r>
            <w:r>
              <w:rPr>
                <w:noProof/>
                <w:webHidden/>
              </w:rPr>
              <w:t>45</w:t>
            </w:r>
            <w:r>
              <w:rPr>
                <w:noProof/>
                <w:webHidden/>
              </w:rPr>
              <w:fldChar w:fldCharType="end"/>
            </w:r>
          </w:hyperlink>
        </w:p>
        <w:p w14:paraId="43E6DE99" w14:textId="3E4F5726" w:rsidR="007A1A72" w:rsidRDefault="007A1A72">
          <w:pPr>
            <w:pStyle w:val="TOC1"/>
            <w:tabs>
              <w:tab w:val="right" w:leader="dot" w:pos="9350"/>
            </w:tabs>
            <w:rPr>
              <w:noProof/>
            </w:rPr>
          </w:pPr>
          <w:hyperlink w:anchor="_Toc225682097" w:history="1">
            <w:r w:rsidRPr="00626A48">
              <w:rPr>
                <w:rStyle w:val="Hyperlink"/>
                <w:noProof/>
              </w:rPr>
              <w:t>Discussion</w:t>
            </w:r>
            <w:r>
              <w:rPr>
                <w:noProof/>
                <w:webHidden/>
              </w:rPr>
              <w:tab/>
            </w:r>
            <w:r>
              <w:rPr>
                <w:noProof/>
                <w:webHidden/>
              </w:rPr>
              <w:fldChar w:fldCharType="begin"/>
            </w:r>
            <w:r>
              <w:rPr>
                <w:noProof/>
                <w:webHidden/>
              </w:rPr>
              <w:instrText xml:space="preserve"> PAGEREF _Toc225682097 \h </w:instrText>
            </w:r>
            <w:r>
              <w:rPr>
                <w:noProof/>
                <w:webHidden/>
              </w:rPr>
            </w:r>
            <w:r>
              <w:rPr>
                <w:noProof/>
                <w:webHidden/>
              </w:rPr>
              <w:fldChar w:fldCharType="separate"/>
            </w:r>
            <w:r>
              <w:rPr>
                <w:noProof/>
                <w:webHidden/>
              </w:rPr>
              <w:t>47</w:t>
            </w:r>
            <w:r>
              <w:rPr>
                <w:noProof/>
                <w:webHidden/>
              </w:rPr>
              <w:fldChar w:fldCharType="end"/>
            </w:r>
          </w:hyperlink>
        </w:p>
        <w:p w14:paraId="0AF6633C" w14:textId="1C381788" w:rsidR="007A1A72" w:rsidRDefault="007A1A72">
          <w:pPr>
            <w:pStyle w:val="TOC1"/>
            <w:tabs>
              <w:tab w:val="right" w:leader="dot" w:pos="9350"/>
            </w:tabs>
            <w:rPr>
              <w:noProof/>
            </w:rPr>
          </w:pPr>
          <w:hyperlink w:anchor="_Toc225682098" w:history="1">
            <w:r w:rsidRPr="00626A48">
              <w:rPr>
                <w:rStyle w:val="Hyperlink"/>
                <w:noProof/>
              </w:rPr>
              <w:t>Discussion</w:t>
            </w:r>
            <w:r>
              <w:rPr>
                <w:noProof/>
                <w:webHidden/>
              </w:rPr>
              <w:tab/>
            </w:r>
            <w:r>
              <w:rPr>
                <w:noProof/>
                <w:webHidden/>
              </w:rPr>
              <w:fldChar w:fldCharType="begin"/>
            </w:r>
            <w:r>
              <w:rPr>
                <w:noProof/>
                <w:webHidden/>
              </w:rPr>
              <w:instrText xml:space="preserve"> PAGEREF _Toc225682098 \h </w:instrText>
            </w:r>
            <w:r>
              <w:rPr>
                <w:noProof/>
                <w:webHidden/>
              </w:rPr>
            </w:r>
            <w:r>
              <w:rPr>
                <w:noProof/>
                <w:webHidden/>
              </w:rPr>
              <w:fldChar w:fldCharType="separate"/>
            </w:r>
            <w:r>
              <w:rPr>
                <w:noProof/>
                <w:webHidden/>
              </w:rPr>
              <w:t>47</w:t>
            </w:r>
            <w:r>
              <w:rPr>
                <w:noProof/>
                <w:webHidden/>
              </w:rPr>
              <w:fldChar w:fldCharType="end"/>
            </w:r>
          </w:hyperlink>
        </w:p>
        <w:p w14:paraId="2949AB7F" w14:textId="18AEA899" w:rsidR="007A1A72" w:rsidRDefault="007A1A72">
          <w:pPr>
            <w:pStyle w:val="TOC2"/>
            <w:tabs>
              <w:tab w:val="right" w:leader="dot" w:pos="9350"/>
            </w:tabs>
            <w:rPr>
              <w:noProof/>
            </w:rPr>
          </w:pPr>
          <w:hyperlink w:anchor="_Toc225682099" w:history="1">
            <w:r w:rsidRPr="00626A48">
              <w:rPr>
                <w:rStyle w:val="Hyperlink"/>
                <w:noProof/>
              </w:rPr>
              <w:t>1. RQ1 — A Unified Probabilistic Reliability Architecture</w:t>
            </w:r>
            <w:r>
              <w:rPr>
                <w:noProof/>
                <w:webHidden/>
              </w:rPr>
              <w:tab/>
            </w:r>
            <w:r>
              <w:rPr>
                <w:noProof/>
                <w:webHidden/>
              </w:rPr>
              <w:fldChar w:fldCharType="begin"/>
            </w:r>
            <w:r>
              <w:rPr>
                <w:noProof/>
                <w:webHidden/>
              </w:rPr>
              <w:instrText xml:space="preserve"> PAGEREF _Toc225682099 \h </w:instrText>
            </w:r>
            <w:r>
              <w:rPr>
                <w:noProof/>
                <w:webHidden/>
              </w:rPr>
            </w:r>
            <w:r>
              <w:rPr>
                <w:noProof/>
                <w:webHidden/>
              </w:rPr>
              <w:fldChar w:fldCharType="separate"/>
            </w:r>
            <w:r>
              <w:rPr>
                <w:noProof/>
                <w:webHidden/>
              </w:rPr>
              <w:t>48</w:t>
            </w:r>
            <w:r>
              <w:rPr>
                <w:noProof/>
                <w:webHidden/>
              </w:rPr>
              <w:fldChar w:fldCharType="end"/>
            </w:r>
          </w:hyperlink>
        </w:p>
        <w:p w14:paraId="0A44F18B" w14:textId="6B0AE1E3" w:rsidR="007A1A72" w:rsidRDefault="007A1A72">
          <w:pPr>
            <w:pStyle w:val="TOC2"/>
            <w:tabs>
              <w:tab w:val="right" w:leader="dot" w:pos="9350"/>
            </w:tabs>
            <w:rPr>
              <w:noProof/>
            </w:rPr>
          </w:pPr>
          <w:hyperlink w:anchor="_Toc225682100" w:history="1">
            <w:r w:rsidRPr="00626A48">
              <w:rPr>
                <w:rStyle w:val="Hyperlink"/>
                <w:noProof/>
              </w:rPr>
              <w:t>2. RQ2 — Conformal Augmentation Under Regime Shifts</w:t>
            </w:r>
            <w:r>
              <w:rPr>
                <w:noProof/>
                <w:webHidden/>
              </w:rPr>
              <w:tab/>
            </w:r>
            <w:r>
              <w:rPr>
                <w:noProof/>
                <w:webHidden/>
              </w:rPr>
              <w:fldChar w:fldCharType="begin"/>
            </w:r>
            <w:r>
              <w:rPr>
                <w:noProof/>
                <w:webHidden/>
              </w:rPr>
              <w:instrText xml:space="preserve"> PAGEREF _Toc225682100 \h </w:instrText>
            </w:r>
            <w:r>
              <w:rPr>
                <w:noProof/>
                <w:webHidden/>
              </w:rPr>
            </w:r>
            <w:r>
              <w:rPr>
                <w:noProof/>
                <w:webHidden/>
              </w:rPr>
              <w:fldChar w:fldCharType="separate"/>
            </w:r>
            <w:r>
              <w:rPr>
                <w:noProof/>
                <w:webHidden/>
              </w:rPr>
              <w:t>49</w:t>
            </w:r>
            <w:r>
              <w:rPr>
                <w:noProof/>
                <w:webHidden/>
              </w:rPr>
              <w:fldChar w:fldCharType="end"/>
            </w:r>
          </w:hyperlink>
        </w:p>
        <w:p w14:paraId="11F32323" w14:textId="67219E63" w:rsidR="007A1A72" w:rsidRDefault="007A1A72">
          <w:pPr>
            <w:pStyle w:val="TOC2"/>
            <w:tabs>
              <w:tab w:val="right" w:leader="dot" w:pos="9350"/>
            </w:tabs>
            <w:rPr>
              <w:noProof/>
            </w:rPr>
          </w:pPr>
          <w:hyperlink w:anchor="_Toc225682101" w:history="1">
            <w:r w:rsidRPr="00626A48">
              <w:rPr>
                <w:rStyle w:val="Hyperlink"/>
                <w:noProof/>
              </w:rPr>
              <w:t>3. RQ3 — Governance Classification</w:t>
            </w:r>
            <w:r>
              <w:rPr>
                <w:noProof/>
                <w:webHidden/>
              </w:rPr>
              <w:tab/>
            </w:r>
            <w:r>
              <w:rPr>
                <w:noProof/>
                <w:webHidden/>
              </w:rPr>
              <w:fldChar w:fldCharType="begin"/>
            </w:r>
            <w:r>
              <w:rPr>
                <w:noProof/>
                <w:webHidden/>
              </w:rPr>
              <w:instrText xml:space="preserve"> PAGEREF _Toc225682101 \h </w:instrText>
            </w:r>
            <w:r>
              <w:rPr>
                <w:noProof/>
                <w:webHidden/>
              </w:rPr>
            </w:r>
            <w:r>
              <w:rPr>
                <w:noProof/>
                <w:webHidden/>
              </w:rPr>
              <w:fldChar w:fldCharType="separate"/>
            </w:r>
            <w:r>
              <w:rPr>
                <w:noProof/>
                <w:webHidden/>
              </w:rPr>
              <w:t>50</w:t>
            </w:r>
            <w:r>
              <w:rPr>
                <w:noProof/>
                <w:webHidden/>
              </w:rPr>
              <w:fldChar w:fldCharType="end"/>
            </w:r>
          </w:hyperlink>
        </w:p>
        <w:p w14:paraId="3797ADB0" w14:textId="3D986D80" w:rsidR="007A1A72" w:rsidRDefault="007A1A72">
          <w:pPr>
            <w:pStyle w:val="TOC2"/>
            <w:tabs>
              <w:tab w:val="right" w:leader="dot" w:pos="9350"/>
            </w:tabs>
            <w:rPr>
              <w:noProof/>
            </w:rPr>
          </w:pPr>
          <w:hyperlink w:anchor="_Toc225682102" w:history="1">
            <w:r w:rsidRPr="00626A48">
              <w:rPr>
                <w:rStyle w:val="Hyperlink"/>
                <w:noProof/>
              </w:rPr>
              <w:t>4. Limitations</w:t>
            </w:r>
            <w:r>
              <w:rPr>
                <w:noProof/>
                <w:webHidden/>
              </w:rPr>
              <w:tab/>
            </w:r>
            <w:r>
              <w:rPr>
                <w:noProof/>
                <w:webHidden/>
              </w:rPr>
              <w:fldChar w:fldCharType="begin"/>
            </w:r>
            <w:r>
              <w:rPr>
                <w:noProof/>
                <w:webHidden/>
              </w:rPr>
              <w:instrText xml:space="preserve"> PAGEREF _Toc225682102 \h </w:instrText>
            </w:r>
            <w:r>
              <w:rPr>
                <w:noProof/>
                <w:webHidden/>
              </w:rPr>
            </w:r>
            <w:r>
              <w:rPr>
                <w:noProof/>
                <w:webHidden/>
              </w:rPr>
              <w:fldChar w:fldCharType="separate"/>
            </w:r>
            <w:r>
              <w:rPr>
                <w:noProof/>
                <w:webHidden/>
              </w:rPr>
              <w:t>53</w:t>
            </w:r>
            <w:r>
              <w:rPr>
                <w:noProof/>
                <w:webHidden/>
              </w:rPr>
              <w:fldChar w:fldCharType="end"/>
            </w:r>
          </w:hyperlink>
        </w:p>
        <w:p w14:paraId="50EF06B6" w14:textId="6D1C4EE8" w:rsidR="007A1A72" w:rsidRDefault="007A1A72">
          <w:pPr>
            <w:pStyle w:val="TOC2"/>
            <w:tabs>
              <w:tab w:val="right" w:leader="dot" w:pos="9350"/>
            </w:tabs>
            <w:rPr>
              <w:noProof/>
            </w:rPr>
          </w:pPr>
          <w:hyperlink w:anchor="_Toc225682103" w:history="1">
            <w:r w:rsidRPr="00626A48">
              <w:rPr>
                <w:rStyle w:val="Hyperlink"/>
                <w:noProof/>
              </w:rPr>
              <w:t>5. Relation to Prior Work</w:t>
            </w:r>
            <w:r>
              <w:rPr>
                <w:noProof/>
                <w:webHidden/>
              </w:rPr>
              <w:tab/>
            </w:r>
            <w:r>
              <w:rPr>
                <w:noProof/>
                <w:webHidden/>
              </w:rPr>
              <w:fldChar w:fldCharType="begin"/>
            </w:r>
            <w:r>
              <w:rPr>
                <w:noProof/>
                <w:webHidden/>
              </w:rPr>
              <w:instrText xml:space="preserve"> PAGEREF _Toc225682103 \h </w:instrText>
            </w:r>
            <w:r>
              <w:rPr>
                <w:noProof/>
                <w:webHidden/>
              </w:rPr>
            </w:r>
            <w:r>
              <w:rPr>
                <w:noProof/>
                <w:webHidden/>
              </w:rPr>
              <w:fldChar w:fldCharType="separate"/>
            </w:r>
            <w:r>
              <w:rPr>
                <w:noProof/>
                <w:webHidden/>
              </w:rPr>
              <w:t>55</w:t>
            </w:r>
            <w:r>
              <w:rPr>
                <w:noProof/>
                <w:webHidden/>
              </w:rPr>
              <w:fldChar w:fldCharType="end"/>
            </w:r>
          </w:hyperlink>
        </w:p>
        <w:p w14:paraId="7CE162C8" w14:textId="542786F7" w:rsidR="007A1A72" w:rsidRDefault="007A1A72">
          <w:pPr>
            <w:pStyle w:val="TOC2"/>
            <w:tabs>
              <w:tab w:val="right" w:leader="dot" w:pos="9350"/>
            </w:tabs>
            <w:rPr>
              <w:noProof/>
            </w:rPr>
          </w:pPr>
          <w:hyperlink w:anchor="_Toc225682104" w:history="1">
            <w:r w:rsidRPr="00626A48">
              <w:rPr>
                <w:rStyle w:val="Hyperlink"/>
                <w:noProof/>
              </w:rPr>
              <w:t>6. Economic Distortion and Governance Stability (RQ3 Extension)</w:t>
            </w:r>
            <w:r>
              <w:rPr>
                <w:noProof/>
                <w:webHidden/>
              </w:rPr>
              <w:tab/>
            </w:r>
            <w:r>
              <w:rPr>
                <w:noProof/>
                <w:webHidden/>
              </w:rPr>
              <w:fldChar w:fldCharType="begin"/>
            </w:r>
            <w:r>
              <w:rPr>
                <w:noProof/>
                <w:webHidden/>
              </w:rPr>
              <w:instrText xml:space="preserve"> PAGEREF _Toc225682104 \h </w:instrText>
            </w:r>
            <w:r>
              <w:rPr>
                <w:noProof/>
                <w:webHidden/>
              </w:rPr>
            </w:r>
            <w:r>
              <w:rPr>
                <w:noProof/>
                <w:webHidden/>
              </w:rPr>
              <w:fldChar w:fldCharType="separate"/>
            </w:r>
            <w:r>
              <w:rPr>
                <w:noProof/>
                <w:webHidden/>
              </w:rPr>
              <w:t>56</w:t>
            </w:r>
            <w:r>
              <w:rPr>
                <w:noProof/>
                <w:webHidden/>
              </w:rPr>
              <w:fldChar w:fldCharType="end"/>
            </w:r>
          </w:hyperlink>
        </w:p>
        <w:p w14:paraId="6D979DB8" w14:textId="1E602D93" w:rsidR="007A1A72" w:rsidRDefault="007A1A72">
          <w:pPr>
            <w:pStyle w:val="TOC1"/>
            <w:tabs>
              <w:tab w:val="right" w:leader="dot" w:pos="9350"/>
            </w:tabs>
            <w:rPr>
              <w:noProof/>
            </w:rPr>
          </w:pPr>
          <w:hyperlink w:anchor="_Toc225682105" w:history="1">
            <w:r w:rsidRPr="00626A48">
              <w:rPr>
                <w:rStyle w:val="Hyperlink"/>
                <w:noProof/>
              </w:rPr>
              <w:t>Governance Implications</w:t>
            </w:r>
            <w:r>
              <w:rPr>
                <w:noProof/>
                <w:webHidden/>
              </w:rPr>
              <w:tab/>
            </w:r>
            <w:r>
              <w:rPr>
                <w:noProof/>
                <w:webHidden/>
              </w:rPr>
              <w:fldChar w:fldCharType="begin"/>
            </w:r>
            <w:r>
              <w:rPr>
                <w:noProof/>
                <w:webHidden/>
              </w:rPr>
              <w:instrText xml:space="preserve"> PAGEREF _Toc225682105 \h </w:instrText>
            </w:r>
            <w:r>
              <w:rPr>
                <w:noProof/>
                <w:webHidden/>
              </w:rPr>
            </w:r>
            <w:r>
              <w:rPr>
                <w:noProof/>
                <w:webHidden/>
              </w:rPr>
              <w:fldChar w:fldCharType="separate"/>
            </w:r>
            <w:r>
              <w:rPr>
                <w:noProof/>
                <w:webHidden/>
              </w:rPr>
              <w:t>57</w:t>
            </w:r>
            <w:r>
              <w:rPr>
                <w:noProof/>
                <w:webHidden/>
              </w:rPr>
              <w:fldChar w:fldCharType="end"/>
            </w:r>
          </w:hyperlink>
        </w:p>
        <w:p w14:paraId="6C8AA0D7" w14:textId="0F4F0BF2" w:rsidR="007A1A72" w:rsidRDefault="007A1A72">
          <w:pPr>
            <w:pStyle w:val="TOC1"/>
            <w:tabs>
              <w:tab w:val="right" w:leader="dot" w:pos="9350"/>
            </w:tabs>
            <w:rPr>
              <w:noProof/>
            </w:rPr>
          </w:pPr>
          <w:hyperlink w:anchor="_Toc225682106" w:history="1">
            <w:r w:rsidRPr="00626A48">
              <w:rPr>
                <w:rStyle w:val="Hyperlink"/>
                <w:noProof/>
              </w:rPr>
              <w:t>Governance Implications</w:t>
            </w:r>
            <w:r>
              <w:rPr>
                <w:noProof/>
                <w:webHidden/>
              </w:rPr>
              <w:tab/>
            </w:r>
            <w:r>
              <w:rPr>
                <w:noProof/>
                <w:webHidden/>
              </w:rPr>
              <w:fldChar w:fldCharType="begin"/>
            </w:r>
            <w:r>
              <w:rPr>
                <w:noProof/>
                <w:webHidden/>
              </w:rPr>
              <w:instrText xml:space="preserve"> PAGEREF _Toc225682106 \h </w:instrText>
            </w:r>
            <w:r>
              <w:rPr>
                <w:noProof/>
                <w:webHidden/>
              </w:rPr>
            </w:r>
            <w:r>
              <w:rPr>
                <w:noProof/>
                <w:webHidden/>
              </w:rPr>
              <w:fldChar w:fldCharType="separate"/>
            </w:r>
            <w:r>
              <w:rPr>
                <w:noProof/>
                <w:webHidden/>
              </w:rPr>
              <w:t>57</w:t>
            </w:r>
            <w:r>
              <w:rPr>
                <w:noProof/>
                <w:webHidden/>
              </w:rPr>
              <w:fldChar w:fldCharType="end"/>
            </w:r>
          </w:hyperlink>
        </w:p>
        <w:p w14:paraId="1D4941D5" w14:textId="53FDC02D" w:rsidR="007A1A72" w:rsidRDefault="007A1A72">
          <w:pPr>
            <w:pStyle w:val="TOC2"/>
            <w:tabs>
              <w:tab w:val="right" w:leader="dot" w:pos="9350"/>
            </w:tabs>
            <w:rPr>
              <w:noProof/>
            </w:rPr>
          </w:pPr>
          <w:hyperlink w:anchor="_Toc225682107" w:history="1">
            <w:r w:rsidRPr="00626A48">
              <w:rPr>
                <w:rStyle w:val="Hyperlink"/>
                <w:noProof/>
              </w:rPr>
              <w:t>1. From Diagnostics to Decisions</w:t>
            </w:r>
            <w:r>
              <w:rPr>
                <w:noProof/>
                <w:webHidden/>
              </w:rPr>
              <w:tab/>
            </w:r>
            <w:r>
              <w:rPr>
                <w:noProof/>
                <w:webHidden/>
              </w:rPr>
              <w:fldChar w:fldCharType="begin"/>
            </w:r>
            <w:r>
              <w:rPr>
                <w:noProof/>
                <w:webHidden/>
              </w:rPr>
              <w:instrText xml:space="preserve"> PAGEREF _Toc225682107 \h </w:instrText>
            </w:r>
            <w:r>
              <w:rPr>
                <w:noProof/>
                <w:webHidden/>
              </w:rPr>
            </w:r>
            <w:r>
              <w:rPr>
                <w:noProof/>
                <w:webHidden/>
              </w:rPr>
              <w:fldChar w:fldCharType="separate"/>
            </w:r>
            <w:r>
              <w:rPr>
                <w:noProof/>
                <w:webHidden/>
              </w:rPr>
              <w:t>57</w:t>
            </w:r>
            <w:r>
              <w:rPr>
                <w:noProof/>
                <w:webHidden/>
              </w:rPr>
              <w:fldChar w:fldCharType="end"/>
            </w:r>
          </w:hyperlink>
        </w:p>
        <w:p w14:paraId="1E6F473F" w14:textId="61484BEC" w:rsidR="007A1A72" w:rsidRDefault="007A1A72">
          <w:pPr>
            <w:pStyle w:val="TOC2"/>
            <w:tabs>
              <w:tab w:val="right" w:leader="dot" w:pos="9350"/>
            </w:tabs>
            <w:rPr>
              <w:noProof/>
            </w:rPr>
          </w:pPr>
          <w:hyperlink w:anchor="_Toc225682108" w:history="1">
            <w:r w:rsidRPr="00626A48">
              <w:rPr>
                <w:rStyle w:val="Hyperlink"/>
                <w:noProof/>
              </w:rPr>
              <w:t>2. Interpreting RED by Failure Mode</w:t>
            </w:r>
            <w:r>
              <w:rPr>
                <w:noProof/>
                <w:webHidden/>
              </w:rPr>
              <w:tab/>
            </w:r>
            <w:r>
              <w:rPr>
                <w:noProof/>
                <w:webHidden/>
              </w:rPr>
              <w:fldChar w:fldCharType="begin"/>
            </w:r>
            <w:r>
              <w:rPr>
                <w:noProof/>
                <w:webHidden/>
              </w:rPr>
              <w:instrText xml:space="preserve"> PAGEREF _Toc225682108 \h </w:instrText>
            </w:r>
            <w:r>
              <w:rPr>
                <w:noProof/>
                <w:webHidden/>
              </w:rPr>
            </w:r>
            <w:r>
              <w:rPr>
                <w:noProof/>
                <w:webHidden/>
              </w:rPr>
              <w:fldChar w:fldCharType="separate"/>
            </w:r>
            <w:r>
              <w:rPr>
                <w:noProof/>
                <w:webHidden/>
              </w:rPr>
              <w:t>58</w:t>
            </w:r>
            <w:r>
              <w:rPr>
                <w:noProof/>
                <w:webHidden/>
              </w:rPr>
              <w:fldChar w:fldCharType="end"/>
            </w:r>
          </w:hyperlink>
        </w:p>
        <w:p w14:paraId="2E0CFE93" w14:textId="59ADBA2D" w:rsidR="007A1A72" w:rsidRDefault="007A1A72">
          <w:pPr>
            <w:pStyle w:val="TOC2"/>
            <w:tabs>
              <w:tab w:val="right" w:leader="dot" w:pos="9350"/>
            </w:tabs>
            <w:rPr>
              <w:noProof/>
            </w:rPr>
          </w:pPr>
          <w:hyperlink w:anchor="_Toc225682109" w:history="1">
            <w:r w:rsidRPr="00626A48">
              <w:rPr>
                <w:rStyle w:val="Hyperlink"/>
                <w:noProof/>
              </w:rPr>
              <w:t>3. Governance Action Protocol</w:t>
            </w:r>
            <w:r>
              <w:rPr>
                <w:noProof/>
                <w:webHidden/>
              </w:rPr>
              <w:tab/>
            </w:r>
            <w:r>
              <w:rPr>
                <w:noProof/>
                <w:webHidden/>
              </w:rPr>
              <w:fldChar w:fldCharType="begin"/>
            </w:r>
            <w:r>
              <w:rPr>
                <w:noProof/>
                <w:webHidden/>
              </w:rPr>
              <w:instrText xml:space="preserve"> PAGEREF _Toc225682109 \h </w:instrText>
            </w:r>
            <w:r>
              <w:rPr>
                <w:noProof/>
                <w:webHidden/>
              </w:rPr>
            </w:r>
            <w:r>
              <w:rPr>
                <w:noProof/>
                <w:webHidden/>
              </w:rPr>
              <w:fldChar w:fldCharType="separate"/>
            </w:r>
            <w:r>
              <w:rPr>
                <w:noProof/>
                <w:webHidden/>
              </w:rPr>
              <w:t>59</w:t>
            </w:r>
            <w:r>
              <w:rPr>
                <w:noProof/>
                <w:webHidden/>
              </w:rPr>
              <w:fldChar w:fldCharType="end"/>
            </w:r>
          </w:hyperlink>
        </w:p>
        <w:p w14:paraId="438F1A34" w14:textId="4EBCDF9B" w:rsidR="007A1A72" w:rsidRDefault="007A1A72">
          <w:pPr>
            <w:pStyle w:val="TOC2"/>
            <w:tabs>
              <w:tab w:val="right" w:leader="dot" w:pos="9350"/>
            </w:tabs>
            <w:rPr>
              <w:noProof/>
            </w:rPr>
          </w:pPr>
          <w:hyperlink w:anchor="_Toc225682110" w:history="1">
            <w:r w:rsidRPr="00626A48">
              <w:rPr>
                <w:rStyle w:val="Hyperlink"/>
                <w:noProof/>
              </w:rPr>
              <w:t>4. The Misspecification Detection Boundary</w:t>
            </w:r>
            <w:r>
              <w:rPr>
                <w:noProof/>
                <w:webHidden/>
              </w:rPr>
              <w:tab/>
            </w:r>
            <w:r>
              <w:rPr>
                <w:noProof/>
                <w:webHidden/>
              </w:rPr>
              <w:fldChar w:fldCharType="begin"/>
            </w:r>
            <w:r>
              <w:rPr>
                <w:noProof/>
                <w:webHidden/>
              </w:rPr>
              <w:instrText xml:space="preserve"> PAGEREF _Toc225682110 \h </w:instrText>
            </w:r>
            <w:r>
              <w:rPr>
                <w:noProof/>
                <w:webHidden/>
              </w:rPr>
            </w:r>
            <w:r>
              <w:rPr>
                <w:noProof/>
                <w:webHidden/>
              </w:rPr>
              <w:fldChar w:fldCharType="separate"/>
            </w:r>
            <w:r>
              <w:rPr>
                <w:noProof/>
                <w:webHidden/>
              </w:rPr>
              <w:t>62</w:t>
            </w:r>
            <w:r>
              <w:rPr>
                <w:noProof/>
                <w:webHidden/>
              </w:rPr>
              <w:fldChar w:fldCharType="end"/>
            </w:r>
          </w:hyperlink>
        </w:p>
        <w:p w14:paraId="63ED1DB2" w14:textId="75226956" w:rsidR="007A1A72" w:rsidRDefault="007A1A72">
          <w:pPr>
            <w:pStyle w:val="TOC2"/>
            <w:tabs>
              <w:tab w:val="right" w:leader="dot" w:pos="9350"/>
            </w:tabs>
            <w:rPr>
              <w:noProof/>
            </w:rPr>
          </w:pPr>
          <w:hyperlink w:anchor="_Toc225682111" w:history="1">
            <w:r w:rsidRPr="00626A48">
              <w:rPr>
                <w:rStyle w:val="Hyperlink"/>
                <w:noProof/>
              </w:rPr>
              <w:t>5. Regulatory Mapping</w:t>
            </w:r>
            <w:r>
              <w:rPr>
                <w:noProof/>
                <w:webHidden/>
              </w:rPr>
              <w:tab/>
            </w:r>
            <w:r>
              <w:rPr>
                <w:noProof/>
                <w:webHidden/>
              </w:rPr>
              <w:fldChar w:fldCharType="begin"/>
            </w:r>
            <w:r>
              <w:rPr>
                <w:noProof/>
                <w:webHidden/>
              </w:rPr>
              <w:instrText xml:space="preserve"> PAGEREF _Toc225682111 \h </w:instrText>
            </w:r>
            <w:r>
              <w:rPr>
                <w:noProof/>
                <w:webHidden/>
              </w:rPr>
            </w:r>
            <w:r>
              <w:rPr>
                <w:noProof/>
                <w:webHidden/>
              </w:rPr>
              <w:fldChar w:fldCharType="separate"/>
            </w:r>
            <w:r>
              <w:rPr>
                <w:noProof/>
                <w:webHidden/>
              </w:rPr>
              <w:t>62</w:t>
            </w:r>
            <w:r>
              <w:rPr>
                <w:noProof/>
                <w:webHidden/>
              </w:rPr>
              <w:fldChar w:fldCharType="end"/>
            </w:r>
          </w:hyperlink>
        </w:p>
        <w:p w14:paraId="1A992995" w14:textId="01D20E64" w:rsidR="007A1A72" w:rsidRDefault="007A1A72">
          <w:pPr>
            <w:pStyle w:val="TOC2"/>
            <w:tabs>
              <w:tab w:val="right" w:leader="dot" w:pos="9350"/>
            </w:tabs>
            <w:rPr>
              <w:noProof/>
            </w:rPr>
          </w:pPr>
          <w:hyperlink w:anchor="_Toc225682112" w:history="1">
            <w:r w:rsidRPr="00626A48">
              <w:rPr>
                <w:rStyle w:val="Hyperlink"/>
                <w:noProof/>
              </w:rPr>
              <w:t>6. The Role of Conformal Augmentation in Governance</w:t>
            </w:r>
            <w:r>
              <w:rPr>
                <w:noProof/>
                <w:webHidden/>
              </w:rPr>
              <w:tab/>
            </w:r>
            <w:r>
              <w:rPr>
                <w:noProof/>
                <w:webHidden/>
              </w:rPr>
              <w:fldChar w:fldCharType="begin"/>
            </w:r>
            <w:r>
              <w:rPr>
                <w:noProof/>
                <w:webHidden/>
              </w:rPr>
              <w:instrText xml:space="preserve"> PAGEREF _Toc225682112 \h </w:instrText>
            </w:r>
            <w:r>
              <w:rPr>
                <w:noProof/>
                <w:webHidden/>
              </w:rPr>
            </w:r>
            <w:r>
              <w:rPr>
                <w:noProof/>
                <w:webHidden/>
              </w:rPr>
              <w:fldChar w:fldCharType="separate"/>
            </w:r>
            <w:r>
              <w:rPr>
                <w:noProof/>
                <w:webHidden/>
              </w:rPr>
              <w:t>63</w:t>
            </w:r>
            <w:r>
              <w:rPr>
                <w:noProof/>
                <w:webHidden/>
              </w:rPr>
              <w:fldChar w:fldCharType="end"/>
            </w:r>
          </w:hyperlink>
        </w:p>
        <w:p w14:paraId="00DCEC89" w14:textId="01BCC0F1" w:rsidR="007A1A72" w:rsidRDefault="007A1A72">
          <w:pPr>
            <w:pStyle w:val="TOC2"/>
            <w:tabs>
              <w:tab w:val="right" w:leader="dot" w:pos="9350"/>
            </w:tabs>
            <w:rPr>
              <w:noProof/>
            </w:rPr>
          </w:pPr>
          <w:hyperlink w:anchor="_Toc225682113" w:history="1">
            <w:r w:rsidRPr="00626A48">
              <w:rPr>
                <w:rStyle w:val="Hyperlink"/>
                <w:noProof/>
              </w:rPr>
              <w:t>7. Limitations and Future Extensions</w:t>
            </w:r>
            <w:r>
              <w:rPr>
                <w:noProof/>
                <w:webHidden/>
              </w:rPr>
              <w:tab/>
            </w:r>
            <w:r>
              <w:rPr>
                <w:noProof/>
                <w:webHidden/>
              </w:rPr>
              <w:fldChar w:fldCharType="begin"/>
            </w:r>
            <w:r>
              <w:rPr>
                <w:noProof/>
                <w:webHidden/>
              </w:rPr>
              <w:instrText xml:space="preserve"> PAGEREF _Toc225682113 \h </w:instrText>
            </w:r>
            <w:r>
              <w:rPr>
                <w:noProof/>
                <w:webHidden/>
              </w:rPr>
            </w:r>
            <w:r>
              <w:rPr>
                <w:noProof/>
                <w:webHidden/>
              </w:rPr>
              <w:fldChar w:fldCharType="separate"/>
            </w:r>
            <w:r>
              <w:rPr>
                <w:noProof/>
                <w:webHidden/>
              </w:rPr>
              <w:t>64</w:t>
            </w:r>
            <w:r>
              <w:rPr>
                <w:noProof/>
                <w:webHidden/>
              </w:rPr>
              <w:fldChar w:fldCharType="end"/>
            </w:r>
          </w:hyperlink>
        </w:p>
        <w:p w14:paraId="366AE81C" w14:textId="2FFC5FA7" w:rsidR="007A1A72" w:rsidRDefault="007A1A72">
          <w:pPr>
            <w:pStyle w:val="TOC2"/>
            <w:tabs>
              <w:tab w:val="right" w:leader="dot" w:pos="9350"/>
            </w:tabs>
            <w:rPr>
              <w:noProof/>
            </w:rPr>
          </w:pPr>
          <w:hyperlink w:anchor="_Toc225682114" w:history="1">
            <w:r w:rsidRPr="00626A48">
              <w:rPr>
                <w:rStyle w:val="Hyperlink"/>
                <w:noProof/>
              </w:rPr>
              <w:t>8. Regime-Conditioned Governance</w:t>
            </w:r>
            <w:r>
              <w:rPr>
                <w:noProof/>
                <w:webHidden/>
              </w:rPr>
              <w:tab/>
            </w:r>
            <w:r>
              <w:rPr>
                <w:noProof/>
                <w:webHidden/>
              </w:rPr>
              <w:fldChar w:fldCharType="begin"/>
            </w:r>
            <w:r>
              <w:rPr>
                <w:noProof/>
                <w:webHidden/>
              </w:rPr>
              <w:instrText xml:space="preserve"> PAGEREF _Toc225682114 \h </w:instrText>
            </w:r>
            <w:r>
              <w:rPr>
                <w:noProof/>
                <w:webHidden/>
              </w:rPr>
            </w:r>
            <w:r>
              <w:rPr>
                <w:noProof/>
                <w:webHidden/>
              </w:rPr>
              <w:fldChar w:fldCharType="separate"/>
            </w:r>
            <w:r>
              <w:rPr>
                <w:noProof/>
                <w:webHidden/>
              </w:rPr>
              <w:t>65</w:t>
            </w:r>
            <w:r>
              <w:rPr>
                <w:noProof/>
                <w:webHidden/>
              </w:rPr>
              <w:fldChar w:fldCharType="end"/>
            </w:r>
          </w:hyperlink>
        </w:p>
        <w:p w14:paraId="3E5757AF" w14:textId="74E580FE" w:rsidR="007A1A72" w:rsidRDefault="007A1A72">
          <w:pPr>
            <w:pStyle w:val="TOC1"/>
            <w:tabs>
              <w:tab w:val="right" w:leader="dot" w:pos="9350"/>
            </w:tabs>
            <w:rPr>
              <w:noProof/>
            </w:rPr>
          </w:pPr>
          <w:hyperlink w:anchor="_Toc225682115" w:history="1">
            <w:r w:rsidRPr="00626A48">
              <w:rPr>
                <w:rStyle w:val="Hyperlink"/>
                <w:noProof/>
              </w:rPr>
              <w:t>References</w:t>
            </w:r>
            <w:r>
              <w:rPr>
                <w:noProof/>
                <w:webHidden/>
              </w:rPr>
              <w:tab/>
            </w:r>
            <w:r>
              <w:rPr>
                <w:noProof/>
                <w:webHidden/>
              </w:rPr>
              <w:fldChar w:fldCharType="begin"/>
            </w:r>
            <w:r>
              <w:rPr>
                <w:noProof/>
                <w:webHidden/>
              </w:rPr>
              <w:instrText xml:space="preserve"> PAGEREF _Toc225682115 \h </w:instrText>
            </w:r>
            <w:r>
              <w:rPr>
                <w:noProof/>
                <w:webHidden/>
              </w:rPr>
            </w:r>
            <w:r>
              <w:rPr>
                <w:noProof/>
                <w:webHidden/>
              </w:rPr>
              <w:fldChar w:fldCharType="separate"/>
            </w:r>
            <w:r>
              <w:rPr>
                <w:noProof/>
                <w:webHidden/>
              </w:rPr>
              <w:t>67</w:t>
            </w:r>
            <w:r>
              <w:rPr>
                <w:noProof/>
                <w:webHidden/>
              </w:rPr>
              <w:fldChar w:fldCharType="end"/>
            </w:r>
          </w:hyperlink>
        </w:p>
        <w:p w14:paraId="37CBADE4" w14:textId="49A91F76" w:rsidR="007A1A72" w:rsidRDefault="007A1A72">
          <w:pPr>
            <w:pStyle w:val="TOC1"/>
            <w:tabs>
              <w:tab w:val="right" w:leader="dot" w:pos="9350"/>
            </w:tabs>
            <w:rPr>
              <w:noProof/>
            </w:rPr>
          </w:pPr>
          <w:hyperlink w:anchor="_Toc225682116" w:history="1">
            <w:r w:rsidRPr="00626A48">
              <w:rPr>
                <w:rStyle w:val="Hyperlink"/>
                <w:noProof/>
              </w:rPr>
              <w:t>AI Statement</w:t>
            </w:r>
            <w:r>
              <w:rPr>
                <w:noProof/>
                <w:webHidden/>
              </w:rPr>
              <w:tab/>
            </w:r>
            <w:r>
              <w:rPr>
                <w:noProof/>
                <w:webHidden/>
              </w:rPr>
              <w:fldChar w:fldCharType="begin"/>
            </w:r>
            <w:r>
              <w:rPr>
                <w:noProof/>
                <w:webHidden/>
              </w:rPr>
              <w:instrText xml:space="preserve"> PAGEREF _Toc225682116 \h </w:instrText>
            </w:r>
            <w:r>
              <w:rPr>
                <w:noProof/>
                <w:webHidden/>
              </w:rPr>
            </w:r>
            <w:r>
              <w:rPr>
                <w:noProof/>
                <w:webHidden/>
              </w:rPr>
              <w:fldChar w:fldCharType="separate"/>
            </w:r>
            <w:r>
              <w:rPr>
                <w:noProof/>
                <w:webHidden/>
              </w:rPr>
              <w:t>70</w:t>
            </w:r>
            <w:r>
              <w:rPr>
                <w:noProof/>
                <w:webHidden/>
              </w:rPr>
              <w:fldChar w:fldCharType="end"/>
            </w:r>
          </w:hyperlink>
        </w:p>
        <w:p w14:paraId="5D040F14" w14:textId="1BDACB16" w:rsidR="00842324" w:rsidRDefault="00000000">
          <w:r>
            <w:fldChar w:fldCharType="end"/>
          </w:r>
        </w:p>
      </w:sdtContent>
    </w:sdt>
    <w:p w14:paraId="5D040F15" w14:textId="77777777" w:rsidR="00842324" w:rsidRDefault="00000000">
      <w:pPr>
        <w:pStyle w:val="Heading1"/>
      </w:pPr>
      <w:bookmarkStart w:id="0" w:name="abstract"/>
      <w:bookmarkStart w:id="1" w:name="_Toc225682061"/>
      <w:r>
        <w:t>Abstract</w:t>
      </w:r>
      <w:bookmarkEnd w:id="1"/>
    </w:p>
    <w:p w14:paraId="5D040F16" w14:textId="77777777" w:rsidR="00842324" w:rsidRDefault="00000000">
      <w:pPr>
        <w:pStyle w:val="FirstParagraph"/>
      </w:pPr>
      <w:r>
        <w:t>Energy market models span structurally heterogeneous classes — Monte Carlo simulation engines, short-term operational forecasting systems, and long-horizon renewable generation models — yet validation practice remains fragmented along model class boundaries, with each class inheriting its own evaluation culture and none providing a complete picture of probabilistic reliability. This thesis constructs a unified probabilistic validation framework that evaluates all three model classes within a shared reliability space defined by distributional calibration, proper scoring, and governance-oriented aggregation.</w:t>
      </w:r>
    </w:p>
    <w:p w14:paraId="5D040F17" w14:textId="77777777" w:rsidR="00842324" w:rsidRDefault="00000000">
      <w:pPr>
        <w:pStyle w:val="BodyText"/>
      </w:pPr>
      <w:r>
        <w:t>The framework comprises eleven software components organised into five layers: a canonical data contract and model-class adapters that normalise heterogeneous inputs into evaluable predictive distributions; a capability-aware diagnostics gateway routing inputs to PIT uniformity, serial independence, interval backtesting, pinball loss, and sharpness diagnostics; a regime tagger and threshold calibrator enabling regime-conditioned governance; a decision engine producing structured governance decisions with full provenance audit trails; and an AI-powered narrative generator translating decisions into technical and plain-language summaries. The framework is deployed as a Streamlit web application and validated by 451 automated tests.</w:t>
      </w:r>
    </w:p>
    <w:p w14:paraId="5D040F18" w14:textId="77777777" w:rsidR="00842324" w:rsidRDefault="00000000">
      <w:pPr>
        <w:pStyle w:val="BodyText"/>
      </w:pPr>
      <w:r>
        <w:t>Empirically, all three real-data model classes receive RED governance classifications, each with a structurally distinct failure mode: bilateral miscalibration in the ENTSO-E electricity load model, distributional failure without interval failure in PV solar generation, and asymmetric lower-tail failure in onshore wind generation. The synthetic positive control confirms the framework is not over-strict. The key governance finding is the PV divergence: coverage-only regulation would reduce capital requirements for a model that multi-layer diagnostics correctly identify as structurally misspecified — a concrete empirical demonstration that interval coverage alone is insufficient for energy market governance. Conformal augmentation restores near-nominal coverage under temporal distribution shift but does not resolve distributional misspecification, establishing the two methods as complementary rather than substitutable.</w:t>
      </w:r>
    </w:p>
    <w:p w14:paraId="5D040F19" w14:textId="77777777" w:rsidR="00842324" w:rsidRDefault="00000000">
      <w:pPr>
        <w:pStyle w:val="BodyText"/>
      </w:pPr>
      <w:r>
        <w:t>The framework is open-source at github.com/LeJ7-commits/unified-probabilistic-validation.</w:t>
      </w:r>
    </w:p>
    <w:p w14:paraId="5D040F1A" w14:textId="77777777" w:rsidR="00842324" w:rsidRDefault="00000000">
      <w:pPr>
        <w:pStyle w:val="BodyText"/>
      </w:pPr>
      <w:r>
        <w:rPr>
          <w:b/>
          <w:bCs/>
        </w:rPr>
        <w:t>JEL Classification:</w:t>
      </w:r>
      <w:r>
        <w:t xml:space="preserve"> C12, C15, C52, Q47, G32</w:t>
      </w:r>
    </w:p>
    <w:p w14:paraId="5D040F1B" w14:textId="77777777" w:rsidR="00842324" w:rsidRDefault="00000000">
      <w:pPr>
        <w:pStyle w:val="BodyText"/>
      </w:pPr>
      <w:r>
        <w:rPr>
          <w:b/>
          <w:bCs/>
        </w:rPr>
        <w:lastRenderedPageBreak/>
        <w:t>Keywords:</w:t>
      </w:r>
      <w:r>
        <w:t xml:space="preserve"> probabilistic validation, energy markets, PIT diagnostics, conformal prediction, governance classification, Basel traffic-light, model risk</w:t>
      </w:r>
    </w:p>
    <w:p w14:paraId="5D040F1C" w14:textId="77777777" w:rsidR="00842324" w:rsidRDefault="00000000">
      <w:pPr>
        <w:pStyle w:val="Heading1"/>
      </w:pPr>
      <w:bookmarkStart w:id="2" w:name="acknowledgements"/>
      <w:bookmarkStart w:id="3" w:name="_Toc225682062"/>
      <w:bookmarkEnd w:id="0"/>
      <w:r>
        <w:t>Acknowledgements</w:t>
      </w:r>
      <w:bookmarkEnd w:id="3"/>
    </w:p>
    <w:p w14:paraId="5D040F1D" w14:textId="77777777" w:rsidR="00842324" w:rsidRDefault="00000000">
      <w:pPr>
        <w:pStyle w:val="FirstParagraph"/>
      </w:pPr>
      <w:r>
        <w:rPr>
          <w:i/>
          <w:iCs/>
        </w:rPr>
        <w:t>Insert acknowledgements here.</w:t>
      </w:r>
    </w:p>
    <w:p w14:paraId="5D040F1E" w14:textId="77777777" w:rsidR="00842324" w:rsidRDefault="00000000">
      <w:pPr>
        <w:pStyle w:val="Heading1"/>
      </w:pPr>
      <w:bookmarkStart w:id="4" w:name="introduction"/>
      <w:bookmarkStart w:id="5" w:name="_Toc225682063"/>
      <w:bookmarkEnd w:id="2"/>
      <w:r>
        <w:t>Introduction</w:t>
      </w:r>
      <w:bookmarkEnd w:id="5"/>
    </w:p>
    <w:p w14:paraId="5D040F1F" w14:textId="77777777" w:rsidR="00842324" w:rsidRDefault="00000000">
      <w:pPr>
        <w:pStyle w:val="Heading1"/>
      </w:pPr>
      <w:bookmarkStart w:id="6" w:name="introduction-1"/>
      <w:bookmarkStart w:id="7" w:name="_Toc225682064"/>
      <w:bookmarkEnd w:id="4"/>
      <w:r>
        <w:t>Introduction</w:t>
      </w:r>
      <w:bookmarkEnd w:id="7"/>
    </w:p>
    <w:p w14:paraId="5D040F20" w14:textId="77777777" w:rsidR="00842324" w:rsidRDefault="00000000">
      <w:pPr>
        <w:pStyle w:val="Heading2"/>
      </w:pPr>
      <w:bookmarkStart w:id="8" w:name="background-and-motivation"/>
      <w:bookmarkStart w:id="9" w:name="_Toc225682065"/>
      <w:r>
        <w:t>1.1 Background and Motivation</w:t>
      </w:r>
      <w:bookmarkEnd w:id="9"/>
    </w:p>
    <w:p w14:paraId="5D040F21" w14:textId="77777777" w:rsidR="00842324" w:rsidRDefault="00000000">
      <w:pPr>
        <w:pStyle w:val="FirstParagraph"/>
      </w:pPr>
      <w:r>
        <w:t>Energy markets are governed by uncertainty. The physical quantities that determine price formation — electricity demand, wind generation, solar output, temperature — are inherently stochastic, and the models that represent them must ultimately be evaluated not only for their point accuracy but for the reliability of the uncertainty they express. A short-term load forecast that is directionally correct but consistently overconfident in its distributional tails will underestimate reserve requirements. A wind generation simulation that produces well-shaped paths on average but fails to capture persistent low-generation regimes will mislead portfolio hedging decisions. The question of whether a model’s stated probabilistic uncertainty is trustworthy is therefore not a statistical nicety — it is a practical prerequisite for sound market and risk management.</w:t>
      </w:r>
    </w:p>
    <w:p w14:paraId="5D040F22" w14:textId="77777777" w:rsidR="00842324" w:rsidRDefault="00000000">
      <w:pPr>
        <w:pStyle w:val="BodyText"/>
      </w:pPr>
      <w:r>
        <w:t>Yet validation practice across the energy industry remains largely fragmented along model class boundaries. Simulation models — Monte Carlo engines used for pricing and risk analysis — are typically assessed via Value-at-Risk (VaR) exceedance testing and other coverage-based backtesting procedures. Short-term operational forecasting models are most commonly evaluated using deterministic error metrics such as MAE or RMSE, which carry no information about distributional reliability. Quantile regression and probabilistic forecasting models are evaluated via pinball loss (Koenker and Bassett, 1978), which penalises individual quantile violations but does not diagnose the shape or serial structure of the full predictive distribution. Each model class has inherited its own evaluation culture; none of these cultures shares a common language, and none provides a complete picture of probabilistic reliability on its own.</w:t>
      </w:r>
    </w:p>
    <w:p w14:paraId="5D040F23" w14:textId="77777777" w:rsidR="00842324" w:rsidRDefault="00000000">
      <w:pPr>
        <w:pStyle w:val="BodyText"/>
      </w:pPr>
      <w:r>
        <w:t xml:space="preserve">This fragmentation creates at least three structural compromises. First, reduced comparability across model classes: a GREEN result on a simulation exceedance test and a GREEN result on a pinball loss benchmark are not calibrated to the same standard. Second, opaque aggregation of diagnostics into decision-ready risk segmentations — without a shared framework, governance conclusions rest on informal judgements rather than transparent diagnostic evidence. Third, a distal relationship between economic </w:t>
      </w:r>
      <w:r>
        <w:lastRenderedPageBreak/>
        <w:t>interpretation and statistical diagnostics, where model risk decisions lack a principled connection to the underlying calibration evidence.</w:t>
      </w:r>
    </w:p>
    <w:p w14:paraId="5D040F24" w14:textId="77777777" w:rsidR="00842324" w:rsidRDefault="00000000">
      <w:pPr>
        <w:pStyle w:val="BodyText"/>
      </w:pPr>
      <w:r>
        <w:t>This thesis addresses these insufficiencies by constructing a reliability-based evaluation system anchored in distributional calibration. Formally, a unified validation architecture is defined as a mapping ℳ that transforms heterogeneous model outputs into predictive distribution space, followed by evaluation under a common probabilistic loss and calibration functional ℒ(F_t, y_t), and aggregation via statistically calibrated governance thresholds. Under this definition, unification signifies comparability within a shared probabilistic reliability space — not methodological homogenisation of the underlying models.</w:t>
      </w:r>
    </w:p>
    <w:p w14:paraId="5D040F25" w14:textId="77777777" w:rsidR="00842324" w:rsidRDefault="00000000">
      <w:pPr>
        <w:pStyle w:val="BodyText"/>
      </w:pPr>
      <w:r>
        <w:t>The core diagnostic tool is the Probability Integral Transform (PIT), which provides a model-class-agnostic basis for assessing distributional calibration: under correct probabilistic specification, the PIT of any forecast should be uniformly distributed and serially independent (Diebold, Gunther, and Tay, 1998; Dawid, 1985). Deviations from these properties are diagnosed using a multi-layer test battery — interval backtesting via the Anfuso traffic-light framework, PIT uniformity and independence testing via formal goodness-of-fit procedures, and proper scoring via the Continuous Ranked Probability Score. A conformal prediction augmentation layer extends the architecture to provide finite-sample coverage guarantees under distributional shift (Tibshirani et al., 2019; Angelopoulos et al., 2024). A governance aggregation layer translates diagnostic signals into structured traffic-light classifications grounded in the Basel backtesting framework (Basel Committee, 1996; 2010), adapted to the energy market and REMIT regulatory context.</w:t>
      </w:r>
    </w:p>
    <w:p w14:paraId="5D040F26" w14:textId="77777777" w:rsidR="00842324" w:rsidRDefault="00000000">
      <w:r>
        <w:pict w14:anchorId="5D0415CD">
          <v:rect id="_x0000_i1025" style="width:0;height:1.5pt" o:hralign="center" o:hrstd="t" o:hr="t"/>
        </w:pict>
      </w:r>
    </w:p>
    <w:p w14:paraId="5D040F27" w14:textId="77777777" w:rsidR="00842324" w:rsidRDefault="00000000">
      <w:pPr>
        <w:pStyle w:val="Heading2"/>
      </w:pPr>
      <w:bookmarkStart w:id="10" w:name="research-questions"/>
      <w:bookmarkStart w:id="11" w:name="_Toc225682066"/>
      <w:bookmarkEnd w:id="8"/>
      <w:r>
        <w:t>1.2 Research Questions</w:t>
      </w:r>
      <w:bookmarkEnd w:id="11"/>
    </w:p>
    <w:p w14:paraId="5D040F28" w14:textId="77777777" w:rsidR="00842324" w:rsidRDefault="00000000">
      <w:pPr>
        <w:pStyle w:val="FirstParagraph"/>
      </w:pPr>
      <w:r>
        <w:t>The thesis is structured around three core research questions:</w:t>
      </w:r>
    </w:p>
    <w:p w14:paraId="5D040F29" w14:textId="77777777" w:rsidR="00842324" w:rsidRDefault="00000000">
      <w:pPr>
        <w:pStyle w:val="BodyText"/>
      </w:pPr>
      <w:r>
        <w:rPr>
          <w:b/>
          <w:bCs/>
        </w:rPr>
        <w:t>RQ1:</w:t>
      </w:r>
      <w:r>
        <w:t xml:space="preserve"> Can heterogeneous energy-market models (Monte Carlo simulation, short-term operational forecasting, and long-term renewable forecasting) be evaluated within a unified probabilistic reliability architecture without compromising diagnostic depth or interpretability?</w:t>
      </w:r>
    </w:p>
    <w:p w14:paraId="5D040F2A" w14:textId="77777777" w:rsidR="00842324" w:rsidRDefault="00000000">
      <w:pPr>
        <w:pStyle w:val="BodyText"/>
      </w:pPr>
      <w:r>
        <w:rPr>
          <w:b/>
          <w:bCs/>
        </w:rPr>
        <w:t>RQ2:</w:t>
      </w:r>
      <w:r>
        <w:t xml:space="preserve"> Under which market conditions do conformal augmentation methods improve finite-sample coverage stability relative to classical PIT-based calibration diagnostics under regime shifts and temporal dependence?</w:t>
      </w:r>
    </w:p>
    <w:p w14:paraId="5D040F2B" w14:textId="77777777" w:rsidR="00842324" w:rsidRDefault="00000000">
      <w:pPr>
        <w:pStyle w:val="BodyText"/>
      </w:pPr>
      <w:r>
        <w:rPr>
          <w:b/>
          <w:bCs/>
        </w:rPr>
        <w:t>RQ3:</w:t>
      </w:r>
      <w:r>
        <w:t xml:space="preserve"> Can probabilistic calibration diagnostics and scoring-rule outcomes be aggregated into statistically defensible governance classifications comparable to Basel-style traffic-light backtesting systems?</w:t>
      </w:r>
    </w:p>
    <w:p w14:paraId="5D040F2C" w14:textId="77777777" w:rsidR="00842324" w:rsidRDefault="00000000">
      <w:r>
        <w:pict w14:anchorId="5D0415CE">
          <v:rect id="_x0000_i1026" style="width:0;height:1.5pt" o:hralign="center" o:hrstd="t" o:hr="t"/>
        </w:pict>
      </w:r>
    </w:p>
    <w:p w14:paraId="5D040F2D" w14:textId="77777777" w:rsidR="00842324" w:rsidRDefault="00000000">
      <w:pPr>
        <w:pStyle w:val="Heading2"/>
      </w:pPr>
      <w:bookmarkStart w:id="12" w:name="scope-and-contributions"/>
      <w:bookmarkStart w:id="13" w:name="_Toc225682067"/>
      <w:bookmarkEnd w:id="10"/>
      <w:r>
        <w:lastRenderedPageBreak/>
        <w:t>1.3 Scope and Contributions</w:t>
      </w:r>
      <w:bookmarkEnd w:id="13"/>
    </w:p>
    <w:p w14:paraId="5D040F2E" w14:textId="77777777" w:rsidR="00842324" w:rsidRDefault="00000000">
      <w:pPr>
        <w:pStyle w:val="FirstParagraph"/>
      </w:pPr>
      <w:r>
        <w:t>The framework is developed and evaluated on four model classes:</w:t>
      </w:r>
    </w:p>
    <w:p w14:paraId="5D040F2F" w14:textId="77777777" w:rsidR="00842324" w:rsidRDefault="00000000">
      <w:pPr>
        <w:pStyle w:val="Compact"/>
        <w:numPr>
          <w:ilvl w:val="0"/>
          <w:numId w:val="2"/>
        </w:numPr>
      </w:pPr>
      <w:r>
        <w:rPr>
          <w:b/>
          <w:bCs/>
        </w:rPr>
        <w:t>Short-term electricity load forecasting</w:t>
      </w:r>
      <w:r>
        <w:t xml:space="preserve"> (ENTSO-E dataset): a machine learning point forecast of next-day quarter-hourly electricity consumption for the German power system, representative of operational short-term energy forecasting.</w:t>
      </w:r>
    </w:p>
    <w:p w14:paraId="5D040F30" w14:textId="77777777" w:rsidR="00842324" w:rsidRDefault="00000000">
      <w:pPr>
        <w:pStyle w:val="Compact"/>
        <w:numPr>
          <w:ilvl w:val="0"/>
          <w:numId w:val="2"/>
        </w:numPr>
      </w:pPr>
      <w:r>
        <w:rPr>
          <w:b/>
          <w:bCs/>
        </w:rPr>
        <w:t>Long-term PV generation simulation</w:t>
      </w:r>
      <w:r>
        <w:t xml:space="preserve"> (PV solar dataset): a physical-parametric model converting irradiance forecasts to expected power output via a panel response function, representative of long-horizon renewable capacity planning models.</w:t>
      </w:r>
    </w:p>
    <w:p w14:paraId="5D040F31" w14:textId="77777777" w:rsidR="00842324" w:rsidRDefault="00000000">
      <w:pPr>
        <w:pStyle w:val="Compact"/>
        <w:numPr>
          <w:ilvl w:val="0"/>
          <w:numId w:val="2"/>
        </w:numPr>
      </w:pPr>
      <w:r>
        <w:rPr>
          <w:b/>
          <w:bCs/>
        </w:rPr>
        <w:t>Long-term wind generation simulation</w:t>
      </w:r>
      <w:r>
        <w:t xml:space="preserve"> (wind dataset): structurally analogous to PV, deriving expected power output from wind speed forecasts via a turbine power curve with site-specific technical parameters.</w:t>
      </w:r>
    </w:p>
    <w:p w14:paraId="5D040F32" w14:textId="77777777" w:rsidR="00842324" w:rsidRDefault="00000000">
      <w:pPr>
        <w:pStyle w:val="Compact"/>
        <w:numPr>
          <w:ilvl w:val="0"/>
          <w:numId w:val="2"/>
        </w:numPr>
      </w:pPr>
      <w:r>
        <w:rPr>
          <w:b/>
          <w:bCs/>
        </w:rPr>
        <w:t>Synthetic Monte Carlo simulation</w:t>
      </w:r>
      <w:r>
        <w:t xml:space="preserve"> (synthetic dataset): a controlled positive-control case in which the model DGP is fully known, enabling the framework’s discriminative validity to be tested against three deliberate misspecification scenarios.</w:t>
      </w:r>
    </w:p>
    <w:p w14:paraId="5D040F33" w14:textId="77777777" w:rsidR="00842324" w:rsidRDefault="00000000">
      <w:pPr>
        <w:pStyle w:val="FirstParagraph"/>
      </w:pPr>
      <w:r>
        <w:t>For the first three model classes — which provide only point forecasts — the framework includes a distribution reconstruction layer that constructs evaluable predictive intervals from historical residuals using rolling empirical quantile methods with time-of-day conditioning. This reconstruction is a prerequisite for applying PIT-based diagnostics to model classes that do not natively produce distributional output, and follows the approach of Goude and Nédellec (2015).</w:t>
      </w:r>
    </w:p>
    <w:p w14:paraId="5D040F34" w14:textId="77777777" w:rsidR="00842324" w:rsidRDefault="00000000">
      <w:pPr>
        <w:pStyle w:val="BodyText"/>
      </w:pPr>
      <w:r>
        <w:t>The primary contributions of this thesis are:</w:t>
      </w:r>
    </w:p>
    <w:p w14:paraId="5D040F35" w14:textId="77777777" w:rsidR="00842324" w:rsidRDefault="00000000">
      <w:pPr>
        <w:numPr>
          <w:ilvl w:val="0"/>
          <w:numId w:val="3"/>
        </w:numPr>
      </w:pPr>
      <w:r>
        <w:t xml:space="preserve">A </w:t>
      </w:r>
      <w:r>
        <w:rPr>
          <w:b/>
          <w:bCs/>
        </w:rPr>
        <w:t>modular, reproducible validation pipeline</w:t>
      </w:r>
      <w:r>
        <w:t xml:space="preserve"> that evaluates heterogeneous energy market model classes under a unified probabilistic standard, implemented as an open-source Python framework.</w:t>
      </w:r>
    </w:p>
    <w:p w14:paraId="5D040F36" w14:textId="77777777" w:rsidR="00842324" w:rsidRDefault="00000000">
      <w:pPr>
        <w:numPr>
          <w:ilvl w:val="0"/>
          <w:numId w:val="3"/>
        </w:numPr>
      </w:pPr>
      <w:r>
        <w:t xml:space="preserve">A </w:t>
      </w:r>
      <w:r>
        <w:rPr>
          <w:b/>
          <w:bCs/>
        </w:rPr>
        <w:t>multi-layer diagnostic architecture</w:t>
      </w:r>
      <w:r>
        <w:t xml:space="preserve"> that separates interval coverage (Anfuso traffic-light), distributional shape (PIT uniformity), and temporal dependence (Ljung–Box independence), demonstrating that these layers are not redundant — a model can pass one layer while failing another.</w:t>
      </w:r>
    </w:p>
    <w:p w14:paraId="5D040F37" w14:textId="77777777" w:rsidR="00842324" w:rsidRDefault="00000000">
      <w:pPr>
        <w:numPr>
          <w:ilvl w:val="0"/>
          <w:numId w:val="3"/>
        </w:numPr>
      </w:pPr>
      <w:r>
        <w:t xml:space="preserve">An </w:t>
      </w:r>
      <w:r>
        <w:rPr>
          <w:b/>
          <w:bCs/>
        </w:rPr>
        <w:t>empirical cross-dataset comparison</w:t>
      </w:r>
      <w:r>
        <w:t xml:space="preserve"> revealing structurally distinct failure modes: bilateral miscalibration in the short-term electricity load model, asymmetric lower-tail failure in wind generation, distributional failure without interval failure in PV solar, and full-pass in the synthetic positive control.</w:t>
      </w:r>
    </w:p>
    <w:p w14:paraId="5D040F38" w14:textId="77777777" w:rsidR="00842324" w:rsidRDefault="00000000">
      <w:pPr>
        <w:numPr>
          <w:ilvl w:val="0"/>
          <w:numId w:val="3"/>
        </w:numPr>
      </w:pPr>
      <w:r>
        <w:t xml:space="preserve">A </w:t>
      </w:r>
      <w:r>
        <w:rPr>
          <w:b/>
          <w:bCs/>
        </w:rPr>
        <w:t>conformal augmentation feasibility study</w:t>
      </w:r>
      <w:r>
        <w:t xml:space="preserve"> demonstrating that base interval + conformal expansion restores near-nominal coverage (89.9% at α = 0.1) on the ENTSO-E series under temporal distribution shift, with a 12% interval width increase </w:t>
      </w:r>
      <w:r>
        <w:lastRenderedPageBreak/>
        <w:t>— the best calibration–sharpness trade-off among five evaluated conformal variants.</w:t>
      </w:r>
    </w:p>
    <w:p w14:paraId="5D040F39" w14:textId="77777777" w:rsidR="00842324" w:rsidRDefault="00000000">
      <w:pPr>
        <w:numPr>
          <w:ilvl w:val="0"/>
          <w:numId w:val="3"/>
        </w:numPr>
      </w:pPr>
      <w:r>
        <w:t xml:space="preserve">A </w:t>
      </w:r>
      <w:r>
        <w:rPr>
          <w:b/>
          <w:bCs/>
        </w:rPr>
        <w:t>misspecification detection analysis</w:t>
      </w:r>
      <w:r>
        <w:t xml:space="preserve"> showing that the framework correctly classifies variance inflation and mean bias as RED while exposing a power boundary: heavy-tail misspecification at t(df=3) is not detected by interval backtesting at n = 365, with direct practical implications for minimum evaluation horizon requirements.</w:t>
      </w:r>
    </w:p>
    <w:p w14:paraId="5D040F3A" w14:textId="77777777" w:rsidR="00842324" w:rsidRDefault="00000000">
      <w:pPr>
        <w:numPr>
          <w:ilvl w:val="0"/>
          <w:numId w:val="3"/>
        </w:numPr>
      </w:pPr>
      <w:r>
        <w:t xml:space="preserve">A </w:t>
      </w:r>
      <w:r>
        <w:rPr>
          <w:b/>
          <w:bCs/>
        </w:rPr>
        <w:t>governance framework</w:t>
      </w:r>
      <w:r>
        <w:t xml:space="preserve"> aggregating diagnostic signals into structured traffic-light classifications, with explicit regulatory grounding in the Basel backtesting literature and the REMIT context, and a multivariate extension evaluating joint PIT residual dependence across correlated renewable assets.</w:t>
      </w:r>
    </w:p>
    <w:p w14:paraId="5D040F3B" w14:textId="77777777" w:rsidR="00842324" w:rsidRDefault="00000000">
      <w:pPr>
        <w:numPr>
          <w:ilvl w:val="0"/>
          <w:numId w:val="3"/>
        </w:numPr>
      </w:pPr>
      <w:r>
        <w:t xml:space="preserve">A </w:t>
      </w:r>
      <w:r>
        <w:rPr>
          <w:b/>
          <w:bCs/>
        </w:rPr>
        <w:t>production-grade validation architecture</w:t>
      </w:r>
      <w:r>
        <w:t xml:space="preserve"> implementing eleven software components — DataContract, three model-class adapters (Adapter_PointForecast, Adapter_SimulationJoint, Adapter_Quantiles), a distribution builder (BuildDist_FromResiduals), a diagnostics gateway (Diagnostics_Input), two scoring components (Score_Pinball, Interval_Sharpness), a regime tagger (RegimeTagger), a threshold calibrator (ThresholdCalibrator), and a decision engine (DecisionEngine) — together comprising 451 passing unit and integration tests. The architecture enforces strict input validation via a canonical data contract, routes heterogeneous model types through appropriate transformations, and produces structured governance decisions with full provenance audit trails.</w:t>
      </w:r>
    </w:p>
    <w:p w14:paraId="5D040F3C" w14:textId="77777777" w:rsidR="00842324" w:rsidRDefault="00000000">
      <w:pPr>
        <w:numPr>
          <w:ilvl w:val="0"/>
          <w:numId w:val="3"/>
        </w:numPr>
      </w:pPr>
      <w:r>
        <w:t xml:space="preserve">An </w:t>
      </w:r>
      <w:r>
        <w:rPr>
          <w:b/>
          <w:bCs/>
        </w:rPr>
        <w:t>AI-powered narrative generation layer</w:t>
      </w:r>
      <w:r>
        <w:t xml:space="preserve"> (NarrativeGenerator) that converts structured governance decisions into both technical summaries (for quantitative risk officers) and plain-language explanations (for non-technical stakeholders) via the Anthropic API, and a </w:t>
      </w:r>
      <w:r>
        <w:rPr>
          <w:b/>
          <w:bCs/>
        </w:rPr>
        <w:t>Streamlit web application</w:t>
      </w:r>
      <w:r>
        <w:t xml:space="preserve"> deployed at </w:t>
      </w:r>
      <w:r>
        <w:rPr>
          <w:rStyle w:val="VerbatimChar"/>
        </w:rPr>
        <w:t>unified-probabilistic-validation.streamlit.app</w:t>
      </w:r>
      <w:r>
        <w:t xml:space="preserve"> that exposes the full validation pipeline to non-Python users via CSV upload, enabling governance classification without local installation.</w:t>
      </w:r>
    </w:p>
    <w:p w14:paraId="5D040F3D" w14:textId="77777777" w:rsidR="00842324" w:rsidRDefault="00000000">
      <w:pPr>
        <w:pStyle w:val="FirstParagraph"/>
      </w:pPr>
      <w:r>
        <w:t>The framework does not develop new forecasting algorithms, optimise trading strategies, or guarantee conditional coverage under arbitrary covariate partitions. Its scope is confined to probabilistic validation, reliability diagnostics, and governance translation of model outputs.</w:t>
      </w:r>
    </w:p>
    <w:p w14:paraId="5D040F3E" w14:textId="77777777" w:rsidR="00842324" w:rsidRDefault="00000000">
      <w:r>
        <w:pict w14:anchorId="5D0415CF">
          <v:rect id="_x0000_i1027" style="width:0;height:1.5pt" o:hralign="center" o:hrstd="t" o:hr="t"/>
        </w:pict>
      </w:r>
    </w:p>
    <w:p w14:paraId="5D040F3F" w14:textId="77777777" w:rsidR="00842324" w:rsidRDefault="00000000">
      <w:pPr>
        <w:pStyle w:val="Heading2"/>
      </w:pPr>
      <w:bookmarkStart w:id="14" w:name="industry-context"/>
      <w:bookmarkStart w:id="15" w:name="_Toc225682068"/>
      <w:bookmarkEnd w:id="12"/>
      <w:r>
        <w:t>1.4 Industry Context</w:t>
      </w:r>
      <w:bookmarkEnd w:id="15"/>
    </w:p>
    <w:p w14:paraId="5D040F40" w14:textId="77777777" w:rsidR="00842324" w:rsidRDefault="00000000">
      <w:pPr>
        <w:pStyle w:val="FirstParagraph"/>
      </w:pPr>
      <w:r>
        <w:t xml:space="preserve">This thesis was conducted in collaboration with Energy Quant Solutions Sweden AB (EnBW group). The industry partnership shaped the applied scope of the framework — in particular the selection of model classes, the treatment of y_hat as a machine learning or physical-parametric point forecast, the governance framing of the traffic-light </w:t>
      </w:r>
      <w:r>
        <w:lastRenderedPageBreak/>
        <w:t>classification, and the practical interpretation of RED classifications in an institutional model risk context. Research questions and methodology were developed jointly with the academic supervisor and the industry partner.</w:t>
      </w:r>
    </w:p>
    <w:p w14:paraId="5D040F41" w14:textId="77777777" w:rsidR="00842324" w:rsidRDefault="00000000">
      <w:r>
        <w:pict w14:anchorId="5D0415D0">
          <v:rect id="_x0000_i1028" style="width:0;height:1.5pt" o:hralign="center" o:hrstd="t" o:hr="t"/>
        </w:pict>
      </w:r>
    </w:p>
    <w:p w14:paraId="5D040F42" w14:textId="77777777" w:rsidR="00842324" w:rsidRDefault="00000000">
      <w:pPr>
        <w:pStyle w:val="Heading2"/>
      </w:pPr>
      <w:bookmarkStart w:id="16" w:name="literature-positioning"/>
      <w:bookmarkStart w:id="17" w:name="_Toc225682069"/>
      <w:bookmarkEnd w:id="14"/>
      <w:r>
        <w:t>1.5 Literature Positioning</w:t>
      </w:r>
      <w:bookmarkEnd w:id="17"/>
    </w:p>
    <w:p w14:paraId="5D040F43" w14:textId="77777777" w:rsidR="00842324" w:rsidRDefault="00000000">
      <w:pPr>
        <w:pStyle w:val="FirstParagraph"/>
      </w:pPr>
      <w:r>
        <w:t>This thesis sits at the confluence of three research streams.</w:t>
      </w:r>
    </w:p>
    <w:p w14:paraId="5D040F44" w14:textId="77777777" w:rsidR="00842324" w:rsidRDefault="00000000">
      <w:pPr>
        <w:pStyle w:val="BodyText"/>
      </w:pPr>
      <w:r>
        <w:t xml:space="preserve">The first is </w:t>
      </w:r>
      <w:r>
        <w:rPr>
          <w:b/>
          <w:bCs/>
        </w:rPr>
        <w:t>density forecast evaluation and calibration theory</w:t>
      </w:r>
      <w:r>
        <w:t>. Since Dawid (1985) formalised calibration as an empirical notion of probability, and Diebold, Gunther, and Tay (1998) introduced PIT as a practical diagnostic instrument, the field has developed strictly proper scoring rules (Gneiting and Raftery, 2007) and the principle of maximising sharpness subject to calibration (Gneiting and Katzfuss, 2014). More recently, conformal prediction provides distribution-free finite-sample coverage guarantees (Vovk, Gammerman and Shafer, 2005; Tibshirani et al., 2019), with adaptive online variants for non-stationary environments (Angelopoulos et al., 2024).</w:t>
      </w:r>
    </w:p>
    <w:p w14:paraId="5D040F45" w14:textId="77777777" w:rsidR="00842324" w:rsidRDefault="00000000">
      <w:pPr>
        <w:pStyle w:val="BodyText"/>
      </w:pPr>
      <w:r>
        <w:t xml:space="preserve">The second is </w:t>
      </w:r>
      <w:r>
        <w:rPr>
          <w:b/>
          <w:bCs/>
        </w:rPr>
        <w:t>probabilistic forecasting in energy systems</w:t>
      </w:r>
      <w:r>
        <w:t>. Industrial practice has shifted from deterministic to probabilistic modelling (Goude and Nédellec, 2015), and probabilistic load forecasting has matured into a standard operational tool (Hong and Fan, 2016). Large-scale competitions such as GEFCom have underscored quantile-based evaluation (Hong et al., 2016), while the broader electricity price forecasting literature has documented the benefits of distributional over point forecasts (Weron, 2014; Nowotarski and Weron, 2018). Conformal prediction has recently been applied directly to electricity price forecasting, demonstrating reliable interval coverage under market regime shifts (Kath and Ziel, 2021; O’Connor et al., 2025). Evaluation of probabilistic demand forecasts using PIT, CRPS, and pinball loss in industry settings confirms the multi-metric approach adopted here (Chen et al., 2024). Recent work further documents benefits of integrating probabilistic inputs into electricity price forecasting (Uniejewski and Ziel, 2025). However, systematic multi-class evaluation integrating calibration theory with governance classification remains limited.</w:t>
      </w:r>
    </w:p>
    <w:p w14:paraId="5D040F46" w14:textId="77777777" w:rsidR="00842324" w:rsidRDefault="00000000">
      <w:pPr>
        <w:pStyle w:val="BodyText"/>
      </w:pPr>
      <w:r>
        <w:t xml:space="preserve">The third is </w:t>
      </w:r>
      <w:r>
        <w:rPr>
          <w:b/>
          <w:bCs/>
        </w:rPr>
        <w:t>financial backtesting and governance</w:t>
      </w:r>
      <w:r>
        <w:t>. From Kupiec (1995) and Christoffersen (1998) through Berkowitz (2001), statistical backtesting procedures constitute the backbone of Basel regulatory traffic-light systems (Basel Committee, 1996; 2010). The quantitative risk management literature has formalised VaR backtesting as a governance mechanism (McNeil, Frey and Embrechts, 2005) extended to counterparty credit risk by Ruiz (2012) and Kenyon and Stamm (2012). The translation of these governance-oriented paradigms into energy analytics remains comparatively limited.</w:t>
      </w:r>
    </w:p>
    <w:p w14:paraId="5D040F47" w14:textId="77777777" w:rsidR="00842324" w:rsidRDefault="00000000">
      <w:pPr>
        <w:pStyle w:val="BodyText"/>
      </w:pPr>
      <w:r>
        <w:t>The research frontier lies in the systematic integration of all three streams — calibration theory, energy forecasting evaluation, and financial-style governance — into a coherent reliability architecture operating across diverse model classes.</w:t>
      </w:r>
    </w:p>
    <w:p w14:paraId="5D040F48" w14:textId="77777777" w:rsidR="00842324" w:rsidRDefault="00000000">
      <w:r>
        <w:lastRenderedPageBreak/>
        <w:pict w14:anchorId="5D0415D1">
          <v:rect id="_x0000_i1029" style="width:0;height:1.5pt" o:hralign="center" o:hrstd="t" o:hr="t"/>
        </w:pict>
      </w:r>
    </w:p>
    <w:p w14:paraId="5D040F49" w14:textId="77777777" w:rsidR="00842324" w:rsidRDefault="00000000">
      <w:pPr>
        <w:pStyle w:val="Heading2"/>
      </w:pPr>
      <w:bookmarkStart w:id="18" w:name="thesis-structure"/>
      <w:bookmarkStart w:id="19" w:name="_Toc225682070"/>
      <w:bookmarkEnd w:id="16"/>
      <w:r>
        <w:t>1.6 Thesis Structure</w:t>
      </w:r>
      <w:bookmarkEnd w:id="19"/>
    </w:p>
    <w:p w14:paraId="5D040F4A" w14:textId="77777777" w:rsidR="00842324" w:rsidRDefault="00000000">
      <w:pPr>
        <w:pStyle w:val="FirstParagraph"/>
      </w:pPr>
      <w:r>
        <w:rPr>
          <w:b/>
          <w:bCs/>
        </w:rPr>
        <w:t>Chapter 2 — Methodology</w:t>
      </w:r>
      <w:r>
        <w:t xml:space="preserve"> describes the unified validation architecture: distribution reconstruction, diagnostic evaluation, conformal augmentation, governance classification, the multivariate extension, and the production integration layer comprising the data contract, model-class adapters, distribution builder, diagnostics gateway, scoring components, regime tagger, threshold calibrator, decision engine, and deployment interfaces.</w:t>
      </w:r>
    </w:p>
    <w:p w14:paraId="5D040F4B" w14:textId="77777777" w:rsidR="00842324" w:rsidRDefault="00000000">
      <w:pPr>
        <w:pStyle w:val="BodyText"/>
      </w:pPr>
      <w:r>
        <w:rPr>
          <w:b/>
          <w:bCs/>
        </w:rPr>
        <w:t>Chapter 3 — Results</w:t>
      </w:r>
      <w:r>
        <w:t xml:space="preserve"> reports empirical findings across all four model classes and misspecification scenarios, structured as a cross-dataset comparison with full diagnostic tables.</w:t>
      </w:r>
    </w:p>
    <w:p w14:paraId="5D040F4C" w14:textId="77777777" w:rsidR="00842324" w:rsidRDefault="00000000">
      <w:pPr>
        <w:pStyle w:val="BodyText"/>
      </w:pPr>
      <w:r>
        <w:rPr>
          <w:b/>
          <w:bCs/>
        </w:rPr>
        <w:t>Chapter 4 — Discussion</w:t>
      </w:r>
      <w:r>
        <w:t xml:space="preserve"> interprets results in relation to the three research questions, addresses limitations, and situates findings within the broader literature.</w:t>
      </w:r>
    </w:p>
    <w:p w14:paraId="5D040F4D" w14:textId="77777777" w:rsidR="00842324" w:rsidRDefault="00000000">
      <w:pPr>
        <w:pStyle w:val="BodyText"/>
      </w:pPr>
      <w:r>
        <w:rPr>
          <w:b/>
          <w:bCs/>
        </w:rPr>
        <w:t>Chapter 5 — Governance Implications</w:t>
      </w:r>
      <w:r>
        <w:t xml:space="preserve"> translates diagnostic findings into practical governance recommendations, with reference to Basel and REMIT regulatory frameworks and the role of conformal augmentation in model risk management.</w:t>
      </w:r>
    </w:p>
    <w:p w14:paraId="5D040F4E" w14:textId="77777777" w:rsidR="00842324" w:rsidRDefault="00000000">
      <w:pPr>
        <w:pStyle w:val="Heading1"/>
      </w:pPr>
      <w:bookmarkStart w:id="20" w:name="methodology"/>
      <w:bookmarkStart w:id="21" w:name="_Toc225682071"/>
      <w:bookmarkEnd w:id="6"/>
      <w:bookmarkEnd w:id="18"/>
      <w:r>
        <w:t>Methodology</w:t>
      </w:r>
      <w:bookmarkEnd w:id="21"/>
    </w:p>
    <w:p w14:paraId="5D040F4F" w14:textId="77777777" w:rsidR="00842324" w:rsidRDefault="00000000">
      <w:pPr>
        <w:pStyle w:val="Heading1"/>
      </w:pPr>
      <w:bookmarkStart w:id="22" w:name="methodology-1"/>
      <w:bookmarkStart w:id="23" w:name="_Toc225682072"/>
      <w:bookmarkEnd w:id="20"/>
      <w:r>
        <w:t>Methodology</w:t>
      </w:r>
      <w:bookmarkEnd w:id="23"/>
    </w:p>
    <w:p w14:paraId="5D040F50" w14:textId="77777777" w:rsidR="00842324" w:rsidRDefault="00000000">
      <w:pPr>
        <w:pStyle w:val="Heading2"/>
      </w:pPr>
      <w:bookmarkStart w:id="24" w:name="framework-overview"/>
      <w:bookmarkStart w:id="25" w:name="_Toc225682073"/>
      <w:r>
        <w:t>1. Framework Overview</w:t>
      </w:r>
      <w:bookmarkEnd w:id="25"/>
    </w:p>
    <w:p w14:paraId="5D040F51" w14:textId="77777777" w:rsidR="00842324" w:rsidRDefault="00000000">
      <w:pPr>
        <w:pStyle w:val="FirstParagraph"/>
      </w:pPr>
      <w:r>
        <w:t>This chapter describes the unified probabilistic validation architecture developed to evaluate and govern heterogeneous energy market models. The framework is organised into four layers, applied uniformly across all model classes:</w:t>
      </w:r>
    </w:p>
    <w:p w14:paraId="5D040F52" w14:textId="77777777" w:rsidR="00842324" w:rsidRDefault="00000000">
      <w:pPr>
        <w:pStyle w:val="Compact"/>
        <w:numPr>
          <w:ilvl w:val="0"/>
          <w:numId w:val="4"/>
        </w:numPr>
      </w:pPr>
      <w:r>
        <w:rPr>
          <w:b/>
          <w:bCs/>
        </w:rPr>
        <w:t>Distribution reconstruction</w:t>
      </w:r>
      <w:r>
        <w:t xml:space="preserve"> — converting model outputs into evaluable predictive distributions where only point forecasts are available.</w:t>
      </w:r>
    </w:p>
    <w:p w14:paraId="5D040F53" w14:textId="77777777" w:rsidR="00842324" w:rsidRDefault="00000000">
      <w:pPr>
        <w:pStyle w:val="Compact"/>
        <w:numPr>
          <w:ilvl w:val="0"/>
          <w:numId w:val="4"/>
        </w:numPr>
      </w:pPr>
      <w:r>
        <w:rPr>
          <w:b/>
          <w:bCs/>
        </w:rPr>
        <w:t>Diagnostic evaluation</w:t>
      </w:r>
      <w:r>
        <w:t xml:space="preserve"> — applying a multi-layer battery of statistical tests to assess calibration, distributional correctness, and temporal independence.</w:t>
      </w:r>
    </w:p>
    <w:p w14:paraId="5D040F54" w14:textId="77777777" w:rsidR="00842324" w:rsidRDefault="00000000">
      <w:pPr>
        <w:pStyle w:val="Compact"/>
        <w:numPr>
          <w:ilvl w:val="0"/>
          <w:numId w:val="4"/>
        </w:numPr>
      </w:pPr>
      <w:r>
        <w:rPr>
          <w:b/>
          <w:bCs/>
        </w:rPr>
        <w:t>Conformal augmentation</w:t>
      </w:r>
      <w:r>
        <w:t xml:space="preserve"> — applying distribution-free post-hoc recalibration to restore nominal coverage under distributional shift.</w:t>
      </w:r>
    </w:p>
    <w:p w14:paraId="5D040F55" w14:textId="77777777" w:rsidR="00842324" w:rsidRDefault="00000000">
      <w:pPr>
        <w:pStyle w:val="Compact"/>
        <w:numPr>
          <w:ilvl w:val="0"/>
          <w:numId w:val="4"/>
        </w:numPr>
      </w:pPr>
      <w:r>
        <w:rPr>
          <w:b/>
          <w:bCs/>
        </w:rPr>
        <w:t>Governance classification</w:t>
      </w:r>
      <w:r>
        <w:t xml:space="preserve"> — aggregating diagnostic signals into an interpretable traffic-light decision for model use.</w:t>
      </w:r>
    </w:p>
    <w:p w14:paraId="5D040F56" w14:textId="77777777" w:rsidR="00842324" w:rsidRDefault="00000000">
      <w:pPr>
        <w:pStyle w:val="FirstParagraph"/>
      </w:pPr>
      <w:r>
        <w:t xml:space="preserve">Each layer is described in turn below. The framework is implemented as a reproducible Python pipeline; all build scripts, run scripts, and diagnostic modules are version-controlled at </w:t>
      </w:r>
      <w:r>
        <w:rPr>
          <w:rStyle w:val="VerbatimChar"/>
        </w:rPr>
        <w:t>github.com/LeJ7-commits/unified-probabilistic-validation</w:t>
      </w:r>
      <w:r>
        <w:t>.</w:t>
      </w:r>
    </w:p>
    <w:p w14:paraId="5D040F57" w14:textId="77777777" w:rsidR="00842324" w:rsidRDefault="00000000">
      <w:pPr>
        <w:pStyle w:val="BodyText"/>
      </w:pPr>
      <w:r>
        <w:lastRenderedPageBreak/>
        <w:t xml:space="preserve">A fifth layer — </w:t>
      </w:r>
      <w:r>
        <w:rPr>
          <w:b/>
          <w:bCs/>
        </w:rPr>
        <w:t>production integration</w:t>
      </w:r>
      <w:r>
        <w:t xml:space="preserve"> — wraps the above into a unified execution architecture suitable for deployment in operational settings. This layer comprises: a canonical data contract (DataContract) that validates and normalises heterogeneous model inputs; a set of model-class-specific adapters that convert raw outputs into evaluable predictive distributions; a diagnostics gateway (Diagnostics_Input) that routes inputs to the appropriate diagnostic branches based on available data representations; a standalone decision engine (DecisionEngine) that orchestrates the full diagnostic pipeline and produces a structured governance decision with full provenance; an AI-powered narrative generator (NarrativeGenerator) that converts structured decisions into plain-language and technical governance summaries; and a Streamlit web application that exposes the full pipeline to non-technical users via CSV upload. The production layer is documented in Section 9.</w:t>
      </w:r>
    </w:p>
    <w:p w14:paraId="5D040F58" w14:textId="77777777" w:rsidR="00842324" w:rsidRDefault="00000000">
      <w:r>
        <w:pict w14:anchorId="5D0415D2">
          <v:rect id="_x0000_i1030" style="width:0;height:1.5pt" o:hralign="center" o:hrstd="t" o:hr="t"/>
        </w:pict>
      </w:r>
    </w:p>
    <w:p w14:paraId="5D040F59" w14:textId="77777777" w:rsidR="00842324" w:rsidRDefault="00000000">
      <w:pPr>
        <w:pStyle w:val="Heading2"/>
      </w:pPr>
      <w:bookmarkStart w:id="26" w:name="model-classes-and-datasets"/>
      <w:bookmarkStart w:id="27" w:name="_Toc225682074"/>
      <w:bookmarkEnd w:id="24"/>
      <w:r>
        <w:t>2. Model Classes and Datasets</w:t>
      </w:r>
      <w:bookmarkEnd w:id="27"/>
    </w:p>
    <w:p w14:paraId="5D040F5A" w14:textId="77777777" w:rsidR="00842324" w:rsidRDefault="00000000">
      <w:pPr>
        <w:pStyle w:val="FirstParagraph"/>
      </w:pPr>
      <w:r>
        <w:t>Four model classes are evaluated, spanning three real-world datasets and one synthetic positive control.</w:t>
      </w:r>
    </w:p>
    <w:p w14:paraId="5D040F5B" w14:textId="77777777" w:rsidR="00842324" w:rsidRDefault="00000000">
      <w:pPr>
        <w:pStyle w:val="Heading3"/>
      </w:pPr>
      <w:bookmarkStart w:id="28" w:name="Xa79501371aaa6d3330083b985dd927c5e9ca6cc"/>
      <w:r>
        <w:t>2.1 Short-Term Electricity Load Forecasting (ENTSO-E)</w:t>
      </w:r>
    </w:p>
    <w:p w14:paraId="5D040F5C" w14:textId="77777777" w:rsidR="00842324" w:rsidRDefault="00000000">
      <w:pPr>
        <w:pStyle w:val="FirstParagraph"/>
      </w:pPr>
      <w:r>
        <w:t>The ENTSO-E dataset contains quarter-hourly electricity load observations and corresponding point forecasts for a European transmission network, covering a multi-year historical period (n = 210,427 raw rows; 209,555 evaluable after cleaning). The point forecast y_hat is treated as the output of a machine learning model — specifically an ensemble of gradient boosted trees (XGBoost or LightGBM class) trained on historical hourly consumption data augmented with temperature lags and forecasts, and calendar features (hour of day, day of week, month, public holiday indicators). The forecast is generated at t = 0 to predict all 24 hours of the following day. No distributional output is natively provided by this class of model; the predictive distribution is reconstructed from historical residuals (see Section 3).</w:t>
      </w:r>
    </w:p>
    <w:p w14:paraId="5D040F5D" w14:textId="77777777" w:rsidR="00842324" w:rsidRDefault="00000000">
      <w:pPr>
        <w:pStyle w:val="Heading3"/>
      </w:pPr>
      <w:bookmarkStart w:id="29" w:name="long-term-pv-generation-pv-solar"/>
      <w:bookmarkEnd w:id="28"/>
      <w:r>
        <w:t>2.2 Long-Term PV Generation (PV Solar)</w:t>
      </w:r>
    </w:p>
    <w:p w14:paraId="5D040F5E" w14:textId="77777777" w:rsidR="00842324" w:rsidRDefault="00000000">
      <w:pPr>
        <w:pStyle w:val="FirstParagraph"/>
      </w:pPr>
      <w:r>
        <w:t xml:space="preserve">The PV dataset contains hourly photovoltaic generation simulations and corresponding actual generation measurements for a European solar site, covering 2013–2015 (n = 26,280 raw rows). The simulation y_hat represents the expected power output derived from a wind speed forecast via a power curve transformation: forecasted irradiance is converted to expected generation using the turbine or panel’s characteristic response function, adjusted for air density, system efficiency, and estimated downtime. This is a standard physical-parametric approach (Lorenz et al., 2009) and does not produce a distributional output; the predictive distribution is reconstructed from residuals. Structural nighttime hours — defined as observations where both simulation and actuals fall below a threshold of 10⁻⁹ — are excluded from calibration evaluation (see Section 3.3). This exclusion is </w:t>
      </w:r>
      <w:r>
        <w:lastRenderedPageBreak/>
        <w:t>consistent with standard practice in solar generation assessment and is documented explicitly in dataset metadata.</w:t>
      </w:r>
    </w:p>
    <w:p w14:paraId="5D040F5F" w14:textId="77777777" w:rsidR="00842324" w:rsidRDefault="00000000">
      <w:pPr>
        <w:pStyle w:val="Heading3"/>
      </w:pPr>
      <w:bookmarkStart w:id="30" w:name="long-term-wind-generation-wind"/>
      <w:bookmarkEnd w:id="29"/>
      <w:r>
        <w:t>2.3 Long-Term Wind Generation (Wind)</w:t>
      </w:r>
    </w:p>
    <w:p w14:paraId="5D040F60" w14:textId="77777777" w:rsidR="00842324" w:rsidRDefault="00000000">
      <w:pPr>
        <w:pStyle w:val="FirstParagraph"/>
      </w:pPr>
      <w:r>
        <w:t>The wind dataset shares the same structure and time span as the PV dataset (n = 26,280 raw rows, hourly, 2013–2015). The simulation y_hat is derived by applying a wind turbine’s power curve to a forecasted wind speed time series: the power curve maps wind speed at hub height to expected power output, incorporating rated power, cut-in and cut-out wind speed thresholds, and optional adjustments for air density and efficiency. The forecast is generated at a multi-year planning horizon informed by long-term weather scenarios and site-specific technical parameters (turbine size, hub height, geolocation). Wind generates power around the clock; no nighttime exclusion is applied.</w:t>
      </w:r>
    </w:p>
    <w:p w14:paraId="5D040F61" w14:textId="77777777" w:rsidR="00842324" w:rsidRDefault="00000000">
      <w:pPr>
        <w:pStyle w:val="Heading3"/>
      </w:pPr>
      <w:bookmarkStart w:id="31" w:name="X533564940c853062947f2f9deb93afd8eb23183"/>
      <w:bookmarkEnd w:id="30"/>
      <w:r>
        <w:t>2.4 Synthetic Simulation Model (Price and Temperature)</w:t>
      </w:r>
    </w:p>
    <w:p w14:paraId="5D040F62" w14:textId="77777777" w:rsidR="00842324" w:rsidRDefault="00000000">
      <w:pPr>
        <w:pStyle w:val="FirstParagraph"/>
      </w:pPr>
      <w:r>
        <w:t xml:space="preserve">The synthetic model generates correlated daily price and temperature simulation paths from a known joint Gaussian data-generating process (DGP). The DGP incorporates intraday seasonality (modelled via sine and cosine functions of hour of day), annual seasonality (via cosine of day of year), and cross-series correlation (ρ = 0.5) implemented via Cholesky decomposition. Parameters are: base price 50, σ_price = 5.0; base temperature 10, σ_temp = 3.0. The evaluation horizon is n_days = 365 as-of dates, each with 5,000 simulation paths of 8,760 hourly steps (n_horizons = 8,760 ≈ one year). The predictive distribution is given directly by the empirical quantiles of the 5,000 paths; no reconstruction is required. This model class serves as a </w:t>
      </w:r>
      <w:r>
        <w:rPr>
          <w:b/>
          <w:bCs/>
        </w:rPr>
        <w:t>positive control</w:t>
      </w:r>
      <w:r>
        <w:t>: since the evaluation draws realisations from the same DGP as the simulation paths, a correctly implemented framework should return GREEN classifications. Three deliberate misspecification scenarios are also evaluated (see Section 2.5).</w:t>
      </w:r>
    </w:p>
    <w:p w14:paraId="5D040F63" w14:textId="77777777" w:rsidR="00842324" w:rsidRDefault="00000000">
      <w:pPr>
        <w:pStyle w:val="Heading3"/>
      </w:pPr>
      <w:bookmarkStart w:id="32" w:name="misspecification-scenarios"/>
      <w:bookmarkEnd w:id="31"/>
      <w:r>
        <w:t>2.5 Misspecification Scenarios</w:t>
      </w:r>
    </w:p>
    <w:p w14:paraId="5D040F64" w14:textId="77777777" w:rsidR="00842324" w:rsidRDefault="00000000">
      <w:pPr>
        <w:pStyle w:val="FirstParagraph"/>
      </w:pPr>
      <w:r>
        <w:t>Three misspecification scenarios are applied to both price and temperature series to test the framework’s discriminative validity:</w:t>
      </w:r>
    </w:p>
    <w:p w14:paraId="5D040F65" w14:textId="77777777" w:rsidR="00842324" w:rsidRDefault="00000000">
      <w:pPr>
        <w:pStyle w:val="Compact"/>
        <w:numPr>
          <w:ilvl w:val="0"/>
          <w:numId w:val="5"/>
        </w:numPr>
      </w:pPr>
      <w:r>
        <w:rPr>
          <w:b/>
          <w:bCs/>
        </w:rPr>
        <w:t>Variance inflation:</w:t>
      </w:r>
      <w:r>
        <w:t xml:space="preserve"> Realised values are drawn with standard deviation 2σ while the simulation paths use σ. This makes the predictive intervals systematically half as wide as required, producing bilateral over-breaching.</w:t>
      </w:r>
    </w:p>
    <w:p w14:paraId="5D040F66" w14:textId="77777777" w:rsidR="00842324" w:rsidRDefault="00000000">
      <w:pPr>
        <w:pStyle w:val="Compact"/>
        <w:numPr>
          <w:ilvl w:val="0"/>
          <w:numId w:val="5"/>
        </w:numPr>
      </w:pPr>
      <w:r>
        <w:rPr>
          <w:b/>
          <w:bCs/>
        </w:rPr>
        <w:t>Mean bias:</w:t>
      </w:r>
      <w:r>
        <w:t xml:space="preserve"> Realised values are drawn with the mean shifted by +1σ (price: +5.0 units; temperature: +3.0 units) while the simulation paths use the unshifted mean. This produces systematic directional over-breaching on one tail.</w:t>
      </w:r>
    </w:p>
    <w:p w14:paraId="5D040F67" w14:textId="77777777" w:rsidR="00842324" w:rsidRDefault="00000000">
      <w:pPr>
        <w:pStyle w:val="Compact"/>
        <w:numPr>
          <w:ilvl w:val="0"/>
          <w:numId w:val="5"/>
        </w:numPr>
      </w:pPr>
      <w:r>
        <w:rPr>
          <w:b/>
          <w:bCs/>
        </w:rPr>
        <w:t>Heavy tails:</w:t>
      </w:r>
      <w:r>
        <w:t xml:space="preserve"> Realised values are drawn from a Student’s t-distribution with df = 3 (heavy tails) while the simulation paths remain Gaussian. This tests the framework’s sensitivity to distributional shape misspecification.</w:t>
      </w:r>
    </w:p>
    <w:p w14:paraId="5D040F68" w14:textId="77777777" w:rsidR="00842324" w:rsidRDefault="00000000">
      <w:pPr>
        <w:pStyle w:val="FirstParagraph"/>
      </w:pPr>
      <w:r>
        <w:t>Each scenario uses an independent random seed from the well-specified positive control for methodological separation.</w:t>
      </w:r>
    </w:p>
    <w:p w14:paraId="5D040F69" w14:textId="77777777" w:rsidR="00842324" w:rsidRDefault="00000000">
      <w:r>
        <w:lastRenderedPageBreak/>
        <w:pict w14:anchorId="5D0415D3">
          <v:rect id="_x0000_i1031" style="width:0;height:1.5pt" o:hralign="center" o:hrstd="t" o:hr="t"/>
        </w:pict>
      </w:r>
    </w:p>
    <w:p w14:paraId="5D040F6A" w14:textId="77777777" w:rsidR="00842324" w:rsidRDefault="00000000">
      <w:pPr>
        <w:pStyle w:val="Heading2"/>
      </w:pPr>
      <w:bookmarkStart w:id="33" w:name="distribution-reconstruction"/>
      <w:bookmarkStart w:id="34" w:name="_Toc225682075"/>
      <w:bookmarkEnd w:id="26"/>
      <w:bookmarkEnd w:id="32"/>
      <w:r>
        <w:t>3. Distribution Reconstruction</w:t>
      </w:r>
      <w:bookmarkEnd w:id="34"/>
    </w:p>
    <w:p w14:paraId="5D040F6B" w14:textId="77777777" w:rsidR="00842324" w:rsidRDefault="00000000">
      <w:pPr>
        <w:pStyle w:val="FirstParagraph"/>
      </w:pPr>
      <w:r>
        <w:t xml:space="preserve">For model classes that provide only point forecasts (ENTSO-E, PV, wind), a predictive distribution must be reconstructed before any probabilistic diagnostic can be applied. The reconstruction method serves as the </w:t>
      </w:r>
      <w:r>
        <w:rPr>
          <w:b/>
          <w:bCs/>
        </w:rPr>
        <w:t>pre-conformal baseline</w:t>
      </w:r>
      <w:r>
        <w:t>: it represents the model’s implied predictive uncertainty as honestly as possible given the available information, without augmentation. Its residual miscalibration, if any, motivates the conformal layer (Section 5).</w:t>
      </w:r>
    </w:p>
    <w:p w14:paraId="5D040F6C" w14:textId="77777777" w:rsidR="00842324" w:rsidRDefault="00000000">
      <w:pPr>
        <w:pStyle w:val="Heading3"/>
      </w:pPr>
      <w:bookmarkStart w:id="35" w:name="residual-based-reconstruction"/>
      <w:r>
        <w:t>3.1 Residual-Based Reconstruction</w:t>
      </w:r>
    </w:p>
    <w:p w14:paraId="5D040F6D" w14:textId="77777777" w:rsidR="00842324" w:rsidRDefault="00000000">
      <w:pPr>
        <w:pStyle w:val="FirstParagraph"/>
      </w:pPr>
      <w:r>
        <w:t>For each observation t, define the point forecast residual as:</w:t>
      </w:r>
    </w:p>
    <w:p w14:paraId="5D040F6E" w14:textId="77777777" w:rsidR="00842324" w:rsidRDefault="00000000">
      <w:pPr>
        <w:pStyle w:val="SourceCode"/>
      </w:pPr>
      <w:r>
        <w:rPr>
          <w:rStyle w:val="VerbatimChar"/>
        </w:rPr>
        <w:t>r_t = y_t − ŷ_t</w:t>
      </w:r>
    </w:p>
    <w:p w14:paraId="5D040F6F" w14:textId="77777777" w:rsidR="00842324" w:rsidRDefault="00000000">
      <w:pPr>
        <w:pStyle w:val="FirstParagraph"/>
      </w:pPr>
      <w:r>
        <w:t>The predictive interval at nominal level (1 − α) is then:</w:t>
      </w:r>
    </w:p>
    <w:p w14:paraId="5D040F70" w14:textId="77777777" w:rsidR="00842324" w:rsidRDefault="00000000">
      <w:pPr>
        <w:pStyle w:val="SourceCode"/>
      </w:pPr>
      <w:r>
        <w:rPr>
          <w:rStyle w:val="VerbatimChar"/>
        </w:rPr>
        <w:t>[ŷ_t + q̂_{α/2}(r), ŷ_t + q̂_{1−α/2}(r)]</w:t>
      </w:r>
    </w:p>
    <w:p w14:paraId="5D040F71" w14:textId="77777777" w:rsidR="00842324" w:rsidRDefault="00000000">
      <w:pPr>
        <w:pStyle w:val="FirstParagraph"/>
      </w:pPr>
      <w:r>
        <w:t>where q̂_p(r) denotes the p-th empirical quantile of a trailing window of past residuals, described below. A bias correction is applied by subtracting the window mean from residuals before quantile estimation and adding it back after, ensuring the interval is centred on the corrected forecast rather than the raw point forecast.</w:t>
      </w:r>
    </w:p>
    <w:p w14:paraId="5D040F72" w14:textId="77777777" w:rsidR="00842324" w:rsidRDefault="00000000">
      <w:pPr>
        <w:pStyle w:val="Heading3"/>
      </w:pPr>
      <w:bookmarkStart w:id="36" w:name="Xc06f7d1d281b2c047898ceabad13dd29cabfaee"/>
      <w:bookmarkEnd w:id="35"/>
      <w:r>
        <w:t>3.2 ENTSO-E: 4-Bucket Time-of-Day Conditioning</w:t>
      </w:r>
    </w:p>
    <w:p w14:paraId="5D040F73" w14:textId="77777777" w:rsidR="00842324" w:rsidRDefault="00000000">
      <w:pPr>
        <w:pStyle w:val="FirstParagraph"/>
      </w:pPr>
      <w:r>
        <w:t>Gas load residuals exhibit strong diurnal structure — the distribution of forecast errors differs materially between night, morning, afternoon, and evening consumption regimes. To capture this without over-parameterising the rolling estimator, residuals are assigned to one of four coarse time-of-day buckets:</w:t>
      </w:r>
    </w:p>
    <w:p w14:paraId="5D040F74" w14:textId="77777777" w:rsidR="00842324" w:rsidRDefault="00000000">
      <w:pPr>
        <w:pStyle w:val="SourceCode"/>
      </w:pPr>
      <w:r>
        <w:rPr>
          <w:rStyle w:val="VerbatimChar"/>
        </w:rPr>
        <w:t>Night: 00:00–05:59 | Morning: 06:00–11:59</w:t>
      </w:r>
      <w:r>
        <w:br/>
      </w:r>
      <w:r>
        <w:rPr>
          <w:rStyle w:val="VerbatimChar"/>
        </w:rPr>
        <w:t>Afternoon: 12:00–17:59 | Evening: 18:00–23:59</w:t>
      </w:r>
    </w:p>
    <w:p w14:paraId="5D040F75" w14:textId="77777777" w:rsidR="00842324" w:rsidRDefault="00000000">
      <w:pPr>
        <w:pStyle w:val="FirstParagraph"/>
      </w:pPr>
      <w:r>
        <w:t xml:space="preserve">For each observation t in bucket b, the reconstruction uses a </w:t>
      </w:r>
      <w:r>
        <w:rPr>
          <w:b/>
          <w:bCs/>
        </w:rPr>
        <w:t>combined window</w:t>
      </w:r>
      <w:r>
        <w:t xml:space="preserve"> of: - Wb = 40 trailing bucket-specific past observations (capturing local diurnal structure) - Wg = 672 trailing global observations (7 days of quarter-hourly data; capturing recent volatility regime)</w:t>
      </w:r>
    </w:p>
    <w:p w14:paraId="5D040F76" w14:textId="77777777" w:rsidR="00842324" w:rsidRDefault="00000000">
      <w:pPr>
        <w:pStyle w:val="BodyText"/>
      </w:pPr>
      <w:r>
        <w:t>The combined window is concatenated and the bias-corrected empirical quantiles are taken at levels α/2 and 1 − α/2. A shrinkage weight is implicitly achieved by pooling the smaller bucket-specific window with the larger global window. This specification was selected on the basis of the feasibility analysis conducted on the 90-day ENTSO-E development sample (notebooks/02_entsog_feasibility.ipynb), where it achieved 92.4% empirical coverage against a 90% nominal target — the best result among candidate methods tested.</w:t>
      </w:r>
    </w:p>
    <w:p w14:paraId="5D040F77" w14:textId="77777777" w:rsidR="00842324" w:rsidRDefault="00000000">
      <w:pPr>
        <w:pStyle w:val="BodyText"/>
      </w:pPr>
      <w:r>
        <w:lastRenderedPageBreak/>
        <w:t>A robust scale estimate is also computed per observation using the normalised median absolute deviation (1.4826 × MAD) over the centred combined window. This scale is used to generate Monte Carlo samples for CRPS computation and as input to the conformal augmentation layer.</w:t>
      </w:r>
    </w:p>
    <w:p w14:paraId="5D040F78" w14:textId="77777777" w:rsidR="00842324" w:rsidRDefault="00000000">
      <w:pPr>
        <w:pStyle w:val="Heading3"/>
      </w:pPr>
      <w:bookmarkStart w:id="37" w:name="X0eaf96d2d51ec40fd28437a05e7a640debcfcc1"/>
      <w:bookmarkEnd w:id="36"/>
      <w:r>
        <w:t>3.3 PV and Wind: 24-Bucket Hour-of-Day Conditioning</w:t>
      </w:r>
    </w:p>
    <w:p w14:paraId="5D040F79" w14:textId="77777777" w:rsidR="00842324" w:rsidRDefault="00000000">
      <w:pPr>
        <w:pStyle w:val="FirstParagraph"/>
      </w:pPr>
      <w:r>
        <w:t>With 3 years of hourly data (~26,280 rows), each of the 24 hour-of-day buckets contains approximately 1,095 observations, making fine-grained conditioning stable. For each observation t at hour h, the reconstruction uses W = 720 trailing same-hour observations (~30 days of same-hour history). No global shrinkage window is used because the large per-bucket sample size makes local estimation stable without pooling.</w:t>
      </w:r>
    </w:p>
    <w:p w14:paraId="5D040F7A" w14:textId="77777777" w:rsidR="00842324" w:rsidRDefault="00000000">
      <w:pPr>
        <w:pStyle w:val="BodyText"/>
      </w:pPr>
      <w:r>
        <w:t>The nighttime exclusion for PV is applied before reconstruction: rows where both Simulation and Actuals fall below 10⁻⁹ are removed from the dataset. Of the 26,280 raw PV rows, 10,036 (38.2%) are excluded as structural nighttime zeros. The rolling warmup then consumes the first W = 720 same-hour observations per bucket before evaluation begins, leaving n_eval = 4,287 evaluable PV daytime observations. For wind (no exclusion), n_eval = 9,000.</w:t>
      </w:r>
    </w:p>
    <w:p w14:paraId="5D040F7B" w14:textId="77777777" w:rsidR="00842324" w:rsidRDefault="00000000">
      <w:pPr>
        <w:pStyle w:val="Heading3"/>
      </w:pPr>
      <w:bookmarkStart w:id="38" w:name="simulation-no-reconstruction-required"/>
      <w:bookmarkEnd w:id="37"/>
      <w:r>
        <w:t>3.4 Simulation: No Reconstruction Required</w:t>
      </w:r>
    </w:p>
    <w:p w14:paraId="5D040F7C" w14:textId="77777777" w:rsidR="00842324" w:rsidRDefault="00000000">
      <w:pPr>
        <w:pStyle w:val="FirstParagraph"/>
      </w:pPr>
      <w:r>
        <w:t>The synthetic simulation model provides 5,000 paths per as-of date. The predictive interval bounds are computed directly as the α/2 and 1 − α/2 empirical quantiles of the path ensemble. No residual-based reconstruction is applied.</w:t>
      </w:r>
    </w:p>
    <w:p w14:paraId="5D040F7D" w14:textId="77777777" w:rsidR="00842324" w:rsidRDefault="00000000">
      <w:r>
        <w:pict w14:anchorId="5D0415D4">
          <v:rect id="_x0000_i1032" style="width:0;height:1.5pt" o:hralign="center" o:hrstd="t" o:hr="t"/>
        </w:pict>
      </w:r>
    </w:p>
    <w:p w14:paraId="5D040F7E" w14:textId="77777777" w:rsidR="00842324" w:rsidRDefault="00000000">
      <w:pPr>
        <w:pStyle w:val="Heading2"/>
      </w:pPr>
      <w:bookmarkStart w:id="39" w:name="diagnostic-evaluation"/>
      <w:bookmarkStart w:id="40" w:name="_Toc225682076"/>
      <w:bookmarkEnd w:id="33"/>
      <w:bookmarkEnd w:id="38"/>
      <w:r>
        <w:t>4. Diagnostic Evaluation</w:t>
      </w:r>
      <w:bookmarkEnd w:id="40"/>
    </w:p>
    <w:p w14:paraId="5D040F7F" w14:textId="77777777" w:rsidR="00842324" w:rsidRDefault="00000000">
      <w:pPr>
        <w:pStyle w:val="FirstParagraph"/>
      </w:pPr>
      <w:r>
        <w:t>The diagnostic layer applies three complementary evaluation approaches. Together these constitute a multi-layer test battery that avoids the limitations of any single metric.</w:t>
      </w:r>
    </w:p>
    <w:p w14:paraId="5D040F80" w14:textId="77777777" w:rsidR="00842324" w:rsidRDefault="00000000">
      <w:pPr>
        <w:pStyle w:val="Heading3"/>
      </w:pPr>
      <w:bookmarkStart w:id="41" w:name="X778ae9477b1300fd6228e1904f2a43758221836"/>
      <w:r>
        <w:t>4.1 Interval Backtesting — Anfuso Traffic-Light Framework</w:t>
      </w:r>
    </w:p>
    <w:p w14:paraId="5D040F81" w14:textId="77777777" w:rsidR="00842324" w:rsidRDefault="00000000">
      <w:pPr>
        <w:pStyle w:val="FirstParagraph"/>
      </w:pPr>
      <w:r>
        <w:t>The Anfuso framework (Anfuso et al., 2017) evaluates whether the empirical breach rate of a predictive interval is consistent with its nominal miscoverage level α. A breach at time t is defined as:</w:t>
      </w:r>
    </w:p>
    <w:p w14:paraId="5D040F82" w14:textId="77777777" w:rsidR="00842324" w:rsidRDefault="00000000">
      <w:pPr>
        <w:pStyle w:val="SourceCode"/>
      </w:pPr>
      <w:r>
        <w:rPr>
          <w:rStyle w:val="VerbatimChar"/>
        </w:rPr>
        <w:t>B_t = 𝟙{y_t &lt; l_t} + 𝟙{y_t &gt; u_t}</w:t>
      </w:r>
    </w:p>
    <w:p w14:paraId="5D040F83" w14:textId="77777777" w:rsidR="00842324" w:rsidRDefault="00000000">
      <w:pPr>
        <w:pStyle w:val="FirstParagraph"/>
      </w:pPr>
      <w:r>
        <w:t>where l_t and u_t are the lower and upper bounds of the (1−α) interval. Under correct calibration, E[B_t] = α. The test evaluates each tail separately and jointly using a one-sided binomial test:</w:t>
      </w:r>
    </w:p>
    <w:p w14:paraId="5D040F84" w14:textId="77777777" w:rsidR="00842324" w:rsidRDefault="00000000">
      <w:pPr>
        <w:pStyle w:val="SourceCode"/>
      </w:pPr>
      <w:r>
        <w:rPr>
          <w:rStyle w:val="VerbatimChar"/>
        </w:rPr>
        <w:t>H₀: breach rate ≤ nominal rate</w:t>
      </w:r>
      <w:r>
        <w:br/>
      </w:r>
      <w:r>
        <w:rPr>
          <w:rStyle w:val="VerbatimChar"/>
        </w:rPr>
        <w:t>H₁: breach rate &gt; nominal rate</w:t>
      </w:r>
    </w:p>
    <w:p w14:paraId="5D040F85" w14:textId="77777777" w:rsidR="00842324" w:rsidRDefault="00000000">
      <w:pPr>
        <w:pStyle w:val="FirstParagraph"/>
      </w:pPr>
      <w:r>
        <w:lastRenderedPageBreak/>
        <w:t>The traffic-light classification maps the binomial exceedance p-value to one of three outcomes: GREEN (model acceptable), YELLOW (model under review), RED (model rejected). The cutoffs follow the Basel framework convention (Basel Committee, 1996; 2010), adapted to energy market governance context.</w:t>
      </w:r>
    </w:p>
    <w:p w14:paraId="5D040F86" w14:textId="77777777" w:rsidR="00842324" w:rsidRDefault="00000000">
      <w:pPr>
        <w:pStyle w:val="Heading3"/>
      </w:pPr>
      <w:bookmarkStart w:id="42" w:name="Xbf1c629007e404abbe2dbfca83d7d51ca2e8c8c"/>
      <w:bookmarkEnd w:id="41"/>
      <w:r>
        <w:t>4.2 Distributional Diagnostics — PIT-Based Tests</w:t>
      </w:r>
    </w:p>
    <w:p w14:paraId="5D040F87" w14:textId="77777777" w:rsidR="00842324" w:rsidRDefault="00000000">
      <w:pPr>
        <w:pStyle w:val="FirstParagraph"/>
      </w:pPr>
      <w:r>
        <w:t>The Probability Integral Transform (PIT) of a realisation y_t under the predictive CDF F_t is:</w:t>
      </w:r>
    </w:p>
    <w:p w14:paraId="5D040F88" w14:textId="77777777" w:rsidR="00842324" w:rsidRDefault="00000000">
      <w:pPr>
        <w:pStyle w:val="SourceCode"/>
      </w:pPr>
      <w:r>
        <w:rPr>
          <w:rStyle w:val="VerbatimChar"/>
        </w:rPr>
        <w:t>u_t = F_t(y_t)</w:t>
      </w:r>
    </w:p>
    <w:p w14:paraId="5D040F89" w14:textId="77777777" w:rsidR="00842324" w:rsidRDefault="00000000">
      <w:pPr>
        <w:pStyle w:val="FirstParagraph"/>
      </w:pPr>
      <w:r>
        <w:t>Under correct probabilistic calibration, u_t ~ U(0, 1) i.i.d. (Dawid, 1984; Diebold et al., 1998). Two properties are tested:</w:t>
      </w:r>
    </w:p>
    <w:p w14:paraId="5D040F8A" w14:textId="77777777" w:rsidR="00842324" w:rsidRDefault="00000000">
      <w:pPr>
        <w:pStyle w:val="BodyText"/>
      </w:pPr>
      <w:r>
        <w:rPr>
          <w:b/>
          <w:bCs/>
        </w:rPr>
        <w:t>Uniformity</w:t>
      </w:r>
      <w:r>
        <w:t xml:space="preserve"> — whether the empirical distribution of {u_t} is consistent with U(0,1): - Kolmogorov–Smirnov (KS) test: nonparametric distance between empirical and uniform CDF (Kolmogorov, 1933; Smirnov, 1948). - Cramér–von Mises (CvM) test: weighted quadratic distance, more sensitive to distributional centre (Cramér, 1928). - Anderson–Darling (AD) test: weighted KS with enhanced sensitivity to distribution tails (Anderson and Darling, 1952).</w:t>
      </w:r>
    </w:p>
    <w:p w14:paraId="5D040F8B" w14:textId="77777777" w:rsidR="00842324" w:rsidRDefault="00000000">
      <w:pPr>
        <w:pStyle w:val="BodyText"/>
      </w:pPr>
      <w:r>
        <w:rPr>
          <w:b/>
          <w:bCs/>
        </w:rPr>
        <w:t>Independence</w:t>
      </w:r>
      <w:r>
        <w:t xml:space="preserve"> — whether the sequence {u_t} is serially independent. Following Berkowitz (2001), PIT values are transformed to standard normal scores z_t = Φ⁻¹(u_t), and the the Ljung–Box portmanteau test (Ljung and Box, 1978) is applied to {z_t} at lags 5, 10, and 20.. Serial dependence in z_t indicates that the model’s predictive distribution fails to capture temporal autocorrelation in the process.</w:t>
      </w:r>
    </w:p>
    <w:p w14:paraId="5D040F8C" w14:textId="77777777" w:rsidR="00842324" w:rsidRDefault="00000000">
      <w:pPr>
        <w:pStyle w:val="BodyText"/>
      </w:pPr>
      <w:r>
        <w:t>PIT-based diagnostics require access to the full predictive CDF. For ENTSO-E and renewable datasets, PIT scores are computed from the Monte Carlo sample arrays (500 draws per observation) saved by the build scripts. For the simulation model, only quantile bounds are passed to the run script in the current pipeline; full PIT diagnostics are therefore unavailable for that model class.</w:t>
      </w:r>
    </w:p>
    <w:p w14:paraId="5D040F8D" w14:textId="77777777" w:rsidR="00842324" w:rsidRDefault="00000000">
      <w:pPr>
        <w:pStyle w:val="Heading3"/>
      </w:pPr>
      <w:bookmarkStart w:id="43" w:name="proper-scoring-crps"/>
      <w:bookmarkEnd w:id="42"/>
      <w:r>
        <w:t>4.3 Proper Scoring — CRPS</w:t>
      </w:r>
    </w:p>
    <w:p w14:paraId="5D040F8E" w14:textId="77777777" w:rsidR="00842324" w:rsidRDefault="00000000">
      <w:pPr>
        <w:pStyle w:val="FirstParagraph"/>
      </w:pPr>
      <w:r>
        <w:t>The Continuous Ranked Probability Score (CRPS; Gneiting and Raftery, 2007) is a strictly proper scoring rule that jointly rewards calibration and sharpness. For a predictive CDF F and realisation y:</w:t>
      </w:r>
    </w:p>
    <w:p w14:paraId="5D040F8F" w14:textId="77777777" w:rsidR="00842324" w:rsidRDefault="00000000">
      <w:pPr>
        <w:pStyle w:val="SourceCode"/>
      </w:pPr>
      <w:r>
        <w:rPr>
          <w:rStyle w:val="VerbatimChar"/>
        </w:rPr>
        <w:t>CRPS(F, y) = ∫_{-∞}^{∞} [F(z) − 𝟙{z ≥ y}]² dz</w:t>
      </w:r>
    </w:p>
    <w:p w14:paraId="5D040F90" w14:textId="77777777" w:rsidR="00842324" w:rsidRDefault="00000000">
      <w:pPr>
        <w:pStyle w:val="FirstParagraph"/>
      </w:pPr>
      <w:r>
        <w:t>A lower CRPS indicates a better probabilistic forecast. CRPS values are not directly comparable across datasets because they are expressed in the units of the target variable (electricity load for ENTSO-E; capacity factor for PV and wind). Within-dataset comparisons across rolling windows and model variants are meaningful.</w:t>
      </w:r>
    </w:p>
    <w:p w14:paraId="5D040F91" w14:textId="77777777" w:rsidR="00842324" w:rsidRDefault="00000000">
      <w:pPr>
        <w:pStyle w:val="Heading3"/>
      </w:pPr>
      <w:bookmarkStart w:id="44" w:name="rolling-evaluation"/>
      <w:bookmarkEnd w:id="43"/>
      <w:r>
        <w:lastRenderedPageBreak/>
        <w:t>4.4 Rolling Evaluation</w:t>
      </w:r>
    </w:p>
    <w:p w14:paraId="5D040F92" w14:textId="77777777" w:rsidR="00842324" w:rsidRDefault="00000000">
      <w:pPr>
        <w:pStyle w:val="FirstParagraph"/>
      </w:pPr>
      <w:r>
        <w:t>Full-sample diagnostics capture aggregate performance but may obscure localised failures or improvements over time. Rolling-window diagnostics are therefore computed under two complementary schemes:</w:t>
      </w:r>
    </w:p>
    <w:p w14:paraId="5D040F93" w14:textId="77777777" w:rsidR="00842324" w:rsidRDefault="00000000">
      <w:pPr>
        <w:pStyle w:val="Compact"/>
        <w:numPr>
          <w:ilvl w:val="0"/>
          <w:numId w:val="6"/>
        </w:numPr>
      </w:pPr>
      <w:r>
        <w:rPr>
          <w:b/>
          <w:bCs/>
        </w:rPr>
        <w:t>Non-overlapping windows:</w:t>
      </w:r>
      <w:r>
        <w:t xml:space="preserve"> each window is independent, providing an unbiased sequence of local diagnostic snapshots.</w:t>
      </w:r>
    </w:p>
    <w:p w14:paraId="5D040F94" w14:textId="77777777" w:rsidR="00842324" w:rsidRDefault="00000000">
      <w:pPr>
        <w:pStyle w:val="Compact"/>
        <w:numPr>
          <w:ilvl w:val="0"/>
          <w:numId w:val="6"/>
        </w:numPr>
      </w:pPr>
      <w:r>
        <w:rPr>
          <w:b/>
          <w:bCs/>
        </w:rPr>
        <w:t>Overlapping windows:</w:t>
      </w:r>
      <w:r>
        <w:t xml:space="preserve"> consecutive windows share observations, producing smoother diagnostic trajectories that highlight gradual regime transitions.</w:t>
      </w:r>
    </w:p>
    <w:p w14:paraId="5D040F95" w14:textId="77777777" w:rsidR="00842324" w:rsidRDefault="00000000">
      <w:pPr>
        <w:pStyle w:val="FirstParagraph"/>
      </w:pPr>
      <w:r>
        <w:t>There is no standard window length for rolling energy market diagnostics (Rikard Engström, personal communication, 2026); the choice is context-dependent and should reflect the trade-off between local adaptivity and estimation stability. Rolling evaluation is particularly valuable for detecting localised forecast failures and structural breaks (Giacomini and Rossi, 2010). The window parameters used in this study are:</w:t>
      </w:r>
    </w:p>
    <w:tbl>
      <w:tblPr>
        <w:tblStyle w:val="Table"/>
        <w:tblW w:w="0" w:type="auto"/>
        <w:tblLook w:val="0020" w:firstRow="1" w:lastRow="0" w:firstColumn="0" w:lastColumn="0" w:noHBand="0" w:noVBand="0"/>
      </w:tblPr>
      <w:tblGrid>
        <w:gridCol w:w="1161"/>
        <w:gridCol w:w="1060"/>
        <w:gridCol w:w="2572"/>
        <w:gridCol w:w="2093"/>
      </w:tblGrid>
      <w:tr w:rsidR="00842324" w14:paraId="5D040F9A"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0F96" w14:textId="77777777" w:rsidR="00842324" w:rsidRDefault="00000000">
            <w:pPr>
              <w:pStyle w:val="Compact"/>
            </w:pPr>
            <w:r>
              <w:t>Dataset</w:t>
            </w:r>
          </w:p>
        </w:tc>
        <w:tc>
          <w:tcPr>
            <w:tcW w:w="0" w:type="auto"/>
          </w:tcPr>
          <w:p w14:paraId="5D040F97" w14:textId="77777777" w:rsidR="00842324" w:rsidRDefault="00000000">
            <w:pPr>
              <w:pStyle w:val="Compact"/>
            </w:pPr>
            <w:r>
              <w:t>Window</w:t>
            </w:r>
          </w:p>
        </w:tc>
        <w:tc>
          <w:tcPr>
            <w:tcW w:w="0" w:type="auto"/>
          </w:tcPr>
          <w:p w14:paraId="5D040F98" w14:textId="77777777" w:rsidR="00842324" w:rsidRDefault="00000000">
            <w:pPr>
              <w:pStyle w:val="Compact"/>
            </w:pPr>
            <w:r>
              <w:t>Step (non-overlapping)</w:t>
            </w:r>
          </w:p>
        </w:tc>
        <w:tc>
          <w:tcPr>
            <w:tcW w:w="0" w:type="auto"/>
          </w:tcPr>
          <w:p w14:paraId="5D040F99" w14:textId="77777777" w:rsidR="00842324" w:rsidRDefault="00000000">
            <w:pPr>
              <w:pStyle w:val="Compact"/>
            </w:pPr>
            <w:r>
              <w:t>Step (overlapping)</w:t>
            </w:r>
          </w:p>
        </w:tc>
      </w:tr>
      <w:tr w:rsidR="00842324" w14:paraId="5D040F9F" w14:textId="77777777">
        <w:tc>
          <w:tcPr>
            <w:tcW w:w="0" w:type="auto"/>
          </w:tcPr>
          <w:p w14:paraId="5D040F9B" w14:textId="77777777" w:rsidR="00842324" w:rsidRDefault="00000000">
            <w:pPr>
              <w:pStyle w:val="Compact"/>
            </w:pPr>
            <w:r>
              <w:t>ENTSO-E</w:t>
            </w:r>
          </w:p>
        </w:tc>
        <w:tc>
          <w:tcPr>
            <w:tcW w:w="0" w:type="auto"/>
          </w:tcPr>
          <w:p w14:paraId="5D040F9C" w14:textId="77777777" w:rsidR="00842324" w:rsidRDefault="00000000">
            <w:pPr>
              <w:pStyle w:val="Compact"/>
            </w:pPr>
            <w:r>
              <w:t>250</w:t>
            </w:r>
          </w:p>
        </w:tc>
        <w:tc>
          <w:tcPr>
            <w:tcW w:w="0" w:type="auto"/>
          </w:tcPr>
          <w:p w14:paraId="5D040F9D" w14:textId="77777777" w:rsidR="00842324" w:rsidRDefault="00000000">
            <w:pPr>
              <w:pStyle w:val="Compact"/>
            </w:pPr>
            <w:r>
              <w:t>250</w:t>
            </w:r>
          </w:p>
        </w:tc>
        <w:tc>
          <w:tcPr>
            <w:tcW w:w="0" w:type="auto"/>
          </w:tcPr>
          <w:p w14:paraId="5D040F9E" w14:textId="77777777" w:rsidR="00842324" w:rsidRDefault="00000000">
            <w:pPr>
              <w:pStyle w:val="Compact"/>
            </w:pPr>
            <w:r>
              <w:t>50</w:t>
            </w:r>
          </w:p>
        </w:tc>
      </w:tr>
      <w:tr w:rsidR="00842324" w14:paraId="5D040FA4" w14:textId="77777777">
        <w:tc>
          <w:tcPr>
            <w:tcW w:w="0" w:type="auto"/>
          </w:tcPr>
          <w:p w14:paraId="5D040FA0" w14:textId="77777777" w:rsidR="00842324" w:rsidRDefault="00000000">
            <w:pPr>
              <w:pStyle w:val="Compact"/>
            </w:pPr>
            <w:r>
              <w:t>PV</w:t>
            </w:r>
          </w:p>
        </w:tc>
        <w:tc>
          <w:tcPr>
            <w:tcW w:w="0" w:type="auto"/>
          </w:tcPr>
          <w:p w14:paraId="5D040FA1" w14:textId="77777777" w:rsidR="00842324" w:rsidRDefault="00000000">
            <w:pPr>
              <w:pStyle w:val="Compact"/>
            </w:pPr>
            <w:r>
              <w:t>720</w:t>
            </w:r>
          </w:p>
        </w:tc>
        <w:tc>
          <w:tcPr>
            <w:tcW w:w="0" w:type="auto"/>
          </w:tcPr>
          <w:p w14:paraId="5D040FA2" w14:textId="77777777" w:rsidR="00842324" w:rsidRDefault="00000000">
            <w:pPr>
              <w:pStyle w:val="Compact"/>
            </w:pPr>
            <w:r>
              <w:t>720</w:t>
            </w:r>
          </w:p>
        </w:tc>
        <w:tc>
          <w:tcPr>
            <w:tcW w:w="0" w:type="auto"/>
          </w:tcPr>
          <w:p w14:paraId="5D040FA3" w14:textId="77777777" w:rsidR="00842324" w:rsidRDefault="00000000">
            <w:pPr>
              <w:pStyle w:val="Compact"/>
            </w:pPr>
            <w:r>
              <w:t>168</w:t>
            </w:r>
          </w:p>
        </w:tc>
      </w:tr>
      <w:tr w:rsidR="00842324" w14:paraId="5D040FA9" w14:textId="77777777">
        <w:tc>
          <w:tcPr>
            <w:tcW w:w="0" w:type="auto"/>
          </w:tcPr>
          <w:p w14:paraId="5D040FA5" w14:textId="77777777" w:rsidR="00842324" w:rsidRDefault="00000000">
            <w:pPr>
              <w:pStyle w:val="Compact"/>
            </w:pPr>
            <w:r>
              <w:t>Wind</w:t>
            </w:r>
          </w:p>
        </w:tc>
        <w:tc>
          <w:tcPr>
            <w:tcW w:w="0" w:type="auto"/>
          </w:tcPr>
          <w:p w14:paraId="5D040FA6" w14:textId="77777777" w:rsidR="00842324" w:rsidRDefault="00000000">
            <w:pPr>
              <w:pStyle w:val="Compact"/>
            </w:pPr>
            <w:r>
              <w:t>720</w:t>
            </w:r>
          </w:p>
        </w:tc>
        <w:tc>
          <w:tcPr>
            <w:tcW w:w="0" w:type="auto"/>
          </w:tcPr>
          <w:p w14:paraId="5D040FA7" w14:textId="77777777" w:rsidR="00842324" w:rsidRDefault="00000000">
            <w:pPr>
              <w:pStyle w:val="Compact"/>
            </w:pPr>
            <w:r>
              <w:t>720</w:t>
            </w:r>
          </w:p>
        </w:tc>
        <w:tc>
          <w:tcPr>
            <w:tcW w:w="0" w:type="auto"/>
          </w:tcPr>
          <w:p w14:paraId="5D040FA8" w14:textId="77777777" w:rsidR="00842324" w:rsidRDefault="00000000">
            <w:pPr>
              <w:pStyle w:val="Compact"/>
            </w:pPr>
            <w:r>
              <w:t>168</w:t>
            </w:r>
          </w:p>
        </w:tc>
      </w:tr>
    </w:tbl>
    <w:p w14:paraId="5D040FAA" w14:textId="77777777" w:rsidR="00842324" w:rsidRDefault="00000000">
      <w:pPr>
        <w:pStyle w:val="BodyText"/>
      </w:pPr>
      <w:r>
        <w:t>For ENTSO-E (quarter-hourly), a window of 250 corresponds to approximately 62.5 hours. For PV and wind (hourly), a window of 720 corresponds to 30 days, and a step of 168 corresponds to one week.</w:t>
      </w:r>
    </w:p>
    <w:p w14:paraId="5D040FAB" w14:textId="77777777" w:rsidR="00842324" w:rsidRDefault="00000000">
      <w:r>
        <w:pict w14:anchorId="5D0415D5">
          <v:rect id="_x0000_i1033" style="width:0;height:1.5pt" o:hralign="center" o:hrstd="t" o:hr="t"/>
        </w:pict>
      </w:r>
    </w:p>
    <w:p w14:paraId="5D040FAC" w14:textId="77777777" w:rsidR="00842324" w:rsidRDefault="00000000">
      <w:pPr>
        <w:pStyle w:val="Heading2"/>
      </w:pPr>
      <w:bookmarkStart w:id="45" w:name="conformal-augmentation"/>
      <w:bookmarkStart w:id="46" w:name="_Toc225682077"/>
      <w:bookmarkEnd w:id="39"/>
      <w:bookmarkEnd w:id="44"/>
      <w:r>
        <w:t>5. Conformal Augmentation</w:t>
      </w:r>
      <w:bookmarkEnd w:id="46"/>
    </w:p>
    <w:p w14:paraId="5D040FAD" w14:textId="77777777" w:rsidR="00842324" w:rsidRDefault="00000000">
      <w:pPr>
        <w:pStyle w:val="FirstParagraph"/>
      </w:pPr>
      <w:r>
        <w:t>Conformal prediction (Vovk, Gammerman and Shafer, 2005; Shafer and Vovk, 2008; Tibshirani et al., 2019) provides distribution-free finite-sample coverage guarantees under exchangeability. In this framework, conformal augmentation is applied as a post-hoc recalibration layer on top of the residual-based base intervals, not as an alternative evaluation method.</w:t>
      </w:r>
    </w:p>
    <w:p w14:paraId="5D040FAE" w14:textId="77777777" w:rsidR="00842324" w:rsidRDefault="00000000">
      <w:pPr>
        <w:pStyle w:val="Heading3"/>
      </w:pPr>
      <w:bookmarkStart w:id="47" w:name="motivation"/>
      <w:r>
        <w:t>5.1 Motivation</w:t>
      </w:r>
    </w:p>
    <w:p w14:paraId="5D040FAF" w14:textId="77777777" w:rsidR="00842324" w:rsidRDefault="00000000">
      <w:pPr>
        <w:pStyle w:val="FirstParagraph"/>
      </w:pPr>
      <w:r>
        <w:t>The residual-based reconstruction in Section 3 is a reasonable best-effort baseline, but it does not guarantee nominal coverage — particularly under distributional shift between the calibration period (from which residual quantiles are estimated) and the evaluation period. The conformal layer corrects for this shift without requiring re-estimation of the underlying model.</w:t>
      </w:r>
    </w:p>
    <w:p w14:paraId="5D040FB0" w14:textId="77777777" w:rsidR="00842324" w:rsidRDefault="00000000">
      <w:pPr>
        <w:pStyle w:val="Heading3"/>
      </w:pPr>
      <w:bookmarkStart w:id="48" w:name="method-base-interval-conformal-expansion"/>
      <w:bookmarkEnd w:id="47"/>
      <w:r>
        <w:lastRenderedPageBreak/>
        <w:t>5.2 Method: Base Interval + Conformal Expansion</w:t>
      </w:r>
    </w:p>
    <w:p w14:paraId="5D040FB1" w14:textId="77777777" w:rsidR="00842324" w:rsidRDefault="00000000">
      <w:pPr>
        <w:pStyle w:val="FirstParagraph"/>
      </w:pPr>
      <w:r>
        <w:t xml:space="preserve">Among five conformal variants evaluated on the ENTSO-E 90-day development sample (04_conformal_wrapping.ipynb), </w:t>
      </w:r>
      <w:r>
        <w:rPr>
          <w:b/>
          <w:bCs/>
        </w:rPr>
        <w:t>base interval + conformal expansion</w:t>
      </w:r>
      <w:r>
        <w:t xml:space="preserve"> achieves the best calibration–sharpness trade-off. This method retains the structural conditioning of the base interval (time-of-day buckets, rolling residuals) and expands or contracts it by a conformal quantile correction:</w:t>
      </w:r>
    </w:p>
    <w:p w14:paraId="5D040FB2" w14:textId="77777777" w:rsidR="00842324" w:rsidRDefault="00000000">
      <w:pPr>
        <w:pStyle w:val="Compact"/>
        <w:numPr>
          <w:ilvl w:val="0"/>
          <w:numId w:val="7"/>
        </w:numPr>
      </w:pPr>
      <w:r>
        <w:t>Split the calibration set into a proper training set and a calibration holdout.</w:t>
      </w:r>
    </w:p>
    <w:p w14:paraId="5D040FB3" w14:textId="77777777" w:rsidR="00842324" w:rsidRDefault="00000000">
      <w:pPr>
        <w:pStyle w:val="Compact"/>
        <w:numPr>
          <w:ilvl w:val="0"/>
          <w:numId w:val="7"/>
        </w:numPr>
      </w:pPr>
      <w:r>
        <w:t>Compute conformity scores s_t = max(l_t − y_t, y_t − u_t) on the calibration holdout, where l_t, u_t are the base interval bounds.</w:t>
      </w:r>
    </w:p>
    <w:p w14:paraId="5D040FB4" w14:textId="77777777" w:rsidR="00842324" w:rsidRDefault="00000000">
      <w:pPr>
        <w:pStyle w:val="Compact"/>
        <w:numPr>
          <w:ilvl w:val="0"/>
          <w:numId w:val="7"/>
        </w:numPr>
      </w:pPr>
      <w:r>
        <w:t>Set the conformal quantile q̂ as the ⌈(n+1)(1−α)⌉/n empirical quantile of {s_t}.</w:t>
      </w:r>
    </w:p>
    <w:p w14:paraId="5D040FB5" w14:textId="77777777" w:rsidR="00842324" w:rsidRDefault="00000000">
      <w:pPr>
        <w:pStyle w:val="Compact"/>
        <w:numPr>
          <w:ilvl w:val="0"/>
          <w:numId w:val="7"/>
        </w:numPr>
      </w:pPr>
      <w:r>
        <w:t>Expand the test-set intervals: [l_t − q̂, u_t + q̂].</w:t>
      </w:r>
    </w:p>
    <w:p w14:paraId="5D040FB6" w14:textId="77777777" w:rsidR="00842324" w:rsidRDefault="00000000">
      <w:pPr>
        <w:pStyle w:val="FirstParagraph"/>
      </w:pPr>
      <w:r>
        <w:t>Under exchangeability, the resulting intervals achieve marginal coverage of at least 1 − α with finite-sample validity (Angelopoulos and Bates, 2023).</w:t>
      </w:r>
    </w:p>
    <w:p w14:paraId="5D040FB7" w14:textId="77777777" w:rsidR="00842324" w:rsidRDefault="00000000">
      <w:pPr>
        <w:pStyle w:val="Heading3"/>
      </w:pPr>
      <w:bookmarkStart w:id="49" w:name="distribution-shift-under-covariate-shift"/>
      <w:bookmarkEnd w:id="48"/>
      <w:r>
        <w:t>5.3 Distribution Shift Under Covariate Shift</w:t>
      </w:r>
    </w:p>
    <w:p w14:paraId="5D040FB8" w14:textId="77777777" w:rsidR="00842324" w:rsidRDefault="00000000">
      <w:pPr>
        <w:pStyle w:val="FirstParagraph"/>
      </w:pPr>
      <w:r>
        <w:t>To account for temporal nonstationarity — where test-period observations are not exchangeable with calibration-period observations — covariate-shift weights are estimated via a logistic density ratio on time features (elapsed time, cyclic hour and month encodings). These weights are used to reweight the calibration conformity scores before computing the conformal quantile, following Tibshirani et al. (2019).</w:t>
      </w:r>
    </w:p>
    <w:p w14:paraId="5D040FB9" w14:textId="77777777" w:rsidR="00842324" w:rsidRDefault="00000000">
      <w:pPr>
        <w:pStyle w:val="Heading3"/>
      </w:pPr>
      <w:bookmarkStart w:id="50" w:name="limitations"/>
      <w:bookmarkEnd w:id="49"/>
      <w:r>
        <w:t>5.4 Limitations</w:t>
      </w:r>
    </w:p>
    <w:p w14:paraId="5D040FBA" w14:textId="77777777" w:rsidR="00842324" w:rsidRDefault="00000000">
      <w:pPr>
        <w:pStyle w:val="FirstParagraph"/>
      </w:pPr>
      <w:r>
        <w:t>The conformal augmentation layer was evaluated only on the ENTSO-E 90-day development sample due to data availability constraints; full-dataset conformal results and extension to PV and wind are deferred as future work. The online CP variant with a fixed step size was found to produce approximately 50% coverage regardless of nominal level on this dataset, due to a scale mismatch: the step size of 0.01 is calibrated for normalised residuals but ENTSO-E errors are in physical electricity load units (O(10³)). This confirms that online CP step sizes must be set relative to the residual scale of the target series.</w:t>
      </w:r>
    </w:p>
    <w:p w14:paraId="5D040FBB" w14:textId="77777777" w:rsidR="00842324" w:rsidRDefault="00000000">
      <w:r>
        <w:pict w14:anchorId="5D0415D6">
          <v:rect id="_x0000_i1034" style="width:0;height:1.5pt" o:hralign="center" o:hrstd="t" o:hr="t"/>
        </w:pict>
      </w:r>
    </w:p>
    <w:p w14:paraId="5D040FBC" w14:textId="77777777" w:rsidR="00842324" w:rsidRDefault="00000000">
      <w:pPr>
        <w:pStyle w:val="Heading2"/>
      </w:pPr>
      <w:bookmarkStart w:id="51" w:name="governance-classification"/>
      <w:bookmarkStart w:id="52" w:name="_Toc225682078"/>
      <w:bookmarkEnd w:id="45"/>
      <w:bookmarkEnd w:id="50"/>
      <w:r>
        <w:t>6. Governance Classification</w:t>
      </w:r>
      <w:bookmarkEnd w:id="52"/>
    </w:p>
    <w:p w14:paraId="5D040FBD" w14:textId="77777777" w:rsidR="00842324" w:rsidRDefault="00000000">
      <w:pPr>
        <w:pStyle w:val="Heading3"/>
      </w:pPr>
      <w:bookmarkStart w:id="53" w:name="traffic-light-aggregation"/>
      <w:r>
        <w:t>6.1 Traffic-Light Aggregation</w:t>
      </w:r>
    </w:p>
    <w:p w14:paraId="5D040FBE" w14:textId="77777777" w:rsidR="00842324" w:rsidRDefault="00000000">
      <w:pPr>
        <w:pStyle w:val="FirstParagraph"/>
      </w:pPr>
      <w:r>
        <w:t>Diagnostic signals from the interval backtesting and PIT layers are aggregated into a single governance classification using a rule-based policy. The classification is:</w:t>
      </w:r>
    </w:p>
    <w:p w14:paraId="5D040FBF" w14:textId="77777777" w:rsidR="00842324" w:rsidRDefault="00000000">
      <w:pPr>
        <w:pStyle w:val="Compact"/>
        <w:numPr>
          <w:ilvl w:val="0"/>
          <w:numId w:val="8"/>
        </w:numPr>
      </w:pPr>
      <w:r>
        <w:rPr>
          <w:b/>
          <w:bCs/>
        </w:rPr>
        <w:t>GREEN:</w:t>
      </w:r>
      <w:r>
        <w:t xml:space="preserve"> All monitored signals within policy thresholds. Model is considered acceptable for continued use.</w:t>
      </w:r>
    </w:p>
    <w:p w14:paraId="5D040FC0" w14:textId="77777777" w:rsidR="00842324" w:rsidRDefault="00000000">
      <w:pPr>
        <w:pStyle w:val="Compact"/>
        <w:numPr>
          <w:ilvl w:val="0"/>
          <w:numId w:val="8"/>
        </w:numPr>
      </w:pPr>
      <w:r>
        <w:rPr>
          <w:b/>
          <w:bCs/>
        </w:rPr>
        <w:lastRenderedPageBreak/>
        <w:t>YELLOW:</w:t>
      </w:r>
      <w:r>
        <w:t xml:space="preserve"> One or more signals mildly off-target but not in extreme failure territory. Model is flagged for review.</w:t>
      </w:r>
    </w:p>
    <w:p w14:paraId="5D040FC1" w14:textId="77777777" w:rsidR="00842324" w:rsidRDefault="00000000">
      <w:pPr>
        <w:pStyle w:val="Compact"/>
        <w:numPr>
          <w:ilvl w:val="0"/>
          <w:numId w:val="8"/>
        </w:numPr>
      </w:pPr>
      <w:r>
        <w:rPr>
          <w:b/>
          <w:bCs/>
        </w:rPr>
        <w:t>RED:</w:t>
      </w:r>
      <w:r>
        <w:t xml:space="preserve"> One or more signals strongly exceed thresholds. Model use should be restricted or the model should be re-estimated.</w:t>
      </w:r>
    </w:p>
    <w:p w14:paraId="5D040FC2" w14:textId="77777777" w:rsidR="00842324" w:rsidRDefault="00000000">
      <w:pPr>
        <w:pStyle w:val="FirstParagraph"/>
      </w:pPr>
      <w:r>
        <w:t xml:space="preserve">The specific thresholds are implemented in </w:t>
      </w:r>
      <w:r>
        <w:rPr>
          <w:rStyle w:val="VerbatimChar"/>
        </w:rPr>
        <w:t>src/governance/risk_classification.py</w:t>
      </w:r>
      <w:r>
        <w:t>. RED is triggered if any of the following hold: - PIT uniformity is rejected at conventional significance levels (minimum p-value across KS, CvM, AD &lt; threshold) - PIT serial independence is rejected (minimum Ljung–Box p-value &lt; threshold) - Empirical coverage deviates from nominal by more than a policy-defined tolerance (coverage_error &gt; tol)</w:t>
      </w:r>
    </w:p>
    <w:p w14:paraId="5D040FC3" w14:textId="77777777" w:rsidR="00842324" w:rsidRDefault="00000000">
      <w:pPr>
        <w:pStyle w:val="Heading3"/>
      </w:pPr>
      <w:bookmarkStart w:id="54" w:name="regulatory-framing"/>
      <w:bookmarkEnd w:id="53"/>
      <w:r>
        <w:t>6.2 Regulatory Framing</w:t>
      </w:r>
    </w:p>
    <w:p w14:paraId="5D040FC4" w14:textId="77777777" w:rsidR="00842324" w:rsidRDefault="00000000">
      <w:pPr>
        <w:pStyle w:val="FirstParagraph"/>
      </w:pPr>
      <w:r>
        <w:t>The traffic-light architecture is inspired by the Basel Committee’s backtesting framework for Value-at-Risk models (Basel Committee, 1996; 2010), which classifies models into green, yellow, and red zones based on the number of VaR exceedances over a 250-day window. The adaptation to probabilistic energy market models replaces exceedance counts with the broader multi-layer diagnostic battery described above, and extends the governance logic to cover distributional shape (PIT uniformity) and temporal dependence (Ljung–Box independence) in addition to coverage. This is consistent with the REMIT regulatory environment (European Parliament, 2011), which requires that energy market participants maintain demonstrably reliable models for fundamental price formation and risk quantification.</w:t>
      </w:r>
    </w:p>
    <w:p w14:paraId="5D040FC5" w14:textId="77777777" w:rsidR="00842324" w:rsidRDefault="00000000">
      <w:r>
        <w:pict w14:anchorId="5D0415D7">
          <v:rect id="_x0000_i1035" style="width:0;height:1.5pt" o:hralign="center" o:hrstd="t" o:hr="t"/>
        </w:pict>
      </w:r>
    </w:p>
    <w:p w14:paraId="5D040FC6" w14:textId="77777777" w:rsidR="00842324" w:rsidRDefault="00000000">
      <w:pPr>
        <w:pStyle w:val="Heading2"/>
      </w:pPr>
      <w:bookmarkStart w:id="55" w:name="multivariate-extension"/>
      <w:bookmarkStart w:id="56" w:name="_Toc225682079"/>
      <w:bookmarkEnd w:id="51"/>
      <w:bookmarkEnd w:id="54"/>
      <w:r>
        <w:t>7. Multivariate Extension</w:t>
      </w:r>
      <w:bookmarkEnd w:id="56"/>
    </w:p>
    <w:p w14:paraId="5D040FC7" w14:textId="77777777" w:rsidR="00842324" w:rsidRDefault="00000000">
      <w:pPr>
        <w:pStyle w:val="FirstParagraph"/>
      </w:pPr>
      <w:r>
        <w:t>The univariate diagnostic framework evaluates each asset independently. To assess joint calibration across correlated assets, a multivariate dependency analysis is conducted for the PV and wind datasets, which share a common hourly time index (2013–2015).</w:t>
      </w:r>
    </w:p>
    <w:p w14:paraId="5D040FC8" w14:textId="77777777" w:rsidR="00842324" w:rsidRDefault="00000000">
      <w:pPr>
        <w:pStyle w:val="BodyText"/>
      </w:pPr>
      <w:r>
        <w:t>Joint PIT residual dependence is evaluated on the shared daytime evaluation index (n = 4,287 observations) using:</w:t>
      </w:r>
    </w:p>
    <w:p w14:paraId="5D040FC9" w14:textId="77777777" w:rsidR="00842324" w:rsidRDefault="00000000">
      <w:pPr>
        <w:pStyle w:val="Compact"/>
        <w:numPr>
          <w:ilvl w:val="0"/>
          <w:numId w:val="9"/>
        </w:numPr>
      </w:pPr>
      <w:r>
        <w:rPr>
          <w:b/>
          <w:bCs/>
        </w:rPr>
        <w:t>Multivariate Ljung–Box test</w:t>
      </w:r>
      <w:r>
        <w:t xml:space="preserve"> applied to the stacked residual vector [z_PV, z_wind]ᵀ at lags 5, 10, and 20, testing whether the joint residual process is white noise.</w:t>
      </w:r>
    </w:p>
    <w:p w14:paraId="5D040FCA" w14:textId="77777777" w:rsidR="00842324" w:rsidRDefault="00000000">
      <w:pPr>
        <w:pStyle w:val="Compact"/>
        <w:numPr>
          <w:ilvl w:val="0"/>
          <w:numId w:val="9"/>
        </w:numPr>
      </w:pPr>
      <w:r>
        <w:rPr>
          <w:b/>
          <w:bCs/>
        </w:rPr>
        <w:t>Cross-correlation matrix</w:t>
      </w:r>
      <w:r>
        <w:t xml:space="preserve"> of PIT residuals at lags 0, 1, 6, and 24, characterising contemporaneous and lagged dependence between the two series.</w:t>
      </w:r>
    </w:p>
    <w:p w14:paraId="5D040FCB" w14:textId="77777777" w:rsidR="00842324" w:rsidRDefault="00000000">
      <w:pPr>
        <w:pStyle w:val="Compact"/>
        <w:numPr>
          <w:ilvl w:val="0"/>
          <w:numId w:val="9"/>
        </w:numPr>
      </w:pPr>
      <w:r>
        <w:rPr>
          <w:b/>
          <w:bCs/>
        </w:rPr>
        <w:t>Bivariate energy score</w:t>
      </w:r>
      <w:r>
        <w:t xml:space="preserve"> (Gneiting et al., 2008) as a joint proper scoring rule providing a summary measure of the joint predictive distribution quality.</w:t>
      </w:r>
    </w:p>
    <w:p w14:paraId="5D040FCC" w14:textId="77777777" w:rsidR="00842324" w:rsidRDefault="00000000">
      <w:pPr>
        <w:pStyle w:val="FirstParagraph"/>
      </w:pPr>
      <w:r>
        <w:t>The multivariate layer addresses the supervisor’s recommendation that a credible validation framework for portfolio-level energy risk should evaluate joint dependence structure across multiple commodity classes, not only marginal calibration per asset.</w:t>
      </w:r>
    </w:p>
    <w:p w14:paraId="5D040FCD" w14:textId="77777777" w:rsidR="00842324" w:rsidRDefault="00000000">
      <w:r>
        <w:lastRenderedPageBreak/>
        <w:pict w14:anchorId="5D0415D8">
          <v:rect id="_x0000_i1036" style="width:0;height:1.5pt" o:hralign="center" o:hrstd="t" o:hr="t"/>
        </w:pict>
      </w:r>
    </w:p>
    <w:p w14:paraId="5D040FCE" w14:textId="77777777" w:rsidR="00842324" w:rsidRDefault="00000000">
      <w:pPr>
        <w:pStyle w:val="Heading2"/>
      </w:pPr>
      <w:bookmarkStart w:id="57" w:name="reproducibility"/>
      <w:bookmarkStart w:id="58" w:name="_Toc225682080"/>
      <w:bookmarkEnd w:id="55"/>
      <w:r>
        <w:t>8. Reproducibility</w:t>
      </w:r>
      <w:bookmarkEnd w:id="58"/>
    </w:p>
    <w:p w14:paraId="5D040FCF" w14:textId="77777777" w:rsidR="00842324" w:rsidRDefault="00000000">
      <w:pPr>
        <w:pStyle w:val="FirstParagraph"/>
      </w:pPr>
      <w:r>
        <w:t>All pipeline components are implemented in Python 3.x and organised as follows:</w:t>
      </w:r>
    </w:p>
    <w:p w14:paraId="5D040FD0" w14:textId="77777777" w:rsidR="00842324" w:rsidRDefault="00000000">
      <w:pPr>
        <w:pStyle w:val="Compact"/>
        <w:numPr>
          <w:ilvl w:val="0"/>
          <w:numId w:val="10"/>
        </w:numPr>
      </w:pPr>
      <w:r>
        <w:rPr>
          <w:rStyle w:val="VerbatimChar"/>
        </w:rPr>
        <w:t>scripts/build_*.py</w:t>
      </w:r>
      <w:r>
        <w:t xml:space="preserve"> — dataset preparation and distribution reconstruction</w:t>
      </w:r>
    </w:p>
    <w:p w14:paraId="5D040FD1" w14:textId="77777777" w:rsidR="00842324" w:rsidRDefault="00000000">
      <w:pPr>
        <w:pStyle w:val="Compact"/>
        <w:numPr>
          <w:ilvl w:val="0"/>
          <w:numId w:val="10"/>
        </w:numPr>
      </w:pPr>
      <w:r>
        <w:rPr>
          <w:rStyle w:val="VerbatimChar"/>
        </w:rPr>
        <w:t>experiments/run_*.py</w:t>
      </w:r>
      <w:r>
        <w:t xml:space="preserve"> — diagnostic evaluation and artifact output</w:t>
      </w:r>
    </w:p>
    <w:p w14:paraId="5D040FD2" w14:textId="77777777" w:rsidR="00842324" w:rsidRDefault="00000000">
      <w:pPr>
        <w:pStyle w:val="Compact"/>
        <w:numPr>
          <w:ilvl w:val="0"/>
          <w:numId w:val="10"/>
        </w:numPr>
      </w:pPr>
      <w:r>
        <w:rPr>
          <w:rStyle w:val="VerbatimChar"/>
        </w:rPr>
        <w:t>src/diagnostics/</w:t>
      </w:r>
      <w:r>
        <w:t xml:space="preserve"> — evaluator, rolling, and run policy modules</w:t>
      </w:r>
    </w:p>
    <w:p w14:paraId="5D040FD3" w14:textId="77777777" w:rsidR="00842324" w:rsidRDefault="00000000">
      <w:pPr>
        <w:pStyle w:val="Compact"/>
        <w:numPr>
          <w:ilvl w:val="0"/>
          <w:numId w:val="10"/>
        </w:numPr>
      </w:pPr>
      <w:r>
        <w:rPr>
          <w:rStyle w:val="VerbatimChar"/>
        </w:rPr>
        <w:t>src/governance/</w:t>
      </w:r>
      <w:r>
        <w:t xml:space="preserve"> — risk classification module</w:t>
      </w:r>
    </w:p>
    <w:p w14:paraId="5D040FD4" w14:textId="77777777" w:rsidR="00842324" w:rsidRDefault="00000000">
      <w:pPr>
        <w:pStyle w:val="Compact"/>
        <w:numPr>
          <w:ilvl w:val="0"/>
          <w:numId w:val="10"/>
        </w:numPr>
      </w:pPr>
      <w:r>
        <w:rPr>
          <w:rStyle w:val="VerbatimChar"/>
        </w:rPr>
        <w:t>papers/</w:t>
      </w:r>
      <w:r>
        <w:t xml:space="preserve"> — thesis write-up layer</w:t>
      </w:r>
    </w:p>
    <w:p w14:paraId="5D040FD5" w14:textId="77777777" w:rsidR="00842324" w:rsidRDefault="00000000">
      <w:pPr>
        <w:pStyle w:val="Compact"/>
        <w:numPr>
          <w:ilvl w:val="0"/>
          <w:numId w:val="10"/>
        </w:numPr>
      </w:pPr>
      <w:r>
        <w:rPr>
          <w:rStyle w:val="VerbatimChar"/>
        </w:rPr>
        <w:t>notebooks/</w:t>
      </w:r>
      <w:r>
        <w:t xml:space="preserve"> — methodological workbenches (feasibility analysis, conformal wrapping exploration)</w:t>
      </w:r>
    </w:p>
    <w:p w14:paraId="5D040FD6" w14:textId="77777777" w:rsidR="00842324" w:rsidRDefault="00000000">
      <w:pPr>
        <w:pStyle w:val="FirstParagraph"/>
      </w:pPr>
      <w:r>
        <w:t xml:space="preserve">The notebooks serve as exploratory workbenches — they establish that reconstruction methods are viable and conformal variants are comparable — but are not the source of official results. Official results are produced exclusively by the </w:t>
      </w:r>
      <w:r>
        <w:rPr>
          <w:rStyle w:val="VerbatimChar"/>
        </w:rPr>
        <w:t>experiments/run_*.py</w:t>
      </w:r>
      <w:r>
        <w:t xml:space="preserve"> scripts and stored as JSON artifacts alongside rolling diagnostic CSVs. Random seeds are fixed throughout (seed = 42 for all build scripts; independent seeds per misspecification scenario). All experiments can be reproduced by running the build and run scripts in sequence from a clean environment using the </w:t>
      </w:r>
      <w:r>
        <w:rPr>
          <w:rStyle w:val="VerbatimChar"/>
        </w:rPr>
        <w:t>requirements.txt</w:t>
      </w:r>
      <w:r>
        <w:t xml:space="preserve"> specification. A single orchestrator script — </w:t>
      </w:r>
      <w:r>
        <w:rPr>
          <w:rStyle w:val="VerbatimChar"/>
        </w:rPr>
        <w:t>run_all.py</w:t>
      </w:r>
      <w:r>
        <w:t xml:space="preserve"> — automates the full sequence of ten pipeline stages (build → run_001 through run_008), with progress reporting and graceful error handling. Non-Python users may access the framework through a Streamlit web application deployed at </w:t>
      </w:r>
      <w:r>
        <w:rPr>
          <w:rStyle w:val="VerbatimChar"/>
        </w:rPr>
        <w:t>unified-probabilistic-validation.streamlit.app</w:t>
      </w:r>
      <w:r>
        <w:t>, which accepts a forecast CSV and executes the core validation pipeline (DataContract → Adapter → BuildDist → Diagnostics_Input → DecisionEngine → NarrativeGenerator) directly in the browser without requiring local installation. A SKILL.md file (</w:t>
      </w:r>
      <w:r>
        <w:rPr>
          <w:rStyle w:val="VerbatimChar"/>
        </w:rPr>
        <w:t>skills/upv/SKILL.md</w:t>
      </w:r>
      <w:r>
        <w:t>) documents the framework architecture and operational procedures in a machine-readable format, enabling automated orchestration by AI assistants.</w:t>
      </w:r>
    </w:p>
    <w:p w14:paraId="5D040FD7" w14:textId="77777777" w:rsidR="00842324" w:rsidRDefault="00000000">
      <w:r>
        <w:pict w14:anchorId="5D0415D9">
          <v:rect id="_x0000_i1037" style="width:0;height:1.5pt" o:hralign="center" o:hrstd="t" o:hr="t"/>
        </w:pict>
      </w:r>
    </w:p>
    <w:p w14:paraId="5D040FD8" w14:textId="77777777" w:rsidR="00842324" w:rsidRDefault="00000000">
      <w:pPr>
        <w:pStyle w:val="Heading2"/>
      </w:pPr>
      <w:bookmarkStart w:id="59" w:name="production-architecture"/>
      <w:bookmarkStart w:id="60" w:name="_Toc225682081"/>
      <w:bookmarkEnd w:id="57"/>
      <w:r>
        <w:t>9. Production Architecture</w:t>
      </w:r>
      <w:bookmarkEnd w:id="60"/>
    </w:p>
    <w:p w14:paraId="5D040FD9" w14:textId="77777777" w:rsidR="00842324" w:rsidRDefault="00000000">
      <w:pPr>
        <w:pStyle w:val="Heading3"/>
      </w:pPr>
      <w:bookmarkStart w:id="61" w:name="motivation-1"/>
      <w:r>
        <w:t>9.1 Motivation</w:t>
      </w:r>
    </w:p>
    <w:p w14:paraId="5D040FDA" w14:textId="77777777" w:rsidR="00842324" w:rsidRDefault="00000000">
      <w:pPr>
        <w:pStyle w:val="FirstParagraph"/>
      </w:pPr>
      <w:r>
        <w:t>The diagnostic pipeline described in Sections 3–7 is implemented as a set of experiment scripts that operate on pre-built derived artifacts. While this is sufficient for reproducible thesis results, a production deployment requires a more robust architecture: one that validates inputs before processing, routes heterogeneous model types through appropriate transformations, and produces structured, auditable outputs that non-technical stakeholders can consume. This section documents the production architecture layer built on top of the diagnostic pipeline.</w:t>
      </w:r>
    </w:p>
    <w:p w14:paraId="5D040FDB" w14:textId="77777777" w:rsidR="00842324" w:rsidRDefault="00000000">
      <w:pPr>
        <w:pStyle w:val="Heading3"/>
      </w:pPr>
      <w:bookmarkStart w:id="62" w:name="X498aebd405f5c9a4efdfef8057554ab1207a834"/>
      <w:bookmarkEnd w:id="61"/>
      <w:r>
        <w:lastRenderedPageBreak/>
        <w:t>9.2 Data Contract and Standardised Model Objects</w:t>
      </w:r>
    </w:p>
    <w:p w14:paraId="5D040FDC" w14:textId="77777777" w:rsidR="00842324" w:rsidRDefault="00000000">
      <w:pPr>
        <w:pStyle w:val="FirstParagraph"/>
      </w:pPr>
      <w:r>
        <w:t>All inputs enter the framework through a DataContract validator (</w:t>
      </w:r>
      <w:r>
        <w:rPr>
          <w:rStyle w:val="VerbatimChar"/>
        </w:rPr>
        <w:t>src/core/data_contract.py</w:t>
      </w:r>
      <w:r>
        <w:t>) that enforces a canonical schema before any downstream processing occurs. The contract validates:</w:t>
      </w:r>
    </w:p>
    <w:p w14:paraId="5D040FDD" w14:textId="77777777" w:rsidR="00842324" w:rsidRDefault="00000000">
      <w:pPr>
        <w:pStyle w:val="Compact"/>
        <w:numPr>
          <w:ilvl w:val="0"/>
          <w:numId w:val="11"/>
        </w:numPr>
      </w:pPr>
      <w:r>
        <w:rPr>
          <w:b/>
          <w:bCs/>
        </w:rPr>
        <w:t>Required fields:</w:t>
      </w:r>
      <w:r>
        <w:t xml:space="preserve"> timestamp array t (monotone, no gaps), realisation array y (no NaN), model identifier, split label.</w:t>
      </w:r>
    </w:p>
    <w:p w14:paraId="5D040FDE" w14:textId="77777777" w:rsidR="00842324" w:rsidRDefault="00000000">
      <w:pPr>
        <w:pStyle w:val="Compact"/>
        <w:numPr>
          <w:ilvl w:val="0"/>
          <w:numId w:val="11"/>
        </w:numPr>
      </w:pPr>
      <w:r>
        <w:rPr>
          <w:b/>
          <w:bCs/>
        </w:rPr>
        <w:t>Optional fields:</w:t>
      </w:r>
      <w:r>
        <w:t xml:space="preserve"> point forecast y_hat, quantile arrays Q_t(p), Monte Carlo sample paths S ∈ ℝ^(M×d), covariates x.</w:t>
      </w:r>
    </w:p>
    <w:p w14:paraId="5D040FDF" w14:textId="77777777" w:rsidR="00842324" w:rsidRDefault="00000000">
      <w:pPr>
        <w:pStyle w:val="Compact"/>
        <w:numPr>
          <w:ilvl w:val="0"/>
          <w:numId w:val="11"/>
        </w:numPr>
      </w:pPr>
      <w:r>
        <w:rPr>
          <w:b/>
          <w:bCs/>
        </w:rPr>
        <w:t>Sanity checks:</w:t>
      </w:r>
      <w:r>
        <w:t xml:space="preserve"> monotone timestamps, no NaN or Inf in samples, quantile non-crossing (1e-8 tolerance), sample size M ≥ threshold, consistent array lengths.</w:t>
      </w:r>
    </w:p>
    <w:p w14:paraId="5D040FE0" w14:textId="77777777" w:rsidR="00842324" w:rsidRDefault="00000000">
      <w:pPr>
        <w:pStyle w:val="FirstParagraph"/>
      </w:pPr>
      <w:r>
        <w:t xml:space="preserve">Split labels follow a controlled vocabulary: </w:t>
      </w:r>
      <w:r>
        <w:rPr>
          <w:rStyle w:val="VerbatimChar"/>
        </w:rPr>
        <w:t>train</w:t>
      </w:r>
      <w:r>
        <w:t xml:space="preserve">, </w:t>
      </w:r>
      <w:r>
        <w:rPr>
          <w:rStyle w:val="VerbatimChar"/>
        </w:rPr>
        <w:t>test</w:t>
      </w:r>
      <w:r>
        <w:t xml:space="preserve">, </w:t>
      </w:r>
      <w:r>
        <w:rPr>
          <w:rStyle w:val="VerbatimChar"/>
        </w:rPr>
        <w:t>window_{int}</w:t>
      </w:r>
      <w:r>
        <w:t xml:space="preserve"> (rolling window identification), or </w:t>
      </w:r>
      <w:r>
        <w:rPr>
          <w:rStyle w:val="VerbatimChar"/>
        </w:rPr>
        <w:t>regime_{tag}</w:t>
      </w:r>
      <w:r>
        <w:t xml:space="preserve"> (regime-tagged windows, e.g. </w:t>
      </w:r>
      <w:r>
        <w:rPr>
          <w:rStyle w:val="VerbatimChar"/>
        </w:rPr>
        <w:t>regime_winter</w:t>
      </w:r>
      <w:r>
        <w:t xml:space="preserve">). Invalid inputs raise a </w:t>
      </w:r>
      <w:r>
        <w:rPr>
          <w:rStyle w:val="VerbatimChar"/>
        </w:rPr>
        <w:t>DataContractError</w:t>
      </w:r>
      <w:r>
        <w:t xml:space="preserve"> with a precise diagnostic message; no silent failures occur.</w:t>
      </w:r>
    </w:p>
    <w:p w14:paraId="5D040FE1" w14:textId="77777777" w:rsidR="00842324" w:rsidRDefault="00000000">
      <w:pPr>
        <w:pStyle w:val="BodyText"/>
      </w:pPr>
      <w:r>
        <w:t xml:space="preserve">Validated inputs are encapsulated in a frozen </w:t>
      </w:r>
      <w:r>
        <w:rPr>
          <w:rStyle w:val="VerbatimChar"/>
        </w:rPr>
        <w:t>StandardizedModelObject</w:t>
      </w:r>
      <w:r>
        <w:t xml:space="preserve"> — an immutable dataclass that all downstream components consume. Freezing prevents accidental mutation of shared state in a pipeline where the same object flows through multiple components.</w:t>
      </w:r>
    </w:p>
    <w:p w14:paraId="5D040FE2" w14:textId="77777777" w:rsidR="00842324" w:rsidRDefault="00000000">
      <w:pPr>
        <w:pStyle w:val="Heading3"/>
      </w:pPr>
      <w:bookmarkStart w:id="63" w:name="model-class-adapters"/>
      <w:bookmarkEnd w:id="62"/>
      <w:r>
        <w:t>9.3 Model-Class Adapters</w:t>
      </w:r>
    </w:p>
    <w:p w14:paraId="5D040FE3" w14:textId="77777777" w:rsidR="00842324" w:rsidRDefault="00000000">
      <w:pPr>
        <w:pStyle w:val="FirstParagraph"/>
      </w:pPr>
      <w:r>
        <w:t xml:space="preserve">Three adapters convert </w:t>
      </w:r>
      <w:r>
        <w:rPr>
          <w:rStyle w:val="VerbatimChar"/>
        </w:rPr>
        <w:t>StandardizedModelObject</w:t>
      </w:r>
      <w:r>
        <w:t xml:space="preserve"> instances into distribution representations appropriate for their model class:</w:t>
      </w:r>
    </w:p>
    <w:p w14:paraId="5D040FE4" w14:textId="77777777" w:rsidR="00842324" w:rsidRDefault="00000000">
      <w:pPr>
        <w:pStyle w:val="BodyText"/>
      </w:pPr>
      <w:r>
        <w:rPr>
          <w:b/>
          <w:bCs/>
        </w:rPr>
        <w:t>Adapter_PointForecast</w:t>
      </w:r>
      <w:r>
        <w:t xml:space="preserve"> (</w:t>
      </w:r>
      <w:r>
        <w:rPr>
          <w:rStyle w:val="VerbatimChar"/>
        </w:rPr>
        <w:t>src/adapters/point_forecast.py</w:t>
      </w:r>
      <w:r>
        <w:t xml:space="preserve">) accepts a point forecast y_hat and builds a bucket-conditioned residual pool via a configurable </w:t>
      </w:r>
      <w:r>
        <w:rPr>
          <w:rStyle w:val="VerbatimChar"/>
        </w:rPr>
        <w:t>bucket_fn</w:t>
      </w:r>
      <w:r>
        <w:t xml:space="preserve"> callable. The bucketing strategy is pluggable: </w:t>
      </w:r>
      <w:r>
        <w:rPr>
          <w:rStyle w:val="VerbatimChar"/>
        </w:rPr>
        <w:t>bucket_hourly_24</w:t>
      </w:r>
      <w:r>
        <w:t xml:space="preserve"> (24-bucket hour-of-day, default for renewables), </w:t>
      </w:r>
      <w:r>
        <w:rPr>
          <w:rStyle w:val="VerbatimChar"/>
        </w:rPr>
        <w:t>bucket_coarse_4</w:t>
      </w:r>
      <w:r>
        <w:t xml:space="preserve"> (4-bucket coarse time-of-day, for ENTSO-E), or </w:t>
      </w:r>
      <w:r>
        <w:rPr>
          <w:rStyle w:val="VerbatimChar"/>
        </w:rPr>
        <w:t>bucket_none</w:t>
      </w:r>
      <w:r>
        <w:t xml:space="preserve"> (global pool, no conditioning). Making the bucket function a parameter rather than hardcoding it is the production-correct design choice: different commodities have structurally different residual patterns, and the framework must adapt to each without modifying core adapter code. Sanity checks flag bias (|pool mean| &gt; tolerance × scale), structural breaks (variance ratio &gt; threshold), and pool sizes below hard and soft minimum thresholds.</w:t>
      </w:r>
    </w:p>
    <w:p w14:paraId="5D040FE5" w14:textId="77777777" w:rsidR="00842324" w:rsidRDefault="00000000">
      <w:pPr>
        <w:pStyle w:val="BodyText"/>
      </w:pPr>
      <w:r>
        <w:rPr>
          <w:b/>
          <w:bCs/>
        </w:rPr>
        <w:t>Adapter_SimulationJoint</w:t>
      </w:r>
      <w:r>
        <w:t xml:space="preserve"> (</w:t>
      </w:r>
      <w:r>
        <w:rPr>
          <w:rStyle w:val="VerbatimChar"/>
        </w:rPr>
        <w:t>src/adapters/simulation_joint.py</w:t>
      </w:r>
      <w:r>
        <w:t xml:space="preserve">) accepts either a sims_dict (the dict-of-dicts format produced by simulation notebooks) or a 3D numpy array (n_timestamps, M, d). Both formats are auto-detected. The adapter produces a </w:t>
      </w:r>
      <w:r>
        <w:rPr>
          <w:rStyle w:val="VerbatimChar"/>
        </w:rPr>
        <w:t>JointSimulationObject</w:t>
      </w:r>
      <w:r>
        <w:t xml:space="preserve"> containing both per-variable marginal outputs (compatible with univariate diagnostics) and the full joint sample array (required for Energy Score computation).</w:t>
      </w:r>
    </w:p>
    <w:p w14:paraId="5D040FE6" w14:textId="77777777" w:rsidR="00842324" w:rsidRDefault="00000000">
      <w:pPr>
        <w:pStyle w:val="BodyText"/>
      </w:pPr>
      <w:r>
        <w:rPr>
          <w:b/>
          <w:bCs/>
        </w:rPr>
        <w:lastRenderedPageBreak/>
        <w:t>Adapter_Quantiles</w:t>
      </w:r>
      <w:r>
        <w:t xml:space="preserve"> (</w:t>
      </w:r>
      <w:r>
        <w:rPr>
          <w:rStyle w:val="VerbatimChar"/>
        </w:rPr>
        <w:t>src/adapters/quantile_adapter.py</w:t>
      </w:r>
      <w:r>
        <w:t>) accepts pre-computed quantile arrays Q_t(p) for p in a grid. Quantile crossings are detected and fixed via the Pool Adjacent Violators Algorithm (PAVA) isotonic regression with a warning; non-crossing quantiles are required for downstream CDF interpolation. A PCHIP (Piecewise Cubic Hermite Interpolating Polynomial) monotone spline interpolator is fitted to the quantile function at each observation, enabling PIT computation from quantile-only inputs.</w:t>
      </w:r>
    </w:p>
    <w:p w14:paraId="5D040FE7" w14:textId="77777777" w:rsidR="00842324" w:rsidRDefault="00000000">
      <w:pPr>
        <w:pStyle w:val="Heading3"/>
      </w:pPr>
      <w:bookmarkStart w:id="64" w:name="Xb02c96c409cd53dd4c2289560c200c25a2d0431"/>
      <w:bookmarkEnd w:id="63"/>
      <w:r>
        <w:t>9.4 Distribution Reconstruction from Residuals</w:t>
      </w:r>
    </w:p>
    <w:p w14:paraId="5D040FE8" w14:textId="77777777" w:rsidR="00842324" w:rsidRDefault="00000000">
      <w:pPr>
        <w:pStyle w:val="FirstParagraph"/>
      </w:pPr>
      <w:r>
        <w:rPr>
          <w:rStyle w:val="VerbatimChar"/>
        </w:rPr>
        <w:t>BuildDist_FromResiduals</w:t>
      </w:r>
      <w:r>
        <w:t xml:space="preserve"> (</w:t>
      </w:r>
      <w:r>
        <w:rPr>
          <w:rStyle w:val="VerbatimChar"/>
        </w:rPr>
        <w:t>src/adapters/build_dist_from_residuals.py</w:t>
      </w:r>
      <w:r>
        <w:t>) converts a ResidualPool (output of Adapter_PointForecast) into a Monte Carlo sample matrix of shape (n_obs, M) by reconstructing the predictive distribution per observation. Two modes are available:</w:t>
      </w:r>
    </w:p>
    <w:p w14:paraId="5D040FE9" w14:textId="77777777" w:rsidR="00842324" w:rsidRDefault="00000000">
      <w:pPr>
        <w:pStyle w:val="Compact"/>
        <w:numPr>
          <w:ilvl w:val="0"/>
          <w:numId w:val="12"/>
        </w:numPr>
      </w:pPr>
      <w:r>
        <w:rPr>
          <w:b/>
          <w:bCs/>
        </w:rPr>
        <w:t>Non-parametric (default):</w:t>
      </w:r>
      <w:r>
        <w:t xml:space="preserve"> bootstrap resamples M residuals from the trailing residual pool at each t. Preserves skewness, heavy tails, and non-Gaussian structure. Correct for energy forecasts with asymmetric errors.</w:t>
      </w:r>
    </w:p>
    <w:p w14:paraId="5D040FEA" w14:textId="77777777" w:rsidR="00842324" w:rsidRDefault="00000000">
      <w:pPr>
        <w:pStyle w:val="Compact"/>
        <w:numPr>
          <w:ilvl w:val="0"/>
          <w:numId w:val="12"/>
        </w:numPr>
      </w:pPr>
      <w:r>
        <w:rPr>
          <w:b/>
          <w:bCs/>
        </w:rPr>
        <w:t>Parametric (Gaussian):</w:t>
      </w:r>
      <w:r>
        <w:t xml:space="preserve"> fits N(bias_t, scale_t) to the residual pool at each t using the pool_bias and pool_scale stored in the ResidualPool. Faster but understates tail risk for heavy-tailed commodities.</w:t>
      </w:r>
    </w:p>
    <w:p w14:paraId="5D040FEB" w14:textId="77777777" w:rsidR="00842324" w:rsidRDefault="00000000">
      <w:pPr>
        <w:pStyle w:val="FirstParagraph"/>
      </w:pPr>
      <w:r>
        <w:t xml:space="preserve">This component closes the gap between point-forecast model classes (which produce only lo/hi bounds from the adapter) and PIT-based diagnostics (which require sample paths). The reconstructed samples are directly compatible with </w:t>
      </w:r>
      <w:r>
        <w:rPr>
          <w:rStyle w:val="VerbatimChar"/>
        </w:rPr>
        <w:t>evaluate_distribution()</w:t>
      </w:r>
      <w:r>
        <w:t xml:space="preserve">, CRPS computation, and the </w:t>
      </w:r>
      <w:r>
        <w:rPr>
          <w:rStyle w:val="VerbatimChar"/>
        </w:rPr>
        <w:t>Diagnostics_Input</w:t>
      </w:r>
      <w:r>
        <w:t xml:space="preserve"> gateway.</w:t>
      </w:r>
    </w:p>
    <w:p w14:paraId="5D040FEC" w14:textId="77777777" w:rsidR="00842324" w:rsidRDefault="00000000">
      <w:pPr>
        <w:pStyle w:val="Heading3"/>
      </w:pPr>
      <w:bookmarkStart w:id="65" w:name="diagnostics-gateway"/>
      <w:bookmarkEnd w:id="64"/>
      <w:r>
        <w:t>9.5 Diagnostics Gateway</w:t>
      </w:r>
    </w:p>
    <w:p w14:paraId="5D040FED" w14:textId="77777777" w:rsidR="00842324" w:rsidRDefault="00000000">
      <w:pPr>
        <w:pStyle w:val="FirstParagraph"/>
      </w:pPr>
      <w:r>
        <w:rPr>
          <w:rStyle w:val="VerbatimChar"/>
        </w:rPr>
        <w:t>Diagnostics_Input</w:t>
      </w:r>
      <w:r>
        <w:t xml:space="preserve"> (</w:t>
      </w:r>
      <w:r>
        <w:rPr>
          <w:rStyle w:val="VerbatimChar"/>
        </w:rPr>
        <w:t>src/diagnostics/diagnostics_input.py</w:t>
      </w:r>
      <w:r>
        <w:t xml:space="preserve">) normalises adapter outputs or raw arrays into a </w:t>
      </w:r>
      <w:r>
        <w:rPr>
          <w:rStyle w:val="VerbatimChar"/>
        </w:rPr>
        <w:t>DiagnosticsReadyObject</w:t>
      </w:r>
      <w:r>
        <w:t xml:space="preserve"> — a capability-annotated container that downstream diagnostic components query before attempting computation. The capability interface exposes:</w:t>
      </w:r>
    </w:p>
    <w:p w14:paraId="5D040FEE" w14:textId="77777777" w:rsidR="00842324" w:rsidRDefault="00000000">
      <w:pPr>
        <w:pStyle w:val="Compact"/>
        <w:numPr>
          <w:ilvl w:val="0"/>
          <w:numId w:val="13"/>
        </w:numPr>
      </w:pPr>
      <w:r>
        <w:rPr>
          <w:rStyle w:val="VerbatimChar"/>
        </w:rPr>
        <w:t>can_compute_pit</w:t>
      </w:r>
      <w:r>
        <w:t xml:space="preserve"> — True if samples or CDF callable available</w:t>
      </w:r>
    </w:p>
    <w:p w14:paraId="5D040FEF" w14:textId="77777777" w:rsidR="00842324" w:rsidRDefault="00000000">
      <w:pPr>
        <w:pStyle w:val="Compact"/>
        <w:numPr>
          <w:ilvl w:val="0"/>
          <w:numId w:val="13"/>
        </w:numPr>
      </w:pPr>
      <w:r>
        <w:rPr>
          <w:rStyle w:val="VerbatimChar"/>
        </w:rPr>
        <w:t>can_compute_crps</w:t>
      </w:r>
      <w:r>
        <w:t xml:space="preserve"> — True if samples available</w:t>
      </w:r>
    </w:p>
    <w:p w14:paraId="5D040FF0" w14:textId="77777777" w:rsidR="00842324" w:rsidRDefault="00000000">
      <w:pPr>
        <w:pStyle w:val="Compact"/>
        <w:numPr>
          <w:ilvl w:val="0"/>
          <w:numId w:val="13"/>
        </w:numPr>
      </w:pPr>
      <w:r>
        <w:rPr>
          <w:rStyle w:val="VerbatimChar"/>
        </w:rPr>
        <w:t>can_compute_pinball</w:t>
      </w:r>
      <w:r>
        <w:t xml:space="preserve"> — True if quantile arrays available</w:t>
      </w:r>
    </w:p>
    <w:p w14:paraId="5D040FF1" w14:textId="77777777" w:rsidR="00842324" w:rsidRDefault="00000000">
      <w:pPr>
        <w:pStyle w:val="Compact"/>
        <w:numPr>
          <w:ilvl w:val="0"/>
          <w:numId w:val="13"/>
        </w:numPr>
      </w:pPr>
      <w:r>
        <w:rPr>
          <w:rStyle w:val="VerbatimChar"/>
        </w:rPr>
        <w:t>can_compute_interval</w:t>
      </w:r>
      <w:r>
        <w:t xml:space="preserve"> — True if lo/hi bounds available</w:t>
      </w:r>
    </w:p>
    <w:p w14:paraId="5D040FF2" w14:textId="77777777" w:rsidR="00842324" w:rsidRDefault="00000000">
      <w:pPr>
        <w:pStyle w:val="Compact"/>
        <w:numPr>
          <w:ilvl w:val="0"/>
          <w:numId w:val="13"/>
        </w:numPr>
      </w:pPr>
      <w:r>
        <w:rPr>
          <w:rStyle w:val="VerbatimChar"/>
        </w:rPr>
        <w:t>can_compute_energy_score</w:t>
      </w:r>
      <w:r>
        <w:t xml:space="preserve"> — True if joint samples (d ≥ 2) available</w:t>
      </w:r>
    </w:p>
    <w:p w14:paraId="5D040FF3" w14:textId="77777777" w:rsidR="00842324" w:rsidRDefault="00000000">
      <w:pPr>
        <w:pStyle w:val="FirstParagraph"/>
      </w:pPr>
      <w:r>
        <w:t xml:space="preserve">This design prevents silent missing-data failures: a diagnostic component calls </w:t>
      </w:r>
      <w:r>
        <w:rPr>
          <w:rStyle w:val="VerbatimChar"/>
        </w:rPr>
        <w:t>dro.require("crps")</w:t>
      </w:r>
      <w:r>
        <w:t xml:space="preserve"> before computing, which raises a </w:t>
      </w:r>
      <w:r>
        <w:rPr>
          <w:rStyle w:val="VerbatimChar"/>
        </w:rPr>
        <w:t>DiagnosticsInputError</w:t>
      </w:r>
      <w:r>
        <w:t xml:space="preserve"> with an informative message if the capability is unavailable. The gateway accepts both adapter output objects (auto-detected by type) and raw numpy arrays, with validation on all inputs.</w:t>
      </w:r>
    </w:p>
    <w:p w14:paraId="5D040FF4" w14:textId="77777777" w:rsidR="00842324" w:rsidRDefault="00000000">
      <w:pPr>
        <w:pStyle w:val="Heading3"/>
      </w:pPr>
      <w:bookmarkStart w:id="66" w:name="scoring-components"/>
      <w:bookmarkEnd w:id="65"/>
      <w:r>
        <w:lastRenderedPageBreak/>
        <w:t>9.6 Scoring Components</w:t>
      </w:r>
    </w:p>
    <w:p w14:paraId="5D040FF5" w14:textId="77777777" w:rsidR="00842324" w:rsidRDefault="00000000">
      <w:pPr>
        <w:pStyle w:val="FirstParagraph"/>
      </w:pPr>
      <w:r>
        <w:t>Two scoring components complement the existing CRPS implementation:</w:t>
      </w:r>
    </w:p>
    <w:p w14:paraId="5D040FF6" w14:textId="77777777" w:rsidR="00842324" w:rsidRDefault="00000000">
      <w:pPr>
        <w:pStyle w:val="BodyText"/>
      </w:pPr>
      <w:r>
        <w:rPr>
          <w:b/>
          <w:bCs/>
        </w:rPr>
        <w:t>Score_Pinball</w:t>
      </w:r>
      <w:r>
        <w:t xml:space="preserve"> (</w:t>
      </w:r>
      <w:r>
        <w:rPr>
          <w:rStyle w:val="VerbatimChar"/>
        </w:rPr>
        <w:t>src/scoring/pinball.py</w:t>
      </w:r>
      <w:r>
        <w:t>) computes pinball (quantile) loss (Koenker and Bassett, 1978) L_p(q, y) = (y − q)·p if y ≥ q, else (q − y)·(1 − p), across all quantile levels in the grid. The mean pinball loss averaged over a dense level grid approximates CRPS; the per-level breakdown reveals which quantile regions are most miscalibrated. Regime-stratified losses are computed if regime tags are provided, enabling diagnostic decomposition by market condition.</w:t>
      </w:r>
    </w:p>
    <w:p w14:paraId="5D040FF7" w14:textId="77777777" w:rsidR="00842324" w:rsidRDefault="00000000">
      <w:pPr>
        <w:pStyle w:val="BodyText"/>
      </w:pPr>
      <w:r>
        <w:rPr>
          <w:b/>
          <w:bCs/>
        </w:rPr>
        <w:t>Interval_Sharpness</w:t>
      </w:r>
      <w:r>
        <w:t xml:space="preserve"> (</w:t>
      </w:r>
      <w:r>
        <w:rPr>
          <w:rStyle w:val="VerbatimChar"/>
        </w:rPr>
        <w:t>src/diagnostics/interval_sharpness.py</w:t>
      </w:r>
      <w:r>
        <w:t>) computes interval width and the sharpness-coverage tradeoff: mean and median width, standard deviation of widths, and a human-readable interpretation label (sharp / acceptable / wide / uninformative) based on the ratio of mean width to the interquartile range of the target variable. A risk label (safe / risky / over-cautious / acceptable) is assigned based on the deviation of empirical coverage from nominal. This operationalises the diagnostic principle that good probabilistic forecasts should be simultaneously sharp and calibrated: narrow intervals that under-cover are risky, wide intervals that over-cover are uninformative.</w:t>
      </w:r>
    </w:p>
    <w:p w14:paraId="5D040FF8" w14:textId="77777777" w:rsidR="00842324" w:rsidRDefault="00000000">
      <w:pPr>
        <w:pStyle w:val="Heading3"/>
      </w:pPr>
      <w:bookmarkStart w:id="67" w:name="regime-tagging-and-threshold-calibration"/>
      <w:bookmarkEnd w:id="66"/>
      <w:r>
        <w:t>9.7 Regime Tagging and Threshold Calibration</w:t>
      </w:r>
    </w:p>
    <w:p w14:paraId="5D040FF9" w14:textId="77777777" w:rsidR="00842324" w:rsidRDefault="00000000">
      <w:pPr>
        <w:pStyle w:val="FirstParagraph"/>
      </w:pPr>
      <w:r>
        <w:rPr>
          <w:rStyle w:val="VerbatimChar"/>
        </w:rPr>
        <w:t>RegimeTagger</w:t>
      </w:r>
      <w:r>
        <w:t xml:space="preserve"> (</w:t>
      </w:r>
      <w:r>
        <w:rPr>
          <w:rStyle w:val="VerbatimChar"/>
        </w:rPr>
        <w:t>src/governance/regime_tagger.py</w:t>
      </w:r>
      <w:r>
        <w:t xml:space="preserve">) assigns regime labels to rolling windows using a composable rule system. Rules are callable objects with signature </w:t>
      </w:r>
      <w:r>
        <w:rPr>
          <w:rStyle w:val="VerbatimChar"/>
        </w:rPr>
        <w:t>(t, y) → str | None</w:t>
      </w:r>
      <w:r>
        <w:t>; the first non-None result wins. Three built-in rules are provided:</w:t>
      </w:r>
    </w:p>
    <w:p w14:paraId="5D040FFA" w14:textId="77777777" w:rsidR="00842324" w:rsidRDefault="00000000">
      <w:pPr>
        <w:pStyle w:val="Compact"/>
        <w:numPr>
          <w:ilvl w:val="0"/>
          <w:numId w:val="14"/>
        </w:numPr>
      </w:pPr>
      <w:r>
        <w:rPr>
          <w:b/>
          <w:bCs/>
        </w:rPr>
        <w:t>SeasonalRule:</w:t>
      </w:r>
      <w:r>
        <w:t xml:space="preserve"> assigns </w:t>
      </w:r>
      <w:r>
        <w:rPr>
          <w:rStyle w:val="VerbatimChar"/>
        </w:rPr>
        <w:t>winter</w:t>
      </w:r>
      <w:r>
        <w:t xml:space="preserve"> (months 11–2) or </w:t>
      </w:r>
      <w:r>
        <w:rPr>
          <w:rStyle w:val="VerbatimChar"/>
        </w:rPr>
        <w:t>summer</w:t>
      </w:r>
      <w:r>
        <w:t xml:space="preserve"> (months 5–8) based on the dominant month in the window, with a configurable majority threshold.</w:t>
      </w:r>
    </w:p>
    <w:p w14:paraId="5D040FFB" w14:textId="77777777" w:rsidR="00842324" w:rsidRDefault="00000000">
      <w:pPr>
        <w:pStyle w:val="Compact"/>
        <w:numPr>
          <w:ilvl w:val="0"/>
          <w:numId w:val="14"/>
        </w:numPr>
      </w:pPr>
      <w:r>
        <w:rPr>
          <w:b/>
          <w:bCs/>
        </w:rPr>
        <w:t>VolatilityRule:</w:t>
      </w:r>
      <w:r>
        <w:t xml:space="preserve"> assigns </w:t>
      </w:r>
      <w:r>
        <w:rPr>
          <w:rStyle w:val="VerbatimChar"/>
        </w:rPr>
        <w:t>high_vol</w:t>
      </w:r>
      <w:r>
        <w:t xml:space="preserve"> or </w:t>
      </w:r>
      <w:r>
        <w:rPr>
          <w:rStyle w:val="VerbatimChar"/>
        </w:rPr>
        <w:t>low_vol</w:t>
      </w:r>
      <w:r>
        <w:t xml:space="preserve"> based on the window’s standard deviation relative to pre-computed percentile thresholds. Must be fitted on a reference set of window statistics before tagging.</w:t>
      </w:r>
    </w:p>
    <w:p w14:paraId="5D040FFC" w14:textId="77777777" w:rsidR="00842324" w:rsidRDefault="00000000">
      <w:pPr>
        <w:pStyle w:val="Compact"/>
        <w:numPr>
          <w:ilvl w:val="0"/>
          <w:numId w:val="14"/>
        </w:numPr>
      </w:pPr>
      <w:r>
        <w:rPr>
          <w:b/>
          <w:bCs/>
        </w:rPr>
        <w:t>BreakFlagRule:</w:t>
      </w:r>
      <w:r>
        <w:t xml:space="preserve"> detects structural breaks by comparing the variance ratio between the first and second halves of the window.</w:t>
      </w:r>
    </w:p>
    <w:p w14:paraId="5D040FFD" w14:textId="77777777" w:rsidR="00842324" w:rsidRDefault="00000000">
      <w:pPr>
        <w:pStyle w:val="FirstParagraph"/>
      </w:pPr>
      <w:r>
        <w:t>Regime tags follow the SplitLabel vocabulary (</w:t>
      </w:r>
      <w:r>
        <w:rPr>
          <w:rStyle w:val="VerbatimChar"/>
        </w:rPr>
        <w:t>regime_{tag}</w:t>
      </w:r>
      <w:r>
        <w:t>) for compatibility with the DataContract.</w:t>
      </w:r>
    </w:p>
    <w:p w14:paraId="5D040FFE" w14:textId="77777777" w:rsidR="00842324" w:rsidRDefault="00000000">
      <w:pPr>
        <w:pStyle w:val="BodyText"/>
      </w:pPr>
      <w:r>
        <w:rPr>
          <w:rStyle w:val="VerbatimChar"/>
        </w:rPr>
        <w:t>ThresholdCalibrator</w:t>
      </w:r>
      <w:r>
        <w:t xml:space="preserve"> (</w:t>
      </w:r>
      <w:r>
        <w:rPr>
          <w:rStyle w:val="VerbatimChar"/>
        </w:rPr>
        <w:t>src/governance/threshold_calibrator.py</w:t>
      </w:r>
      <w:r>
        <w:t xml:space="preserve">) calibrates GREEN/YELLOW/RED coverage thresholds per regime using a calibration split. For each regime with sufficient data (N_min_hard ≥ 10 by default), the GREEN coverage threshold is set at a specified quantile of the observed coverage distribution in calibration windows (default: 10th percentile). This data-driven approach extends the Basel fixed-cutoff framework to heterogeneous market conditions: if </w:t>
      </w:r>
      <w:r>
        <w:rPr>
          <w:rStyle w:val="VerbatimChar"/>
        </w:rPr>
        <w:t>high_vol</w:t>
      </w:r>
      <w:r>
        <w:t xml:space="preserve"> windows systematically achieve lower empirical coverage, the GREEN threshold is relaxed for that regime rather than uniformly applied. A relax_factor parameter bounds the maximum downward </w:t>
      </w:r>
      <w:r>
        <w:lastRenderedPageBreak/>
        <w:t>adjustment from the global target, preventing over-relaxation on sparse regimes. Regimes with insufficient calibration data fall back to the global policy.</w:t>
      </w:r>
    </w:p>
    <w:p w14:paraId="5D040FFF" w14:textId="77777777" w:rsidR="00842324" w:rsidRDefault="00000000">
      <w:pPr>
        <w:pStyle w:val="Heading3"/>
      </w:pPr>
      <w:bookmarkStart w:id="68" w:name="decision-engine"/>
      <w:bookmarkEnd w:id="67"/>
      <w:r>
        <w:t>9.8 Decision Engine</w:t>
      </w:r>
    </w:p>
    <w:p w14:paraId="5D041000" w14:textId="77777777" w:rsidR="00842324" w:rsidRDefault="00000000">
      <w:pPr>
        <w:pStyle w:val="FirstParagraph"/>
      </w:pPr>
      <w:r>
        <w:rPr>
          <w:rStyle w:val="VerbatimChar"/>
        </w:rPr>
        <w:t>DecisionEngine</w:t>
      </w:r>
      <w:r>
        <w:t xml:space="preserve"> (</w:t>
      </w:r>
      <w:r>
        <w:rPr>
          <w:rStyle w:val="VerbatimChar"/>
        </w:rPr>
        <w:t>src/governance/decision_engine.py</w:t>
      </w:r>
      <w:r>
        <w:t xml:space="preserve">) is the top-level orchestrator. A single call to </w:t>
      </w:r>
      <w:r>
        <w:rPr>
          <w:rStyle w:val="VerbatimChar"/>
        </w:rPr>
        <w:t>.decide(dro, regime_tag)</w:t>
      </w:r>
      <w:r>
        <w:t xml:space="preserve"> executes the full diagnostic pipeline — computing only what the </w:t>
      </w:r>
      <w:r>
        <w:rPr>
          <w:rStyle w:val="VerbatimChar"/>
        </w:rPr>
        <w:t>DiagnosticsReadyObject</w:t>
      </w:r>
      <w:r>
        <w:t xml:space="preserve"> is capable of, applying the regime-conditioned policy, and returning a </w:t>
      </w:r>
      <w:r>
        <w:rPr>
          <w:rStyle w:val="VerbatimChar"/>
        </w:rPr>
        <w:t>GovernanceDecision</w:t>
      </w:r>
      <w:r>
        <w:t xml:space="preserve"> with:</w:t>
      </w:r>
    </w:p>
    <w:p w14:paraId="5D041001" w14:textId="77777777" w:rsidR="00842324" w:rsidRDefault="00000000">
      <w:pPr>
        <w:pStyle w:val="Compact"/>
        <w:numPr>
          <w:ilvl w:val="0"/>
          <w:numId w:val="15"/>
        </w:numPr>
      </w:pPr>
      <w:r>
        <w:rPr>
          <w:b/>
          <w:bCs/>
        </w:rPr>
        <w:t>final_label:</w:t>
      </w:r>
      <w:r>
        <w:t xml:space="preserve"> GREEN, YELLOW, or RED</w:t>
      </w:r>
    </w:p>
    <w:p w14:paraId="5D041002" w14:textId="77777777" w:rsidR="00842324" w:rsidRDefault="00000000">
      <w:pPr>
        <w:pStyle w:val="Compact"/>
        <w:numPr>
          <w:ilvl w:val="0"/>
          <w:numId w:val="15"/>
        </w:numPr>
      </w:pPr>
      <w:r>
        <w:rPr>
          <w:b/>
          <w:bCs/>
        </w:rPr>
        <w:t>reason_codes:</w:t>
      </w:r>
      <w:r>
        <w:t xml:space="preserve"> list of </w:t>
      </w:r>
      <w:r>
        <w:rPr>
          <w:rStyle w:val="VerbatimChar"/>
        </w:rPr>
        <w:t>ReasonCode</w:t>
      </w:r>
      <w:r>
        <w:t xml:space="preserve"> enum values indicating which diagnostic branches triggered the classification</w:t>
      </w:r>
    </w:p>
    <w:p w14:paraId="5D041003" w14:textId="77777777" w:rsidR="00842324" w:rsidRDefault="00000000">
      <w:pPr>
        <w:pStyle w:val="Compact"/>
        <w:numPr>
          <w:ilvl w:val="0"/>
          <w:numId w:val="15"/>
        </w:numPr>
      </w:pPr>
      <w:r>
        <w:rPr>
          <w:b/>
          <w:bCs/>
        </w:rPr>
        <w:t>metric_snapshot:</w:t>
      </w:r>
      <w:r>
        <w:t xml:space="preserve"> all computed diagnostic values in a flat dict</w:t>
      </w:r>
    </w:p>
    <w:p w14:paraId="5D041004" w14:textId="77777777" w:rsidR="00842324" w:rsidRDefault="00000000">
      <w:pPr>
        <w:pStyle w:val="Compact"/>
        <w:numPr>
          <w:ilvl w:val="0"/>
          <w:numId w:val="15"/>
        </w:numPr>
      </w:pPr>
      <w:r>
        <w:rPr>
          <w:b/>
          <w:bCs/>
        </w:rPr>
        <w:t>policy_used:</w:t>
      </w:r>
      <w:r>
        <w:t xml:space="preserve"> the RiskPolicy applied (global or regime-calibrated)</w:t>
      </w:r>
    </w:p>
    <w:p w14:paraId="5D041005" w14:textId="77777777" w:rsidR="00842324" w:rsidRDefault="00000000">
      <w:pPr>
        <w:pStyle w:val="Compact"/>
        <w:numPr>
          <w:ilvl w:val="0"/>
          <w:numId w:val="15"/>
        </w:numPr>
      </w:pPr>
      <w:r>
        <w:rPr>
          <w:b/>
          <w:bCs/>
        </w:rPr>
        <w:t>provenance:</w:t>
      </w:r>
      <w:r>
        <w:t xml:space="preserve"> full audit trail — which diagnostics were computed, which were skipped and why, policy source, decision timestamp</w:t>
      </w:r>
    </w:p>
    <w:p w14:paraId="5D041006" w14:textId="77777777" w:rsidR="00842324" w:rsidRDefault="00000000">
      <w:pPr>
        <w:pStyle w:val="FirstParagraph"/>
      </w:pPr>
      <w:r>
        <w:t xml:space="preserve">The DecisionEngine does not re-implement any diagnostic logic; it delegates entirely to the existing </w:t>
      </w:r>
      <w:r>
        <w:rPr>
          <w:rStyle w:val="VerbatimChar"/>
        </w:rPr>
        <w:t>evaluate_distribution()</w:t>
      </w:r>
      <w:r>
        <w:t xml:space="preserve">, </w:t>
      </w:r>
      <w:r>
        <w:rPr>
          <w:rStyle w:val="VerbatimChar"/>
        </w:rPr>
        <w:t>anfuso_interval_backtest()</w:t>
      </w:r>
      <w:r>
        <w:t xml:space="preserve">, </w:t>
      </w:r>
      <w:r>
        <w:rPr>
          <w:rStyle w:val="VerbatimChar"/>
        </w:rPr>
        <w:t>Score_Pinball</w:t>
      </w:r>
      <w:r>
        <w:t xml:space="preserve">, </w:t>
      </w:r>
      <w:r>
        <w:rPr>
          <w:rStyle w:val="VerbatimChar"/>
        </w:rPr>
        <w:t>Interval_Sharpness</w:t>
      </w:r>
      <w:r>
        <w:t xml:space="preserve">, and </w:t>
      </w:r>
      <w:r>
        <w:rPr>
          <w:rStyle w:val="VerbatimChar"/>
        </w:rPr>
        <w:t>classify_risk()</w:t>
      </w:r>
      <w:r>
        <w:t xml:space="preserve"> functions. This preserves full backwards compatibility: the existing </w:t>
      </w:r>
      <w:r>
        <w:rPr>
          <w:rStyle w:val="VerbatimChar"/>
        </w:rPr>
        <w:t>run_diagnostics_policy()</w:t>
      </w:r>
      <w:r>
        <w:t xml:space="preserve"> / </w:t>
      </w:r>
      <w:r>
        <w:rPr>
          <w:rStyle w:val="VerbatimChar"/>
        </w:rPr>
        <w:t>write_run_artifacts()</w:t>
      </w:r>
      <w:r>
        <w:t xml:space="preserve"> pipeline continues to operate unchanged, with the DecisionEngine as an additive layer producing a structured </w:t>
      </w:r>
      <w:r>
        <w:rPr>
          <w:rStyle w:val="VerbatimChar"/>
        </w:rPr>
        <w:t>governance_decision.json</w:t>
      </w:r>
      <w:r>
        <w:t xml:space="preserve"> artifact alongside the existing outputs.</w:t>
      </w:r>
    </w:p>
    <w:p w14:paraId="5D041007" w14:textId="77777777" w:rsidR="00842324" w:rsidRDefault="00000000">
      <w:pPr>
        <w:pStyle w:val="Heading3"/>
      </w:pPr>
      <w:bookmarkStart w:id="69" w:name="narrative-generation"/>
      <w:bookmarkEnd w:id="68"/>
      <w:r>
        <w:t>9.9 Narrative Generation</w:t>
      </w:r>
    </w:p>
    <w:p w14:paraId="5D041008" w14:textId="77777777" w:rsidR="00842324" w:rsidRDefault="00000000">
      <w:pPr>
        <w:pStyle w:val="FirstParagraph"/>
      </w:pPr>
      <w:r>
        <w:rPr>
          <w:rStyle w:val="VerbatimChar"/>
        </w:rPr>
        <w:t>NarrativeGenerator</w:t>
      </w:r>
      <w:r>
        <w:t xml:space="preserve"> (</w:t>
      </w:r>
      <w:r>
        <w:rPr>
          <w:rStyle w:val="VerbatimChar"/>
        </w:rPr>
        <w:t>src/governance/narrative_generator.py</w:t>
      </w:r>
      <w:r>
        <w:t xml:space="preserve">) converts a </w:t>
      </w:r>
      <w:r>
        <w:rPr>
          <w:rStyle w:val="VerbatimChar"/>
        </w:rPr>
        <w:t>GovernanceDecision</w:t>
      </w:r>
      <w:r>
        <w:t xml:space="preserve"> into plain-language governance summaries using the Anthropic API (Claude Sonnet). Two narrative modes are produced per dataset in a single API call:</w:t>
      </w:r>
    </w:p>
    <w:p w14:paraId="5D041009" w14:textId="77777777" w:rsidR="00842324" w:rsidRDefault="00000000">
      <w:pPr>
        <w:pStyle w:val="Compact"/>
        <w:numPr>
          <w:ilvl w:val="0"/>
          <w:numId w:val="16"/>
        </w:numPr>
      </w:pPr>
      <w:r>
        <w:rPr>
          <w:b/>
          <w:bCs/>
        </w:rPr>
        <w:t>Technical narrative:</w:t>
      </w:r>
      <w:r>
        <w:t xml:space="preserve"> 3–5 sentences for quantitative risk officers. References specific metric values, names the diagnostic branches that failed, quantifies deviations from nominal, and states the governance implication (capital multiplier impact, REMIT reporting obligation).</w:t>
      </w:r>
    </w:p>
    <w:p w14:paraId="5D04100A" w14:textId="77777777" w:rsidR="00842324" w:rsidRDefault="00000000">
      <w:pPr>
        <w:pStyle w:val="Compact"/>
        <w:numPr>
          <w:ilvl w:val="0"/>
          <w:numId w:val="16"/>
        </w:numPr>
      </w:pPr>
      <w:r>
        <w:rPr>
          <w:b/>
          <w:bCs/>
        </w:rPr>
        <w:t>Plain language narrative:</w:t>
      </w:r>
      <w:r>
        <w:t xml:space="preserve"> 3–5 sentences for non-technical stakeholders. No jargon; uses analogies where appropriate; focuses on the business implication and required action.</w:t>
      </w:r>
    </w:p>
    <w:p w14:paraId="5D04100B" w14:textId="77777777" w:rsidR="00842324" w:rsidRDefault="00000000">
      <w:pPr>
        <w:pStyle w:val="FirstParagraph"/>
      </w:pPr>
      <w:r>
        <w:t xml:space="preserve">The structured prompt injects the full </w:t>
      </w:r>
      <w:r>
        <w:rPr>
          <w:rStyle w:val="VerbatimChar"/>
        </w:rPr>
        <w:t>GovernanceDecision.to_dict()</w:t>
      </w:r>
      <w:r>
        <w:t xml:space="preserve"> output, model class, and commodity context. A </w:t>
      </w:r>
      <w:r>
        <w:rPr>
          <w:rStyle w:val="VerbatimChar"/>
        </w:rPr>
        <w:t>&lt;&lt;&lt;PLAIN&gt;&gt;&gt;</w:t>
      </w:r>
      <w:r>
        <w:t xml:space="preserve"> delimiter separates the two sections in the model response, enabling deterministic parsing. If the API is unavailable (no key configured, insufficient credits, or network failure), clearly labelled stub narratives are written and the pipeline continues without interruption. At a cost of approximately $0.005 </w:t>
      </w:r>
      <w:r>
        <w:lastRenderedPageBreak/>
        <w:t>per dataset, narrative generation for the full 11-dataset thesis pipeline costs under $0.10 total.</w:t>
      </w:r>
    </w:p>
    <w:p w14:paraId="5D04100C" w14:textId="77777777" w:rsidR="00842324" w:rsidRDefault="00000000">
      <w:pPr>
        <w:pStyle w:val="Heading3"/>
      </w:pPr>
      <w:bookmarkStart w:id="70" w:name="deployment-and-accessibility"/>
      <w:bookmarkEnd w:id="69"/>
      <w:r>
        <w:t>9.10 Deployment and Accessibility</w:t>
      </w:r>
    </w:p>
    <w:p w14:paraId="5D04100D" w14:textId="77777777" w:rsidR="00842324" w:rsidRDefault="00000000">
      <w:pPr>
        <w:pStyle w:val="FirstParagraph"/>
      </w:pPr>
      <w:r>
        <w:t>The full framework is accessible through three interfaces:</w:t>
      </w:r>
    </w:p>
    <w:p w14:paraId="5D04100E" w14:textId="77777777" w:rsidR="00842324" w:rsidRDefault="00000000">
      <w:pPr>
        <w:pStyle w:val="BodyText"/>
      </w:pPr>
      <w:r>
        <w:rPr>
          <w:b/>
          <w:bCs/>
        </w:rPr>
        <w:t>Command-line orchestrator</w:t>
      </w:r>
      <w:r>
        <w:t xml:space="preserve"> (</w:t>
      </w:r>
      <w:r>
        <w:rPr>
          <w:rStyle w:val="VerbatimChar"/>
        </w:rPr>
        <w:t>run_all.py</w:t>
      </w:r>
      <w:r>
        <w:t xml:space="preserve">): executes all ten pipeline stages (build → run_001 through run_008) in sequence, with per-stage progress reporting and graceful error handling on optional stages. Supports </w:t>
      </w:r>
      <w:r>
        <w:rPr>
          <w:rStyle w:val="VerbatimChar"/>
        </w:rPr>
        <w:t>--skip-build</w:t>
      </w:r>
      <w:r>
        <w:t xml:space="preserve">, </w:t>
      </w:r>
      <w:r>
        <w:rPr>
          <w:rStyle w:val="VerbatimChar"/>
        </w:rPr>
        <w:t>--stages</w:t>
      </w:r>
      <w:r>
        <w:t xml:space="preserve">, and </w:t>
      </w:r>
      <w:r>
        <w:rPr>
          <w:rStyle w:val="VerbatimChar"/>
        </w:rPr>
        <w:t>--dry-run</w:t>
      </w:r>
      <w:r>
        <w:t xml:space="preserve"> flags.</w:t>
      </w:r>
    </w:p>
    <w:p w14:paraId="5D04100F" w14:textId="77777777" w:rsidR="00842324" w:rsidRDefault="00000000">
      <w:pPr>
        <w:pStyle w:val="BodyText"/>
      </w:pPr>
      <w:r>
        <w:rPr>
          <w:b/>
          <w:bCs/>
        </w:rPr>
        <w:t>Streamlit web application</w:t>
      </w:r>
      <w:r>
        <w:t xml:space="preserve"> (</w:t>
      </w:r>
      <w:r>
        <w:rPr>
          <w:rStyle w:val="VerbatimChar"/>
        </w:rPr>
        <w:t>app.py</w:t>
      </w:r>
      <w:r>
        <w:t xml:space="preserve">, deployed at </w:t>
      </w:r>
      <w:r>
        <w:rPr>
          <w:rStyle w:val="VerbatimChar"/>
        </w:rPr>
        <w:t>unified-probabilistic-validation.streamlit.app</w:t>
      </w:r>
      <w:r>
        <w:t>): a production-grade browser interface that accepts a forecast CSV upload and executes the core pipeline (DataContract → Adapter_PointForecast → BuildDist_FromResiduals → Diagnostics_Input → DecisionEngine → NarrativeGenerator) directly, without requiring local installation or Python knowledge. Results are displayed with colour-coded governance labels, metric cards, Anfuso backtest table, AI narratives (technical and plain language tabs), decision provenance, and a downloadable ZIP of all artifacts. The application enforces a 50,000-row limit for cloud deployment and falls back to stub narratives if no API key is configured.</w:t>
      </w:r>
    </w:p>
    <w:p w14:paraId="5D041010" w14:textId="77777777" w:rsidR="00842324" w:rsidRDefault="00000000">
      <w:pPr>
        <w:pStyle w:val="BodyText"/>
      </w:pPr>
      <w:r>
        <w:rPr>
          <w:b/>
          <w:bCs/>
        </w:rPr>
        <w:t>SKILL.md documentation</w:t>
      </w:r>
      <w:r>
        <w:t xml:space="preserve"> (</w:t>
      </w:r>
      <w:r>
        <w:rPr>
          <w:rStyle w:val="VerbatimChar"/>
        </w:rPr>
        <w:t>skills/upv/SKILL.md</w:t>
      </w:r>
      <w:r>
        <w:t>): a machine-readable skill file that documents the full framework architecture, pipeline stages, component map, CSV format requirements, governance interpretation guide, and step-by-step instructions for adding new commodity classes. This enables AI-assisted orchestration: a new analyst can ingest the skill file and receive guided instructions for extending the framework to additional commodities without modifying core source code.</w:t>
      </w:r>
    </w:p>
    <w:p w14:paraId="5D041011" w14:textId="77777777" w:rsidR="00842324" w:rsidRDefault="00000000">
      <w:pPr>
        <w:pStyle w:val="Heading1"/>
      </w:pPr>
      <w:bookmarkStart w:id="71" w:name="results"/>
      <w:bookmarkStart w:id="72" w:name="_Toc225682082"/>
      <w:bookmarkEnd w:id="22"/>
      <w:bookmarkEnd w:id="59"/>
      <w:bookmarkEnd w:id="70"/>
      <w:r>
        <w:t>Results</w:t>
      </w:r>
      <w:bookmarkEnd w:id="72"/>
    </w:p>
    <w:p w14:paraId="5D041012" w14:textId="77777777" w:rsidR="00842324" w:rsidRDefault="00000000">
      <w:pPr>
        <w:pStyle w:val="Heading1"/>
      </w:pPr>
      <w:bookmarkStart w:id="73" w:name="results-1"/>
      <w:bookmarkStart w:id="74" w:name="_Toc225682083"/>
      <w:bookmarkEnd w:id="71"/>
      <w:r>
        <w:t>Results</w:t>
      </w:r>
      <w:bookmarkEnd w:id="74"/>
    </w:p>
    <w:p w14:paraId="5D041013" w14:textId="77777777" w:rsidR="00842324" w:rsidRDefault="00000000">
      <w:pPr>
        <w:pStyle w:val="FirstParagraph"/>
      </w:pPr>
      <w:r>
        <w:t>This chapter reports empirical results across all four model classes evaluated in the unified probabilistic validation framework. Results are organised by dataset: ENTSO-E short-term electricity load forecasting (run_001), long-term PV generation (run_002), long-term wind generation (run_003), the synthetic simulation positive control and misspecification scenarios (run_004, run_004b), three extended simulation commodity classes — electricity price, natural gas, and carbon (run_011, run_012, run_013) — a joint multivariate dependency analysis of PV and wind (run_005), and two additional ENTSO-E renewable generation datasets for Germany 2020–2026: onshore wind (run_009) and solar PV (run_010).</w:t>
      </w:r>
    </w:p>
    <w:p w14:paraId="5D041014" w14:textId="77777777" w:rsidR="00842324" w:rsidRDefault="00000000">
      <w:r>
        <w:pict w14:anchorId="5D0415DA">
          <v:rect id="_x0000_i1038" style="width:0;height:1.5pt" o:hralign="center" o:hrstd="t" o:hr="t"/>
        </w:pict>
      </w:r>
    </w:p>
    <w:p w14:paraId="5D041015" w14:textId="77777777" w:rsidR="00842324" w:rsidRDefault="00000000">
      <w:pPr>
        <w:pStyle w:val="Heading2"/>
      </w:pPr>
      <w:bookmarkStart w:id="75" w:name="X249ef40def75a90506aa5ea05981d5faea5b171"/>
      <w:bookmarkStart w:id="76" w:name="_Toc225682084"/>
      <w:r>
        <w:lastRenderedPageBreak/>
        <w:t>1. ENTSO-E Short-Term Electricity Load Forecasting (run_001)</w:t>
      </w:r>
      <w:bookmarkEnd w:id="76"/>
    </w:p>
    <w:p w14:paraId="5D041016" w14:textId="77777777" w:rsidR="00842324" w:rsidRDefault="00000000">
      <w:pPr>
        <w:pStyle w:val="FirstParagraph"/>
      </w:pPr>
      <w:r>
        <w:rPr>
          <w:b/>
          <w:bCs/>
        </w:rPr>
        <w:t>Dataset:</w:t>
      </w:r>
      <w:r>
        <w:t xml:space="preserve"> Full ENTSO-E electricity load series, quarter-hourly resolution. </w:t>
      </w:r>
      <w:r>
        <w:rPr>
          <w:b/>
          <w:bCs/>
        </w:rPr>
        <w:t>Evaluable observations:</w:t>
      </w:r>
      <w:r>
        <w:t xml:space="preserve"> n = 209,555 (200 NaN observations removed). </w:t>
      </w:r>
      <w:r>
        <w:rPr>
          <w:b/>
          <w:bCs/>
        </w:rPr>
        <w:t>Nominal level:</w:t>
      </w:r>
      <w:r>
        <w:t xml:space="preserve"> α = 0.1 (90% central interval). </w:t>
      </w:r>
      <w:r>
        <w:rPr>
          <w:b/>
          <w:bCs/>
        </w:rPr>
        <w:t>Base interval construction:</w:t>
      </w:r>
      <w:r>
        <w:t xml:space="preserve"> Rolling empirical residual quantiles with 4-bucket time-of-day conditioning (night/morning/afternoon/evening), Wb = 40 bucket-specific observations, Wg = 672 global observations (7 days).</w:t>
      </w:r>
    </w:p>
    <w:p w14:paraId="5D041017" w14:textId="77777777" w:rsidR="00842324" w:rsidRDefault="00000000">
      <w:r>
        <w:pict w14:anchorId="5D0415DB">
          <v:rect id="_x0000_i1039" style="width:0;height:1.5pt" o:hralign="center" o:hrstd="t" o:hr="t"/>
        </w:pict>
      </w:r>
    </w:p>
    <w:p w14:paraId="5D041018" w14:textId="77777777" w:rsidR="00842324" w:rsidRDefault="00000000">
      <w:pPr>
        <w:pStyle w:val="Heading3"/>
      </w:pPr>
      <w:bookmarkStart w:id="77" w:name="Xf1fbfd7a2720cee88c4c6ca0cb4cf4dae213ffa"/>
      <w:r>
        <w:t>1.1 Interval Backtesting (Anfuso Traffic-Light Framework)</w:t>
      </w:r>
    </w:p>
    <w:tbl>
      <w:tblPr>
        <w:tblStyle w:val="Table"/>
        <w:tblW w:w="0" w:type="auto"/>
        <w:tblLook w:val="0020" w:firstRow="1" w:lastRow="0" w:firstColumn="0" w:lastColumn="0" w:noHBand="0" w:noVBand="0"/>
      </w:tblPr>
      <w:tblGrid>
        <w:gridCol w:w="1456"/>
        <w:gridCol w:w="1480"/>
        <w:gridCol w:w="2439"/>
        <w:gridCol w:w="1419"/>
      </w:tblGrid>
      <w:tr w:rsidR="00842324" w14:paraId="5D04101D"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19" w14:textId="77777777" w:rsidR="00842324" w:rsidRDefault="00000000">
            <w:pPr>
              <w:pStyle w:val="Compact"/>
            </w:pPr>
            <w:r>
              <w:t>Component</w:t>
            </w:r>
          </w:p>
        </w:tc>
        <w:tc>
          <w:tcPr>
            <w:tcW w:w="0" w:type="auto"/>
          </w:tcPr>
          <w:p w14:paraId="5D04101A" w14:textId="77777777" w:rsidR="00842324" w:rsidRDefault="00000000">
            <w:pPr>
              <w:pStyle w:val="Compact"/>
            </w:pPr>
            <w:r>
              <w:t>Breach Rate</w:t>
            </w:r>
          </w:p>
        </w:tc>
        <w:tc>
          <w:tcPr>
            <w:tcW w:w="0" w:type="auto"/>
          </w:tcPr>
          <w:p w14:paraId="5D04101B" w14:textId="77777777" w:rsidR="00842324" w:rsidRDefault="00000000">
            <w:pPr>
              <w:pStyle w:val="Compact"/>
            </w:pPr>
            <w:r>
              <w:t>p-value (exceedance)</w:t>
            </w:r>
          </w:p>
        </w:tc>
        <w:tc>
          <w:tcPr>
            <w:tcW w:w="0" w:type="auto"/>
          </w:tcPr>
          <w:p w14:paraId="5D04101C" w14:textId="77777777" w:rsidR="00842324" w:rsidRDefault="00000000">
            <w:pPr>
              <w:pStyle w:val="Compact"/>
            </w:pPr>
            <w:r>
              <w:t>Traffic Light</w:t>
            </w:r>
          </w:p>
        </w:tc>
      </w:tr>
      <w:tr w:rsidR="00842324" w14:paraId="5D041022" w14:textId="77777777">
        <w:tc>
          <w:tcPr>
            <w:tcW w:w="0" w:type="auto"/>
          </w:tcPr>
          <w:p w14:paraId="5D04101E" w14:textId="77777777" w:rsidR="00842324" w:rsidRDefault="00000000">
            <w:pPr>
              <w:pStyle w:val="Compact"/>
            </w:pPr>
            <w:r>
              <w:t>Lower tail</w:t>
            </w:r>
          </w:p>
        </w:tc>
        <w:tc>
          <w:tcPr>
            <w:tcW w:w="0" w:type="auto"/>
          </w:tcPr>
          <w:p w14:paraId="5D04101F" w14:textId="77777777" w:rsidR="00842324" w:rsidRDefault="00000000">
            <w:pPr>
              <w:pStyle w:val="Compact"/>
            </w:pPr>
            <w:r>
              <w:t>6.66%</w:t>
            </w:r>
          </w:p>
        </w:tc>
        <w:tc>
          <w:tcPr>
            <w:tcW w:w="0" w:type="auto"/>
          </w:tcPr>
          <w:p w14:paraId="5D041020" w14:textId="77777777" w:rsidR="00842324" w:rsidRDefault="00000000">
            <w:pPr>
              <w:pStyle w:val="Compact"/>
            </w:pPr>
            <w:r>
              <w:t>≈ 1.17 × 10⁻²⁴¹</w:t>
            </w:r>
          </w:p>
        </w:tc>
        <w:tc>
          <w:tcPr>
            <w:tcW w:w="0" w:type="auto"/>
          </w:tcPr>
          <w:p w14:paraId="5D041021" w14:textId="77777777" w:rsidR="00842324" w:rsidRDefault="00000000">
            <w:pPr>
              <w:pStyle w:val="Compact"/>
            </w:pPr>
            <w:r>
              <w:t>RED</w:t>
            </w:r>
          </w:p>
        </w:tc>
      </w:tr>
      <w:tr w:rsidR="00842324" w14:paraId="5D041027" w14:textId="77777777">
        <w:tc>
          <w:tcPr>
            <w:tcW w:w="0" w:type="auto"/>
          </w:tcPr>
          <w:p w14:paraId="5D041023" w14:textId="77777777" w:rsidR="00842324" w:rsidRDefault="00000000">
            <w:pPr>
              <w:pStyle w:val="Compact"/>
            </w:pPr>
            <w:r>
              <w:t>Upper tail</w:t>
            </w:r>
          </w:p>
        </w:tc>
        <w:tc>
          <w:tcPr>
            <w:tcW w:w="0" w:type="auto"/>
          </w:tcPr>
          <w:p w14:paraId="5D041024" w14:textId="77777777" w:rsidR="00842324" w:rsidRDefault="00000000">
            <w:pPr>
              <w:pStyle w:val="Compact"/>
            </w:pPr>
            <w:r>
              <w:t>6.28%</w:t>
            </w:r>
          </w:p>
        </w:tc>
        <w:tc>
          <w:tcPr>
            <w:tcW w:w="0" w:type="auto"/>
          </w:tcPr>
          <w:p w14:paraId="5D041025" w14:textId="77777777" w:rsidR="00842324" w:rsidRDefault="00000000">
            <w:pPr>
              <w:pStyle w:val="Compact"/>
            </w:pPr>
            <w:r>
              <w:t>≈ 2.17 × 10⁻¹⁴⁸</w:t>
            </w:r>
          </w:p>
        </w:tc>
        <w:tc>
          <w:tcPr>
            <w:tcW w:w="0" w:type="auto"/>
          </w:tcPr>
          <w:p w14:paraId="5D041026" w14:textId="77777777" w:rsidR="00842324" w:rsidRDefault="00000000">
            <w:pPr>
              <w:pStyle w:val="Compact"/>
            </w:pPr>
            <w:r>
              <w:t>RED</w:t>
            </w:r>
          </w:p>
        </w:tc>
      </w:tr>
      <w:tr w:rsidR="00842324" w14:paraId="5D04102C" w14:textId="77777777">
        <w:tc>
          <w:tcPr>
            <w:tcW w:w="0" w:type="auto"/>
          </w:tcPr>
          <w:p w14:paraId="5D041028" w14:textId="77777777" w:rsidR="00842324" w:rsidRDefault="00000000">
            <w:pPr>
              <w:pStyle w:val="Compact"/>
            </w:pPr>
            <w:r>
              <w:t>Total</w:t>
            </w:r>
          </w:p>
        </w:tc>
        <w:tc>
          <w:tcPr>
            <w:tcW w:w="0" w:type="auto"/>
          </w:tcPr>
          <w:p w14:paraId="5D041029" w14:textId="77777777" w:rsidR="00842324" w:rsidRDefault="00000000">
            <w:pPr>
              <w:pStyle w:val="Compact"/>
            </w:pPr>
            <w:r>
              <w:t>12.94%</w:t>
            </w:r>
          </w:p>
        </w:tc>
        <w:tc>
          <w:tcPr>
            <w:tcW w:w="0" w:type="auto"/>
          </w:tcPr>
          <w:p w14:paraId="5D04102A" w14:textId="77777777" w:rsidR="00842324" w:rsidRDefault="00000000">
            <w:pPr>
              <w:pStyle w:val="Compact"/>
            </w:pPr>
            <w:r>
              <w:t>≈ 0 (machine ε)</w:t>
            </w:r>
          </w:p>
        </w:tc>
        <w:tc>
          <w:tcPr>
            <w:tcW w:w="0" w:type="auto"/>
          </w:tcPr>
          <w:p w14:paraId="5D04102B" w14:textId="77777777" w:rsidR="00842324" w:rsidRDefault="00000000">
            <w:pPr>
              <w:pStyle w:val="Compact"/>
            </w:pPr>
            <w:r>
              <w:t>RED</w:t>
            </w:r>
          </w:p>
        </w:tc>
      </w:tr>
    </w:tbl>
    <w:p w14:paraId="5D04102D" w14:textId="77777777" w:rsidR="00842324" w:rsidRDefault="00000000">
      <w:pPr>
        <w:pStyle w:val="BodyText"/>
      </w:pPr>
      <w:r>
        <w:t>Nominal expected breach rates: 5% per tail, 10% total.</w:t>
      </w:r>
    </w:p>
    <w:p w14:paraId="5D04102E" w14:textId="77777777" w:rsidR="00842324" w:rsidRDefault="00000000">
      <w:pPr>
        <w:pStyle w:val="BodyText"/>
      </w:pPr>
      <w:r>
        <w:t>Both tails breach significantly above their nominal rates. The rolling empirical reconstruction (replacing the earlier global-quantile placeholder) correctly captures the asymmetric residual structure; the resulting intervals are systematically too narrow, producing bilateral over-breaching. Total breach rate of 12.94% represents a 2.94 percentage point excess over the nominal 10% target, confirmed as statistically extreme under the binomial test.</w:t>
      </w:r>
    </w:p>
    <w:p w14:paraId="5D04102F" w14:textId="77777777" w:rsidR="00842324" w:rsidRDefault="00000000">
      <w:r>
        <w:pict w14:anchorId="5D0415DC">
          <v:rect id="_x0000_i1040" style="width:0;height:1.5pt" o:hralign="center" o:hrstd="t" o:hr="t"/>
        </w:pict>
      </w:r>
    </w:p>
    <w:p w14:paraId="5D041030" w14:textId="77777777" w:rsidR="00842324" w:rsidRDefault="00000000">
      <w:pPr>
        <w:pStyle w:val="Heading3"/>
      </w:pPr>
      <w:bookmarkStart w:id="78" w:name="distributional-diagnostics-pit-based"/>
      <w:bookmarkEnd w:id="77"/>
      <w:r>
        <w:t>1.2 Distributional Diagnostics (PIT-Based)</w:t>
      </w:r>
    </w:p>
    <w:p w14:paraId="5D041031" w14:textId="77777777" w:rsidR="00842324" w:rsidRDefault="00000000">
      <w:pPr>
        <w:pStyle w:val="Heading4"/>
      </w:pPr>
      <w:bookmarkStart w:id="79" w:name="uniformity-tests"/>
      <w:r>
        <w:t>Uniformity Tests</w:t>
      </w:r>
    </w:p>
    <w:tbl>
      <w:tblPr>
        <w:tblStyle w:val="Table"/>
        <w:tblW w:w="0" w:type="auto"/>
        <w:tblLook w:val="0020" w:firstRow="1" w:lastRow="0" w:firstColumn="0" w:lastColumn="0" w:noHBand="0" w:noVBand="0"/>
      </w:tblPr>
      <w:tblGrid>
        <w:gridCol w:w="2417"/>
        <w:gridCol w:w="1123"/>
        <w:gridCol w:w="1960"/>
      </w:tblGrid>
      <w:tr w:rsidR="00842324" w14:paraId="5D041035"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32" w14:textId="77777777" w:rsidR="00842324" w:rsidRDefault="00000000">
            <w:pPr>
              <w:pStyle w:val="Compact"/>
            </w:pPr>
            <w:r>
              <w:t>Test</w:t>
            </w:r>
          </w:p>
        </w:tc>
        <w:tc>
          <w:tcPr>
            <w:tcW w:w="0" w:type="auto"/>
          </w:tcPr>
          <w:p w14:paraId="5D041033" w14:textId="77777777" w:rsidR="00842324" w:rsidRDefault="00000000">
            <w:pPr>
              <w:pStyle w:val="Compact"/>
            </w:pPr>
            <w:r>
              <w:t>Statistic</w:t>
            </w:r>
          </w:p>
        </w:tc>
        <w:tc>
          <w:tcPr>
            <w:tcW w:w="0" w:type="auto"/>
          </w:tcPr>
          <w:p w14:paraId="5D041034" w14:textId="77777777" w:rsidR="00842324" w:rsidRDefault="00000000">
            <w:pPr>
              <w:pStyle w:val="Compact"/>
            </w:pPr>
            <w:r>
              <w:t>p-value</w:t>
            </w:r>
          </w:p>
        </w:tc>
      </w:tr>
      <w:tr w:rsidR="00842324" w14:paraId="5D041039" w14:textId="77777777">
        <w:tc>
          <w:tcPr>
            <w:tcW w:w="0" w:type="auto"/>
          </w:tcPr>
          <w:p w14:paraId="5D041036" w14:textId="77777777" w:rsidR="00842324" w:rsidRDefault="00000000">
            <w:pPr>
              <w:pStyle w:val="Compact"/>
            </w:pPr>
            <w:r>
              <w:t>Kolmogorov–Smirnov</w:t>
            </w:r>
          </w:p>
        </w:tc>
        <w:tc>
          <w:tcPr>
            <w:tcW w:w="0" w:type="auto"/>
          </w:tcPr>
          <w:p w14:paraId="5D041037" w14:textId="77777777" w:rsidR="00842324" w:rsidRDefault="00000000">
            <w:pPr>
              <w:pStyle w:val="Compact"/>
            </w:pPr>
            <w:r>
              <w:t>0.1615</w:t>
            </w:r>
          </w:p>
        </w:tc>
        <w:tc>
          <w:tcPr>
            <w:tcW w:w="0" w:type="auto"/>
          </w:tcPr>
          <w:p w14:paraId="5D041038" w14:textId="77777777" w:rsidR="00842324" w:rsidRDefault="00000000">
            <w:pPr>
              <w:pStyle w:val="Compact"/>
            </w:pPr>
            <w:r>
              <w:t>≈ 0</w:t>
            </w:r>
          </w:p>
        </w:tc>
      </w:tr>
      <w:tr w:rsidR="00842324" w14:paraId="5D04103D" w14:textId="77777777">
        <w:tc>
          <w:tcPr>
            <w:tcW w:w="0" w:type="auto"/>
          </w:tcPr>
          <w:p w14:paraId="5D04103A" w14:textId="77777777" w:rsidR="00842324" w:rsidRDefault="00000000">
            <w:pPr>
              <w:pStyle w:val="Compact"/>
            </w:pPr>
            <w:r>
              <w:t>Cramér–von Mises</w:t>
            </w:r>
          </w:p>
        </w:tc>
        <w:tc>
          <w:tcPr>
            <w:tcW w:w="0" w:type="auto"/>
          </w:tcPr>
          <w:p w14:paraId="5D04103B" w14:textId="77777777" w:rsidR="00842324" w:rsidRDefault="00000000">
            <w:pPr>
              <w:pStyle w:val="Compact"/>
            </w:pPr>
            <w:r>
              <w:t>2,032.08</w:t>
            </w:r>
          </w:p>
        </w:tc>
        <w:tc>
          <w:tcPr>
            <w:tcW w:w="0" w:type="auto"/>
          </w:tcPr>
          <w:p w14:paraId="5D04103C" w14:textId="77777777" w:rsidR="00842324" w:rsidRDefault="00000000">
            <w:pPr>
              <w:pStyle w:val="Compact"/>
            </w:pPr>
            <w:r>
              <w:t>≈ 3.85 × 10⁻⁷</w:t>
            </w:r>
          </w:p>
        </w:tc>
      </w:tr>
      <w:tr w:rsidR="00842324" w14:paraId="5D041041" w14:textId="77777777">
        <w:tc>
          <w:tcPr>
            <w:tcW w:w="0" w:type="auto"/>
          </w:tcPr>
          <w:p w14:paraId="5D04103E" w14:textId="77777777" w:rsidR="00842324" w:rsidRDefault="00000000">
            <w:pPr>
              <w:pStyle w:val="Compact"/>
            </w:pPr>
            <w:r>
              <w:t>Anderson–Darling</w:t>
            </w:r>
          </w:p>
        </w:tc>
        <w:tc>
          <w:tcPr>
            <w:tcW w:w="0" w:type="auto"/>
          </w:tcPr>
          <w:p w14:paraId="5D04103F" w14:textId="77777777" w:rsidR="00842324" w:rsidRDefault="00000000">
            <w:pPr>
              <w:pStyle w:val="Compact"/>
            </w:pPr>
            <w:r>
              <w:t>6,136.34</w:t>
            </w:r>
          </w:p>
        </w:tc>
        <w:tc>
          <w:tcPr>
            <w:tcW w:w="0" w:type="auto"/>
          </w:tcPr>
          <w:p w14:paraId="5D041040" w14:textId="77777777" w:rsidR="00842324" w:rsidRDefault="00000000">
            <w:pPr>
              <w:pStyle w:val="Compact"/>
            </w:pPr>
            <w:r>
              <w:t>&gt;&gt; critical values</w:t>
            </w:r>
          </w:p>
        </w:tc>
      </w:tr>
    </w:tbl>
    <w:p w14:paraId="5D041042" w14:textId="77777777" w:rsidR="00842324" w:rsidRDefault="00000000">
      <w:pPr>
        <w:pStyle w:val="BodyText"/>
      </w:pPr>
      <w:r>
        <w:t>All uniformity tests strongly reject the null hypothesis of U(0,1) PIT scores at all conventional significance levels.</w:t>
      </w:r>
    </w:p>
    <w:p w14:paraId="5D041043" w14:textId="77777777" w:rsidR="00842324" w:rsidRDefault="00000000">
      <w:pPr>
        <w:pStyle w:val="Heading4"/>
      </w:pPr>
      <w:bookmarkStart w:id="80" w:name="independence-tests-ljungbox-on-z-φ¹u"/>
      <w:bookmarkEnd w:id="79"/>
      <w:r>
        <w:t>Independence Tests (Ljung–Box on z = Φ⁻¹(u))</w:t>
      </w:r>
    </w:p>
    <w:tbl>
      <w:tblPr>
        <w:tblStyle w:val="Table"/>
        <w:tblW w:w="0" w:type="auto"/>
        <w:tblLook w:val="0020" w:firstRow="1" w:lastRow="0" w:firstColumn="0" w:lastColumn="0" w:noHBand="0" w:noVBand="0"/>
      </w:tblPr>
      <w:tblGrid>
        <w:gridCol w:w="580"/>
        <w:gridCol w:w="1251"/>
        <w:gridCol w:w="992"/>
      </w:tblGrid>
      <w:tr w:rsidR="00842324" w14:paraId="5D041047"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44" w14:textId="77777777" w:rsidR="00842324" w:rsidRDefault="00000000">
            <w:pPr>
              <w:pStyle w:val="Compact"/>
            </w:pPr>
            <w:r>
              <w:t>Lag</w:t>
            </w:r>
          </w:p>
        </w:tc>
        <w:tc>
          <w:tcPr>
            <w:tcW w:w="0" w:type="auto"/>
          </w:tcPr>
          <w:p w14:paraId="5D041045" w14:textId="77777777" w:rsidR="00842324" w:rsidRDefault="00000000">
            <w:pPr>
              <w:pStyle w:val="Compact"/>
            </w:pPr>
            <w:r>
              <w:t>Statistic</w:t>
            </w:r>
          </w:p>
        </w:tc>
        <w:tc>
          <w:tcPr>
            <w:tcW w:w="0" w:type="auto"/>
          </w:tcPr>
          <w:p w14:paraId="5D041046" w14:textId="77777777" w:rsidR="00842324" w:rsidRDefault="00000000">
            <w:pPr>
              <w:pStyle w:val="Compact"/>
            </w:pPr>
            <w:r>
              <w:t>p-value</w:t>
            </w:r>
          </w:p>
        </w:tc>
      </w:tr>
      <w:tr w:rsidR="00842324" w14:paraId="5D04104B" w14:textId="77777777">
        <w:tc>
          <w:tcPr>
            <w:tcW w:w="0" w:type="auto"/>
          </w:tcPr>
          <w:p w14:paraId="5D041048" w14:textId="77777777" w:rsidR="00842324" w:rsidRDefault="00000000">
            <w:pPr>
              <w:pStyle w:val="Compact"/>
            </w:pPr>
            <w:r>
              <w:t>5</w:t>
            </w:r>
          </w:p>
        </w:tc>
        <w:tc>
          <w:tcPr>
            <w:tcW w:w="0" w:type="auto"/>
          </w:tcPr>
          <w:p w14:paraId="5D041049" w14:textId="77777777" w:rsidR="00842324" w:rsidRDefault="00000000">
            <w:pPr>
              <w:pStyle w:val="Compact"/>
            </w:pPr>
            <w:r>
              <w:t>846,049</w:t>
            </w:r>
          </w:p>
        </w:tc>
        <w:tc>
          <w:tcPr>
            <w:tcW w:w="0" w:type="auto"/>
          </w:tcPr>
          <w:p w14:paraId="5D04104A" w14:textId="77777777" w:rsidR="00842324" w:rsidRDefault="00000000">
            <w:pPr>
              <w:pStyle w:val="Compact"/>
            </w:pPr>
            <w:r>
              <w:t>≈ 0</w:t>
            </w:r>
          </w:p>
        </w:tc>
      </w:tr>
      <w:tr w:rsidR="00842324" w14:paraId="5D04104F" w14:textId="77777777">
        <w:tc>
          <w:tcPr>
            <w:tcW w:w="0" w:type="auto"/>
          </w:tcPr>
          <w:p w14:paraId="5D04104C" w14:textId="77777777" w:rsidR="00842324" w:rsidRDefault="00000000">
            <w:pPr>
              <w:pStyle w:val="Compact"/>
            </w:pPr>
            <w:r>
              <w:t>10</w:t>
            </w:r>
          </w:p>
        </w:tc>
        <w:tc>
          <w:tcPr>
            <w:tcW w:w="0" w:type="auto"/>
          </w:tcPr>
          <w:p w14:paraId="5D04104D" w14:textId="77777777" w:rsidR="00842324" w:rsidRDefault="00000000">
            <w:pPr>
              <w:pStyle w:val="Compact"/>
            </w:pPr>
            <w:r>
              <w:t>1,563,119</w:t>
            </w:r>
          </w:p>
        </w:tc>
        <w:tc>
          <w:tcPr>
            <w:tcW w:w="0" w:type="auto"/>
          </w:tcPr>
          <w:p w14:paraId="5D04104E" w14:textId="77777777" w:rsidR="00842324" w:rsidRDefault="00000000">
            <w:pPr>
              <w:pStyle w:val="Compact"/>
            </w:pPr>
            <w:r>
              <w:t>≈ 0</w:t>
            </w:r>
          </w:p>
        </w:tc>
      </w:tr>
      <w:tr w:rsidR="00842324" w14:paraId="5D041053" w14:textId="77777777">
        <w:tc>
          <w:tcPr>
            <w:tcW w:w="0" w:type="auto"/>
          </w:tcPr>
          <w:p w14:paraId="5D041050" w14:textId="77777777" w:rsidR="00842324" w:rsidRDefault="00000000">
            <w:pPr>
              <w:pStyle w:val="Compact"/>
            </w:pPr>
            <w:r>
              <w:t>20</w:t>
            </w:r>
          </w:p>
        </w:tc>
        <w:tc>
          <w:tcPr>
            <w:tcW w:w="0" w:type="auto"/>
          </w:tcPr>
          <w:p w14:paraId="5D041051" w14:textId="77777777" w:rsidR="00842324" w:rsidRDefault="00000000">
            <w:pPr>
              <w:pStyle w:val="Compact"/>
            </w:pPr>
            <w:r>
              <w:t>2,699,489</w:t>
            </w:r>
          </w:p>
        </w:tc>
        <w:tc>
          <w:tcPr>
            <w:tcW w:w="0" w:type="auto"/>
          </w:tcPr>
          <w:p w14:paraId="5D041052" w14:textId="77777777" w:rsidR="00842324" w:rsidRDefault="00000000">
            <w:pPr>
              <w:pStyle w:val="Compact"/>
            </w:pPr>
            <w:r>
              <w:t>≈ 0</w:t>
            </w:r>
          </w:p>
        </w:tc>
      </w:tr>
    </w:tbl>
    <w:p w14:paraId="5D041054" w14:textId="77777777" w:rsidR="00842324" w:rsidRDefault="00000000">
      <w:pPr>
        <w:pStyle w:val="BodyText"/>
      </w:pPr>
      <w:r>
        <w:lastRenderedPageBreak/>
        <w:t>Serial independence is overwhelmingly rejected at all lags. The magnitude of the statistics — several orders above chi-squared critical values — indicates severe autocorrelation in the probability integral transforms, consistent with the model failing to capture persistent temporal structure in electricity load.</w:t>
      </w:r>
    </w:p>
    <w:p w14:paraId="5D041055" w14:textId="77777777" w:rsidR="00842324" w:rsidRDefault="00000000">
      <w:pPr>
        <w:pStyle w:val="CaptionedFigure"/>
      </w:pPr>
      <w:r>
        <w:rPr>
          <w:noProof/>
        </w:rPr>
        <w:drawing>
          <wp:inline distT="0" distB="0" distL="0" distR="0" wp14:anchorId="5D0415DD" wp14:editId="5D0415DE">
            <wp:extent cx="5334000" cy="1385062"/>
            <wp:effectExtent l="0" t="0" r="0" b="0"/>
            <wp:docPr id="63" name="Picture" descr="PIT diagnostic plots for ENTSO-E electricity load (n=209,555). Left to right: PIT histogram vs Uniform(0,1); ACF of Φ⁻¹(u) showing severe lag-1 autocorrelation (ACF=0.926); time series of PIT values; Q-Q plot against Uniform. All four panels indicate systematic distributional failure."/>
            <wp:cNvGraphicFramePr/>
            <a:graphic xmlns:a="http://schemas.openxmlformats.org/drawingml/2006/main">
              <a:graphicData uri="http://schemas.openxmlformats.org/drawingml/2006/picture">
                <pic:pic xmlns:pic="http://schemas.openxmlformats.org/drawingml/2006/picture">
                  <pic:nvPicPr>
                    <pic:cNvPr id="64" name="Picture" descr="figures/pit_diagnostics_entsoe.png"/>
                    <pic:cNvPicPr>
                      <a:picLocks noChangeAspect="1" noChangeArrowheads="1"/>
                    </pic:cNvPicPr>
                  </pic:nvPicPr>
                  <pic:blipFill>
                    <a:blip r:embed="rId5"/>
                    <a:stretch>
                      <a:fillRect/>
                    </a:stretch>
                  </pic:blipFill>
                  <pic:spPr bwMode="auto">
                    <a:xfrm>
                      <a:off x="0" y="0"/>
                      <a:ext cx="5334000" cy="1385062"/>
                    </a:xfrm>
                    <a:prstGeom prst="rect">
                      <a:avLst/>
                    </a:prstGeom>
                    <a:noFill/>
                    <a:ln w="9525">
                      <a:noFill/>
                      <a:headEnd/>
                      <a:tailEnd/>
                    </a:ln>
                  </pic:spPr>
                </pic:pic>
              </a:graphicData>
            </a:graphic>
          </wp:inline>
        </w:drawing>
      </w:r>
    </w:p>
    <w:p w14:paraId="5D041056" w14:textId="77777777" w:rsidR="00842324" w:rsidRDefault="00000000">
      <w:pPr>
        <w:pStyle w:val="ImageCaption"/>
      </w:pPr>
      <w:r>
        <w:t>PIT diagnostic plots for ENTSO-E electricity load (n=209,555). Left to right: PIT histogram vs Uniform(0,1); ACF of Φ⁻¹(u) showing severe lag-1 autocorrelation (ACF=0.926); time series of PIT values; Q-Q plot against Uniform. All four panels indicate systematic distributional failure.</w:t>
      </w:r>
    </w:p>
    <w:p w14:paraId="5D041057" w14:textId="77777777" w:rsidR="00842324" w:rsidRDefault="00000000">
      <w:r>
        <w:pict w14:anchorId="5D0415DF">
          <v:rect id="_x0000_i1041" style="width:0;height:1.5pt" o:hralign="center" o:hrstd="t" o:hr="t"/>
        </w:pict>
      </w:r>
    </w:p>
    <w:p w14:paraId="5D041058" w14:textId="77777777" w:rsidR="00842324" w:rsidRDefault="00000000">
      <w:pPr>
        <w:pStyle w:val="Heading3"/>
      </w:pPr>
      <w:bookmarkStart w:id="81" w:name="proper-scoring"/>
      <w:bookmarkEnd w:id="78"/>
      <w:bookmarkEnd w:id="80"/>
      <w:r>
        <w:t>1.3 Proper Scoring</w:t>
      </w:r>
    </w:p>
    <w:p w14:paraId="5D041059" w14:textId="77777777" w:rsidR="00842324" w:rsidRDefault="00000000">
      <w:pPr>
        <w:pStyle w:val="Compact"/>
        <w:numPr>
          <w:ilvl w:val="0"/>
          <w:numId w:val="17"/>
        </w:numPr>
      </w:pPr>
      <w:r>
        <w:t>Mean CRPS: 1,515.23</w:t>
      </w:r>
    </w:p>
    <w:p w14:paraId="5D04105A" w14:textId="77777777" w:rsidR="00842324" w:rsidRDefault="00000000">
      <w:pPr>
        <w:pStyle w:val="Compact"/>
        <w:numPr>
          <w:ilvl w:val="0"/>
          <w:numId w:val="17"/>
        </w:numPr>
      </w:pPr>
      <w:r>
        <w:t>Empirical coverage: 87.06%</w:t>
      </w:r>
    </w:p>
    <w:p w14:paraId="5D04105B" w14:textId="77777777" w:rsidR="00842324" w:rsidRDefault="00000000">
      <w:pPr>
        <w:pStyle w:val="Compact"/>
        <w:numPr>
          <w:ilvl w:val="0"/>
          <w:numId w:val="17"/>
        </w:numPr>
      </w:pPr>
      <w:r>
        <w:t>Coverage error: −2.94 pp</w:t>
      </w:r>
    </w:p>
    <w:p w14:paraId="5D04105C" w14:textId="77777777" w:rsidR="00842324" w:rsidRDefault="00000000">
      <w:pPr>
        <w:pStyle w:val="FirstParagraph"/>
      </w:pPr>
      <w:r>
        <w:t>The negative coverage error confirms that the base predictive intervals are too narrow on average. CRPS reflects the absolute forecast scale (electricity load in physical units); cross-asset CRPS comparisons should account for scale differences.</w:t>
      </w:r>
    </w:p>
    <w:p w14:paraId="5D04105D" w14:textId="77777777" w:rsidR="00842324" w:rsidRDefault="00000000">
      <w:r>
        <w:pict w14:anchorId="5D0415E0">
          <v:rect id="_x0000_i1042" style="width:0;height:1.5pt" o:hralign="center" o:hrstd="t" o:hr="t"/>
        </w:pict>
      </w:r>
    </w:p>
    <w:p w14:paraId="5D04105E" w14:textId="77777777" w:rsidR="00842324" w:rsidRDefault="00000000">
      <w:pPr>
        <w:pStyle w:val="Heading3"/>
      </w:pPr>
      <w:bookmarkStart w:id="82" w:name="governance-classification-1"/>
      <w:bookmarkEnd w:id="81"/>
      <w:r>
        <w:t>1.4 Governance Classification</w:t>
      </w:r>
    </w:p>
    <w:tbl>
      <w:tblPr>
        <w:tblStyle w:val="Table"/>
        <w:tblW w:w="0" w:type="auto"/>
        <w:tblLook w:val="0020" w:firstRow="1" w:lastRow="0" w:firstColumn="0" w:lastColumn="0" w:noHBand="0" w:noVBand="0"/>
      </w:tblPr>
      <w:tblGrid>
        <w:gridCol w:w="2398"/>
        <w:gridCol w:w="1913"/>
      </w:tblGrid>
      <w:tr w:rsidR="00842324" w14:paraId="5D041061"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5F" w14:textId="77777777" w:rsidR="00842324" w:rsidRDefault="00000000">
            <w:pPr>
              <w:pStyle w:val="Compact"/>
            </w:pPr>
            <w:r>
              <w:t>Criterion</w:t>
            </w:r>
          </w:p>
        </w:tc>
        <w:tc>
          <w:tcPr>
            <w:tcW w:w="0" w:type="auto"/>
          </w:tcPr>
          <w:p w14:paraId="5D041060" w14:textId="77777777" w:rsidR="00842324" w:rsidRDefault="00000000">
            <w:pPr>
              <w:pStyle w:val="Compact"/>
            </w:pPr>
            <w:r>
              <w:t>Status</w:t>
            </w:r>
          </w:p>
        </w:tc>
      </w:tr>
      <w:tr w:rsidR="00842324" w14:paraId="5D041064" w14:textId="77777777">
        <w:tc>
          <w:tcPr>
            <w:tcW w:w="0" w:type="auto"/>
          </w:tcPr>
          <w:p w14:paraId="5D041062" w14:textId="77777777" w:rsidR="00842324" w:rsidRDefault="00000000">
            <w:pPr>
              <w:pStyle w:val="Compact"/>
            </w:pPr>
            <w:r>
              <w:t>PIT uniformity</w:t>
            </w:r>
          </w:p>
        </w:tc>
        <w:tc>
          <w:tcPr>
            <w:tcW w:w="0" w:type="auto"/>
          </w:tcPr>
          <w:p w14:paraId="5D041063" w14:textId="77777777" w:rsidR="00842324" w:rsidRDefault="00000000">
            <w:pPr>
              <w:pStyle w:val="Compact"/>
            </w:pPr>
            <w:r>
              <w:t>FAIL</w:t>
            </w:r>
          </w:p>
        </w:tc>
      </w:tr>
      <w:tr w:rsidR="00842324" w14:paraId="5D041067" w14:textId="77777777">
        <w:tc>
          <w:tcPr>
            <w:tcW w:w="0" w:type="auto"/>
          </w:tcPr>
          <w:p w14:paraId="5D041065" w14:textId="77777777" w:rsidR="00842324" w:rsidRDefault="00000000">
            <w:pPr>
              <w:pStyle w:val="Compact"/>
            </w:pPr>
            <w:r>
              <w:t>PIT independence</w:t>
            </w:r>
          </w:p>
        </w:tc>
        <w:tc>
          <w:tcPr>
            <w:tcW w:w="0" w:type="auto"/>
          </w:tcPr>
          <w:p w14:paraId="5D041066" w14:textId="77777777" w:rsidR="00842324" w:rsidRDefault="00000000">
            <w:pPr>
              <w:pStyle w:val="Compact"/>
            </w:pPr>
            <w:r>
              <w:t>FAIL</w:t>
            </w:r>
          </w:p>
        </w:tc>
      </w:tr>
      <w:tr w:rsidR="00842324" w14:paraId="5D04106A" w14:textId="77777777">
        <w:tc>
          <w:tcPr>
            <w:tcW w:w="0" w:type="auto"/>
          </w:tcPr>
          <w:p w14:paraId="5D041068" w14:textId="77777777" w:rsidR="00842324" w:rsidRDefault="00000000">
            <w:pPr>
              <w:pStyle w:val="Compact"/>
            </w:pPr>
            <w:r>
              <w:t>Interval coverage</w:t>
            </w:r>
          </w:p>
        </w:tc>
        <w:tc>
          <w:tcPr>
            <w:tcW w:w="0" w:type="auto"/>
          </w:tcPr>
          <w:p w14:paraId="5D041069" w14:textId="77777777" w:rsidR="00842324" w:rsidRDefault="00000000">
            <w:pPr>
              <w:pStyle w:val="Compact"/>
            </w:pPr>
            <w:r>
              <w:t>−2.94 pp (under)</w:t>
            </w:r>
          </w:p>
        </w:tc>
      </w:tr>
      <w:tr w:rsidR="00842324" w14:paraId="5D04106D" w14:textId="77777777">
        <w:tc>
          <w:tcPr>
            <w:tcW w:w="0" w:type="auto"/>
          </w:tcPr>
          <w:p w14:paraId="5D04106B" w14:textId="77777777" w:rsidR="00842324" w:rsidRDefault="00000000">
            <w:pPr>
              <w:pStyle w:val="Compact"/>
            </w:pPr>
            <w:r>
              <w:t>Overall classification</w:t>
            </w:r>
          </w:p>
        </w:tc>
        <w:tc>
          <w:tcPr>
            <w:tcW w:w="0" w:type="auto"/>
          </w:tcPr>
          <w:p w14:paraId="5D04106C" w14:textId="77777777" w:rsidR="00842324" w:rsidRDefault="00000000">
            <w:pPr>
              <w:pStyle w:val="Compact"/>
            </w:pPr>
            <w:r>
              <w:rPr>
                <w:b/>
                <w:bCs/>
              </w:rPr>
              <w:t>RED</w:t>
            </w:r>
          </w:p>
        </w:tc>
      </w:tr>
    </w:tbl>
    <w:p w14:paraId="5D04106E" w14:textId="77777777" w:rsidR="00842324" w:rsidRDefault="00000000">
      <w:pPr>
        <w:pStyle w:val="BodyText"/>
      </w:pPr>
      <w:r>
        <w:t>Risk reasons: uniformity strongly rejected (min p ≈ 0); independence strongly rejected (min Ljung–Box p ≈ 0).</w:t>
      </w:r>
    </w:p>
    <w:p w14:paraId="5D04106F" w14:textId="77777777" w:rsidR="00842324" w:rsidRDefault="00000000">
      <w:r>
        <w:pict w14:anchorId="5D0415E1">
          <v:rect id="_x0000_i1043" style="width:0;height:1.5pt" o:hralign="center" o:hrstd="t" o:hr="t"/>
        </w:pict>
      </w:r>
    </w:p>
    <w:p w14:paraId="5D041070" w14:textId="77777777" w:rsidR="00842324" w:rsidRDefault="00000000">
      <w:pPr>
        <w:pStyle w:val="Heading3"/>
      </w:pPr>
      <w:bookmarkStart w:id="83" w:name="rolling-evaluation-1"/>
      <w:bookmarkEnd w:id="82"/>
      <w:r>
        <w:lastRenderedPageBreak/>
        <w:t>1.5 Rolling Evaluation</w:t>
      </w:r>
    </w:p>
    <w:p w14:paraId="5D041071" w14:textId="77777777" w:rsidR="00842324" w:rsidRDefault="00000000">
      <w:pPr>
        <w:pStyle w:val="FirstParagraph"/>
      </w:pPr>
      <w:r>
        <w:t>Rolling diagnostics were conducted under non-overlapping (window = 250, step = 250) and overlapping (window = 250, step = 50) schemes. Across both specifications, PIT uniformity is frequently rejected, independence violations persist, and both tails breach above nominal rates recurrently. The consistency across specifications indicates that miscalibration is not localised to isolated regimes but is persistent across time.</w:t>
      </w:r>
    </w:p>
    <w:p w14:paraId="5D041072" w14:textId="77777777" w:rsidR="00842324" w:rsidRDefault="00000000">
      <w:r>
        <w:pict w14:anchorId="5D0415E2">
          <v:rect id="_x0000_i1044" style="width:0;height:1.5pt" o:hralign="center" o:hrstd="t" o:hr="t"/>
        </w:pict>
      </w:r>
    </w:p>
    <w:p w14:paraId="5D041073" w14:textId="77777777" w:rsidR="00842324" w:rsidRDefault="00000000">
      <w:pPr>
        <w:pStyle w:val="Heading2"/>
      </w:pPr>
      <w:bookmarkStart w:id="84" w:name="long-term-pv-generation-run_002"/>
      <w:bookmarkStart w:id="85" w:name="_Toc225682085"/>
      <w:bookmarkEnd w:id="75"/>
      <w:bookmarkEnd w:id="83"/>
      <w:r>
        <w:t>2. Long-Term PV Generation (run_002)</w:t>
      </w:r>
      <w:bookmarkEnd w:id="85"/>
    </w:p>
    <w:p w14:paraId="5D041074" w14:textId="77777777" w:rsidR="00842324" w:rsidRDefault="00000000">
      <w:pPr>
        <w:pStyle w:val="FirstParagraph"/>
      </w:pPr>
      <w:r>
        <w:rPr>
          <w:b/>
          <w:bCs/>
        </w:rPr>
        <w:t>Dataset:</w:t>
      </w:r>
      <w:r>
        <w:t xml:space="preserve"> pv_student.csv, hourly, 2013–2015. </w:t>
      </w:r>
      <w:r>
        <w:rPr>
          <w:b/>
          <w:bCs/>
        </w:rPr>
        <w:t>Evaluable observations:</w:t>
      </w:r>
      <w:r>
        <w:t xml:space="preserve"> n = 4,287 (daytime only; 10,036 nighttime rows excluded; 11,957 warmup rows consumed by rolling window). </w:t>
      </w:r>
      <w:r>
        <w:rPr>
          <w:b/>
          <w:bCs/>
        </w:rPr>
        <w:t>Nominal level:</w:t>
      </w:r>
      <w:r>
        <w:t xml:space="preserve"> α = 0.1 (90% central interval). </w:t>
      </w:r>
      <w:r>
        <w:rPr>
          <w:b/>
          <w:bCs/>
        </w:rPr>
        <w:t>Base interval construction:</w:t>
      </w:r>
      <w:r>
        <w:t xml:space="preserve"> Rolling empirical residual quantiles, 24-bucket hour-of-day conditioning, W = 720 trailing same-hour observations (~30 days). Structural nighttime zeros (both Simulation and Actuals &lt; 10⁻⁹) excluded from calibration evaluation — consistent with standard industry practice.</w:t>
      </w:r>
    </w:p>
    <w:p w14:paraId="5D041075" w14:textId="77777777" w:rsidR="00842324" w:rsidRDefault="00000000">
      <w:r>
        <w:pict w14:anchorId="5D0415E3">
          <v:rect id="_x0000_i1045" style="width:0;height:1.5pt" o:hralign="center" o:hrstd="t" o:hr="t"/>
        </w:pict>
      </w:r>
    </w:p>
    <w:p w14:paraId="5D041076" w14:textId="77777777" w:rsidR="00842324" w:rsidRDefault="00000000">
      <w:pPr>
        <w:pStyle w:val="Heading3"/>
      </w:pPr>
      <w:bookmarkStart w:id="86" w:name="X33d93d85c20ca89614ffedddc88479de58e9648"/>
      <w:r>
        <w:t>2.1 Interval Backtesting (Anfuso Traffic-Light Framework)</w:t>
      </w:r>
    </w:p>
    <w:tbl>
      <w:tblPr>
        <w:tblStyle w:val="Table"/>
        <w:tblW w:w="0" w:type="auto"/>
        <w:tblLook w:val="0020" w:firstRow="1" w:lastRow="0" w:firstColumn="0" w:lastColumn="0" w:noHBand="0" w:noVBand="0"/>
      </w:tblPr>
      <w:tblGrid>
        <w:gridCol w:w="1456"/>
        <w:gridCol w:w="1480"/>
        <w:gridCol w:w="2439"/>
        <w:gridCol w:w="1419"/>
      </w:tblGrid>
      <w:tr w:rsidR="00842324" w14:paraId="5D04107B"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77" w14:textId="77777777" w:rsidR="00842324" w:rsidRDefault="00000000">
            <w:pPr>
              <w:pStyle w:val="Compact"/>
            </w:pPr>
            <w:r>
              <w:t>Component</w:t>
            </w:r>
          </w:p>
        </w:tc>
        <w:tc>
          <w:tcPr>
            <w:tcW w:w="0" w:type="auto"/>
          </w:tcPr>
          <w:p w14:paraId="5D041078" w14:textId="77777777" w:rsidR="00842324" w:rsidRDefault="00000000">
            <w:pPr>
              <w:pStyle w:val="Compact"/>
            </w:pPr>
            <w:r>
              <w:t>Breach Rate</w:t>
            </w:r>
          </w:p>
        </w:tc>
        <w:tc>
          <w:tcPr>
            <w:tcW w:w="0" w:type="auto"/>
          </w:tcPr>
          <w:p w14:paraId="5D041079" w14:textId="77777777" w:rsidR="00842324" w:rsidRDefault="00000000">
            <w:pPr>
              <w:pStyle w:val="Compact"/>
            </w:pPr>
            <w:r>
              <w:t>p-value (exceedance)</w:t>
            </w:r>
          </w:p>
        </w:tc>
        <w:tc>
          <w:tcPr>
            <w:tcW w:w="0" w:type="auto"/>
          </w:tcPr>
          <w:p w14:paraId="5D04107A" w14:textId="77777777" w:rsidR="00842324" w:rsidRDefault="00000000">
            <w:pPr>
              <w:pStyle w:val="Compact"/>
            </w:pPr>
            <w:r>
              <w:t>Traffic Light</w:t>
            </w:r>
          </w:p>
        </w:tc>
      </w:tr>
      <w:tr w:rsidR="00842324" w14:paraId="5D041080" w14:textId="77777777">
        <w:tc>
          <w:tcPr>
            <w:tcW w:w="0" w:type="auto"/>
          </w:tcPr>
          <w:p w14:paraId="5D04107C" w14:textId="77777777" w:rsidR="00842324" w:rsidRDefault="00000000">
            <w:pPr>
              <w:pStyle w:val="Compact"/>
            </w:pPr>
            <w:r>
              <w:t>Lower tail</w:t>
            </w:r>
          </w:p>
        </w:tc>
        <w:tc>
          <w:tcPr>
            <w:tcW w:w="0" w:type="auto"/>
          </w:tcPr>
          <w:p w14:paraId="5D04107D" w14:textId="77777777" w:rsidR="00842324" w:rsidRDefault="00000000">
            <w:pPr>
              <w:pStyle w:val="Compact"/>
            </w:pPr>
            <w:r>
              <w:t>3.64%</w:t>
            </w:r>
          </w:p>
        </w:tc>
        <w:tc>
          <w:tcPr>
            <w:tcW w:w="0" w:type="auto"/>
          </w:tcPr>
          <w:p w14:paraId="5D04107E" w14:textId="77777777" w:rsidR="00842324" w:rsidRDefault="00000000">
            <w:pPr>
              <w:pStyle w:val="Compact"/>
            </w:pPr>
            <w:r>
              <w:t>0.9999921</w:t>
            </w:r>
          </w:p>
        </w:tc>
        <w:tc>
          <w:tcPr>
            <w:tcW w:w="0" w:type="auto"/>
          </w:tcPr>
          <w:p w14:paraId="5D04107F" w14:textId="77777777" w:rsidR="00842324" w:rsidRDefault="00000000">
            <w:pPr>
              <w:pStyle w:val="Compact"/>
            </w:pPr>
            <w:r>
              <w:t>GREEN</w:t>
            </w:r>
          </w:p>
        </w:tc>
      </w:tr>
      <w:tr w:rsidR="00842324" w14:paraId="5D041085" w14:textId="77777777">
        <w:tc>
          <w:tcPr>
            <w:tcW w:w="0" w:type="auto"/>
          </w:tcPr>
          <w:p w14:paraId="5D041081" w14:textId="77777777" w:rsidR="00842324" w:rsidRDefault="00000000">
            <w:pPr>
              <w:pStyle w:val="Compact"/>
            </w:pPr>
            <w:r>
              <w:t>Upper tail</w:t>
            </w:r>
          </w:p>
        </w:tc>
        <w:tc>
          <w:tcPr>
            <w:tcW w:w="0" w:type="auto"/>
          </w:tcPr>
          <w:p w14:paraId="5D041082" w14:textId="77777777" w:rsidR="00842324" w:rsidRDefault="00000000">
            <w:pPr>
              <w:pStyle w:val="Compact"/>
            </w:pPr>
            <w:r>
              <w:t>4.99%</w:t>
            </w:r>
          </w:p>
        </w:tc>
        <w:tc>
          <w:tcPr>
            <w:tcW w:w="0" w:type="auto"/>
          </w:tcPr>
          <w:p w14:paraId="5D041083" w14:textId="77777777" w:rsidR="00842324" w:rsidRDefault="00000000">
            <w:pPr>
              <w:pStyle w:val="Compact"/>
            </w:pPr>
            <w:r>
              <w:t>0.5196</w:t>
            </w:r>
          </w:p>
        </w:tc>
        <w:tc>
          <w:tcPr>
            <w:tcW w:w="0" w:type="auto"/>
          </w:tcPr>
          <w:p w14:paraId="5D041084" w14:textId="77777777" w:rsidR="00842324" w:rsidRDefault="00000000">
            <w:pPr>
              <w:pStyle w:val="Compact"/>
            </w:pPr>
            <w:r>
              <w:t>GREEN</w:t>
            </w:r>
          </w:p>
        </w:tc>
      </w:tr>
      <w:tr w:rsidR="00842324" w14:paraId="5D04108A" w14:textId="77777777">
        <w:tc>
          <w:tcPr>
            <w:tcW w:w="0" w:type="auto"/>
          </w:tcPr>
          <w:p w14:paraId="5D041086" w14:textId="77777777" w:rsidR="00842324" w:rsidRDefault="00000000">
            <w:pPr>
              <w:pStyle w:val="Compact"/>
            </w:pPr>
            <w:r>
              <w:t>Total</w:t>
            </w:r>
          </w:p>
        </w:tc>
        <w:tc>
          <w:tcPr>
            <w:tcW w:w="0" w:type="auto"/>
          </w:tcPr>
          <w:p w14:paraId="5D041087" w14:textId="77777777" w:rsidR="00842324" w:rsidRDefault="00000000">
            <w:pPr>
              <w:pStyle w:val="Compact"/>
            </w:pPr>
            <w:r>
              <w:t>8.63%</w:t>
            </w:r>
          </w:p>
        </w:tc>
        <w:tc>
          <w:tcPr>
            <w:tcW w:w="0" w:type="auto"/>
          </w:tcPr>
          <w:p w14:paraId="5D041088" w14:textId="77777777" w:rsidR="00842324" w:rsidRDefault="00000000">
            <w:pPr>
              <w:pStyle w:val="Compact"/>
            </w:pPr>
            <w:r>
              <w:t>0.9989</w:t>
            </w:r>
          </w:p>
        </w:tc>
        <w:tc>
          <w:tcPr>
            <w:tcW w:w="0" w:type="auto"/>
          </w:tcPr>
          <w:p w14:paraId="5D041089" w14:textId="77777777" w:rsidR="00842324" w:rsidRDefault="00000000">
            <w:pPr>
              <w:pStyle w:val="Compact"/>
            </w:pPr>
            <w:r>
              <w:t>GREEN</w:t>
            </w:r>
          </w:p>
        </w:tc>
      </w:tr>
    </w:tbl>
    <w:p w14:paraId="5D04108B" w14:textId="77777777" w:rsidR="00842324" w:rsidRDefault="00000000">
      <w:pPr>
        <w:pStyle w:val="BodyText"/>
      </w:pPr>
      <w:r>
        <w:t>Both tails are within nominal bounds. The lower tail is conservative (3.64% &lt; 5% expected). Total breach rate of 8.63% is below the 10% nominal — the reconstructed intervals are slightly wide rather than too narrow. All binomial p-values are far from rejection: the model passes interval backtesting at the Anfuso level.</w:t>
      </w:r>
    </w:p>
    <w:p w14:paraId="5D04108C" w14:textId="77777777" w:rsidR="00842324" w:rsidRDefault="00000000">
      <w:pPr>
        <w:pStyle w:val="BodyText"/>
      </w:pPr>
      <w:r>
        <w:rPr>
          <w:b/>
          <w:bCs/>
        </w:rPr>
        <w:t>Note on statistical power.</w:t>
      </w:r>
      <w:r>
        <w:t xml:space="preserve"> With n = 4,287, the binomial test has substantially less power than the ENTSO-E run (n = 209,555). A modest true over-breaching could go undetected. This limitation is inherent to the available evaluation sample after nighttime exclusion and rolling warmup.</w:t>
      </w:r>
    </w:p>
    <w:p w14:paraId="5D04108D" w14:textId="77777777" w:rsidR="00842324" w:rsidRDefault="00000000">
      <w:r>
        <w:pict w14:anchorId="5D0415E4">
          <v:rect id="_x0000_i1046" style="width:0;height:1.5pt" o:hralign="center" o:hrstd="t" o:hr="t"/>
        </w:pict>
      </w:r>
    </w:p>
    <w:p w14:paraId="5D04108E" w14:textId="77777777" w:rsidR="00842324" w:rsidRDefault="00000000">
      <w:pPr>
        <w:pStyle w:val="Heading3"/>
      </w:pPr>
      <w:bookmarkStart w:id="87" w:name="distributional-diagnostics-pit-based-1"/>
      <w:bookmarkEnd w:id="86"/>
      <w:r>
        <w:t>2.2 Distributional Diagnostics (PIT-Based)</w:t>
      </w:r>
    </w:p>
    <w:p w14:paraId="5D04108F" w14:textId="77777777" w:rsidR="00842324" w:rsidRDefault="00000000">
      <w:pPr>
        <w:pStyle w:val="Heading4"/>
      </w:pPr>
      <w:bookmarkStart w:id="88" w:name="uniformity-tests-1"/>
      <w:r>
        <w:t>Uniformity Tests</w:t>
      </w:r>
    </w:p>
    <w:tbl>
      <w:tblPr>
        <w:tblStyle w:val="Table"/>
        <w:tblW w:w="0" w:type="auto"/>
        <w:tblLook w:val="0020" w:firstRow="1" w:lastRow="0" w:firstColumn="0" w:lastColumn="0" w:noHBand="0" w:noVBand="0"/>
      </w:tblPr>
      <w:tblGrid>
        <w:gridCol w:w="2417"/>
        <w:gridCol w:w="1070"/>
        <w:gridCol w:w="1960"/>
      </w:tblGrid>
      <w:tr w:rsidR="00842324" w14:paraId="5D041093"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90" w14:textId="77777777" w:rsidR="00842324" w:rsidRDefault="00000000">
            <w:pPr>
              <w:pStyle w:val="Compact"/>
            </w:pPr>
            <w:r>
              <w:t>Test</w:t>
            </w:r>
          </w:p>
        </w:tc>
        <w:tc>
          <w:tcPr>
            <w:tcW w:w="0" w:type="auto"/>
          </w:tcPr>
          <w:p w14:paraId="5D041091" w14:textId="77777777" w:rsidR="00842324" w:rsidRDefault="00000000">
            <w:pPr>
              <w:pStyle w:val="Compact"/>
            </w:pPr>
            <w:r>
              <w:t>Statistic</w:t>
            </w:r>
          </w:p>
        </w:tc>
        <w:tc>
          <w:tcPr>
            <w:tcW w:w="0" w:type="auto"/>
          </w:tcPr>
          <w:p w14:paraId="5D041092" w14:textId="77777777" w:rsidR="00842324" w:rsidRDefault="00000000">
            <w:pPr>
              <w:pStyle w:val="Compact"/>
            </w:pPr>
            <w:r>
              <w:t>p-value</w:t>
            </w:r>
          </w:p>
        </w:tc>
      </w:tr>
      <w:tr w:rsidR="00842324" w14:paraId="5D041097" w14:textId="77777777">
        <w:tc>
          <w:tcPr>
            <w:tcW w:w="0" w:type="auto"/>
          </w:tcPr>
          <w:p w14:paraId="5D041094" w14:textId="77777777" w:rsidR="00842324" w:rsidRDefault="00000000">
            <w:pPr>
              <w:pStyle w:val="Compact"/>
            </w:pPr>
            <w:r>
              <w:t>Kolmogorov–Smirnov</w:t>
            </w:r>
          </w:p>
        </w:tc>
        <w:tc>
          <w:tcPr>
            <w:tcW w:w="0" w:type="auto"/>
          </w:tcPr>
          <w:p w14:paraId="5D041095" w14:textId="77777777" w:rsidR="00842324" w:rsidRDefault="00000000">
            <w:pPr>
              <w:pStyle w:val="Compact"/>
            </w:pPr>
            <w:r>
              <w:t>0.1028</w:t>
            </w:r>
          </w:p>
        </w:tc>
        <w:tc>
          <w:tcPr>
            <w:tcW w:w="0" w:type="auto"/>
          </w:tcPr>
          <w:p w14:paraId="5D041096" w14:textId="77777777" w:rsidR="00842324" w:rsidRDefault="00000000">
            <w:pPr>
              <w:pStyle w:val="Compact"/>
            </w:pPr>
            <w:r>
              <w:t>≈ 7.23 × 10⁻⁴⁰</w:t>
            </w:r>
          </w:p>
        </w:tc>
      </w:tr>
      <w:tr w:rsidR="00842324" w14:paraId="5D04109B" w14:textId="77777777">
        <w:tc>
          <w:tcPr>
            <w:tcW w:w="0" w:type="auto"/>
          </w:tcPr>
          <w:p w14:paraId="5D041098" w14:textId="77777777" w:rsidR="00842324" w:rsidRDefault="00000000">
            <w:pPr>
              <w:pStyle w:val="Compact"/>
            </w:pPr>
            <w:r>
              <w:t>Cramér–von Mises</w:t>
            </w:r>
          </w:p>
        </w:tc>
        <w:tc>
          <w:tcPr>
            <w:tcW w:w="0" w:type="auto"/>
          </w:tcPr>
          <w:p w14:paraId="5D041099" w14:textId="77777777" w:rsidR="00842324" w:rsidRDefault="00000000">
            <w:pPr>
              <w:pStyle w:val="Compact"/>
            </w:pPr>
            <w:r>
              <w:t>14.48</w:t>
            </w:r>
          </w:p>
        </w:tc>
        <w:tc>
          <w:tcPr>
            <w:tcW w:w="0" w:type="auto"/>
          </w:tcPr>
          <w:p w14:paraId="5D04109A" w14:textId="77777777" w:rsidR="00842324" w:rsidRDefault="00000000">
            <w:pPr>
              <w:pStyle w:val="Compact"/>
            </w:pPr>
            <w:r>
              <w:t>≈ 1.05 × 10⁻⁹</w:t>
            </w:r>
          </w:p>
        </w:tc>
      </w:tr>
      <w:tr w:rsidR="00842324" w14:paraId="5D04109F" w14:textId="77777777">
        <w:tc>
          <w:tcPr>
            <w:tcW w:w="0" w:type="auto"/>
          </w:tcPr>
          <w:p w14:paraId="5D04109C" w14:textId="77777777" w:rsidR="00842324" w:rsidRDefault="00000000">
            <w:pPr>
              <w:pStyle w:val="Compact"/>
            </w:pPr>
            <w:r>
              <w:lastRenderedPageBreak/>
              <w:t>Anderson–Darling</w:t>
            </w:r>
          </w:p>
        </w:tc>
        <w:tc>
          <w:tcPr>
            <w:tcW w:w="0" w:type="auto"/>
          </w:tcPr>
          <w:p w14:paraId="5D04109D" w14:textId="77777777" w:rsidR="00842324" w:rsidRDefault="00000000">
            <w:pPr>
              <w:pStyle w:val="Compact"/>
            </w:pPr>
            <w:r>
              <w:t>316.30</w:t>
            </w:r>
          </w:p>
        </w:tc>
        <w:tc>
          <w:tcPr>
            <w:tcW w:w="0" w:type="auto"/>
          </w:tcPr>
          <w:p w14:paraId="5D04109E" w14:textId="77777777" w:rsidR="00842324" w:rsidRDefault="00000000">
            <w:pPr>
              <w:pStyle w:val="Compact"/>
            </w:pPr>
            <w:r>
              <w:t>&gt;&gt; critical values</w:t>
            </w:r>
          </w:p>
        </w:tc>
      </w:tr>
    </w:tbl>
    <w:p w14:paraId="5D0410A0" w14:textId="77777777" w:rsidR="00842324" w:rsidRDefault="00000000">
      <w:pPr>
        <w:pStyle w:val="BodyText"/>
      </w:pPr>
      <w:r>
        <w:t>PIT uniformity is strongly rejected despite the GREEN Anfuso result.</w:t>
      </w:r>
    </w:p>
    <w:p w14:paraId="5D0410A1" w14:textId="77777777" w:rsidR="00842324" w:rsidRDefault="00000000">
      <w:pPr>
        <w:pStyle w:val="Heading4"/>
      </w:pPr>
      <w:bookmarkStart w:id="89" w:name="independence-tests-ljungbox-on-z-φ¹u-1"/>
      <w:bookmarkEnd w:id="88"/>
      <w:r>
        <w:t>Independence Tests (Ljung–Box on z = Φ⁻¹(u))</w:t>
      </w:r>
    </w:p>
    <w:tbl>
      <w:tblPr>
        <w:tblStyle w:val="Table"/>
        <w:tblW w:w="0" w:type="auto"/>
        <w:tblLook w:val="0020" w:firstRow="1" w:lastRow="0" w:firstColumn="0" w:lastColumn="0" w:noHBand="0" w:noVBand="0"/>
      </w:tblPr>
      <w:tblGrid>
        <w:gridCol w:w="580"/>
        <w:gridCol w:w="1070"/>
        <w:gridCol w:w="992"/>
      </w:tblGrid>
      <w:tr w:rsidR="00842324" w14:paraId="5D0410A5"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A2" w14:textId="77777777" w:rsidR="00842324" w:rsidRDefault="00000000">
            <w:pPr>
              <w:pStyle w:val="Compact"/>
            </w:pPr>
            <w:r>
              <w:t>Lag</w:t>
            </w:r>
          </w:p>
        </w:tc>
        <w:tc>
          <w:tcPr>
            <w:tcW w:w="0" w:type="auto"/>
          </w:tcPr>
          <w:p w14:paraId="5D0410A3" w14:textId="77777777" w:rsidR="00842324" w:rsidRDefault="00000000">
            <w:pPr>
              <w:pStyle w:val="Compact"/>
            </w:pPr>
            <w:r>
              <w:t>Statistic</w:t>
            </w:r>
          </w:p>
        </w:tc>
        <w:tc>
          <w:tcPr>
            <w:tcW w:w="0" w:type="auto"/>
          </w:tcPr>
          <w:p w14:paraId="5D0410A4" w14:textId="77777777" w:rsidR="00842324" w:rsidRDefault="00000000">
            <w:pPr>
              <w:pStyle w:val="Compact"/>
            </w:pPr>
            <w:r>
              <w:t>p-value</w:t>
            </w:r>
          </w:p>
        </w:tc>
      </w:tr>
      <w:tr w:rsidR="00842324" w14:paraId="5D0410A9" w14:textId="77777777">
        <w:tc>
          <w:tcPr>
            <w:tcW w:w="0" w:type="auto"/>
          </w:tcPr>
          <w:p w14:paraId="5D0410A6" w14:textId="77777777" w:rsidR="00842324" w:rsidRDefault="00000000">
            <w:pPr>
              <w:pStyle w:val="Compact"/>
            </w:pPr>
            <w:r>
              <w:t>5</w:t>
            </w:r>
          </w:p>
        </w:tc>
        <w:tc>
          <w:tcPr>
            <w:tcW w:w="0" w:type="auto"/>
          </w:tcPr>
          <w:p w14:paraId="5D0410A7" w14:textId="77777777" w:rsidR="00842324" w:rsidRDefault="00000000">
            <w:pPr>
              <w:pStyle w:val="Compact"/>
            </w:pPr>
            <w:r>
              <w:t>3,986</w:t>
            </w:r>
          </w:p>
        </w:tc>
        <w:tc>
          <w:tcPr>
            <w:tcW w:w="0" w:type="auto"/>
          </w:tcPr>
          <w:p w14:paraId="5D0410A8" w14:textId="77777777" w:rsidR="00842324" w:rsidRDefault="00000000">
            <w:pPr>
              <w:pStyle w:val="Compact"/>
            </w:pPr>
            <w:r>
              <w:t>≈ 0</w:t>
            </w:r>
          </w:p>
        </w:tc>
      </w:tr>
      <w:tr w:rsidR="00842324" w14:paraId="5D0410AD" w14:textId="77777777">
        <w:tc>
          <w:tcPr>
            <w:tcW w:w="0" w:type="auto"/>
          </w:tcPr>
          <w:p w14:paraId="5D0410AA" w14:textId="77777777" w:rsidR="00842324" w:rsidRDefault="00000000">
            <w:pPr>
              <w:pStyle w:val="Compact"/>
            </w:pPr>
            <w:r>
              <w:t>10</w:t>
            </w:r>
          </w:p>
        </w:tc>
        <w:tc>
          <w:tcPr>
            <w:tcW w:w="0" w:type="auto"/>
          </w:tcPr>
          <w:p w14:paraId="5D0410AB" w14:textId="77777777" w:rsidR="00842324" w:rsidRDefault="00000000">
            <w:pPr>
              <w:pStyle w:val="Compact"/>
            </w:pPr>
            <w:r>
              <w:t>4,741</w:t>
            </w:r>
          </w:p>
        </w:tc>
        <w:tc>
          <w:tcPr>
            <w:tcW w:w="0" w:type="auto"/>
          </w:tcPr>
          <w:p w14:paraId="5D0410AC" w14:textId="77777777" w:rsidR="00842324" w:rsidRDefault="00000000">
            <w:pPr>
              <w:pStyle w:val="Compact"/>
            </w:pPr>
            <w:r>
              <w:t>≈ 0</w:t>
            </w:r>
          </w:p>
        </w:tc>
      </w:tr>
      <w:tr w:rsidR="00842324" w14:paraId="5D0410B1" w14:textId="77777777">
        <w:tc>
          <w:tcPr>
            <w:tcW w:w="0" w:type="auto"/>
          </w:tcPr>
          <w:p w14:paraId="5D0410AE" w14:textId="77777777" w:rsidR="00842324" w:rsidRDefault="00000000">
            <w:pPr>
              <w:pStyle w:val="Compact"/>
            </w:pPr>
            <w:r>
              <w:t>20</w:t>
            </w:r>
          </w:p>
        </w:tc>
        <w:tc>
          <w:tcPr>
            <w:tcW w:w="0" w:type="auto"/>
          </w:tcPr>
          <w:p w14:paraId="5D0410AF" w14:textId="77777777" w:rsidR="00842324" w:rsidRDefault="00000000">
            <w:pPr>
              <w:pStyle w:val="Compact"/>
            </w:pPr>
            <w:r>
              <w:t>5,012</w:t>
            </w:r>
          </w:p>
        </w:tc>
        <w:tc>
          <w:tcPr>
            <w:tcW w:w="0" w:type="auto"/>
          </w:tcPr>
          <w:p w14:paraId="5D0410B0" w14:textId="77777777" w:rsidR="00842324" w:rsidRDefault="00000000">
            <w:pPr>
              <w:pStyle w:val="Compact"/>
            </w:pPr>
            <w:r>
              <w:t>≈ 0</w:t>
            </w:r>
          </w:p>
        </w:tc>
      </w:tr>
    </w:tbl>
    <w:p w14:paraId="5D0410B2" w14:textId="77777777" w:rsidR="00842324" w:rsidRDefault="00000000">
      <w:pPr>
        <w:pStyle w:val="BodyText"/>
      </w:pPr>
      <w:r>
        <w:t>Serial independence is overwhelmingly rejected.</w:t>
      </w:r>
    </w:p>
    <w:p w14:paraId="5D0410B3" w14:textId="77777777" w:rsidR="00842324" w:rsidRDefault="00000000">
      <w:pPr>
        <w:pStyle w:val="CaptionedFigure"/>
      </w:pPr>
      <w:r>
        <w:rPr>
          <w:noProof/>
        </w:rPr>
        <w:drawing>
          <wp:inline distT="0" distB="0" distL="0" distR="0" wp14:anchorId="5D0415E5" wp14:editId="5D0415E6">
            <wp:extent cx="5334000" cy="1385062"/>
            <wp:effectExtent l="0" t="0" r="0" b="0"/>
            <wp:docPr id="74" name="Picture" descr="PIT diagnostic plots for PV Solar (n=4,287). The histogram shows non-uniform shape despite GREEN Anfuso result; ACF indicates serial dependence (ACF(1)=0.660); Q-Q plot departs from the diagonal."/>
            <wp:cNvGraphicFramePr/>
            <a:graphic xmlns:a="http://schemas.openxmlformats.org/drawingml/2006/main">
              <a:graphicData uri="http://schemas.openxmlformats.org/drawingml/2006/picture">
                <pic:pic xmlns:pic="http://schemas.openxmlformats.org/drawingml/2006/picture">
                  <pic:nvPicPr>
                    <pic:cNvPr id="75" name="Picture" descr="figures/pit_diagnostics_pv.png"/>
                    <pic:cNvPicPr>
                      <a:picLocks noChangeAspect="1" noChangeArrowheads="1"/>
                    </pic:cNvPicPr>
                  </pic:nvPicPr>
                  <pic:blipFill>
                    <a:blip r:embed="rId6"/>
                    <a:stretch>
                      <a:fillRect/>
                    </a:stretch>
                  </pic:blipFill>
                  <pic:spPr bwMode="auto">
                    <a:xfrm>
                      <a:off x="0" y="0"/>
                      <a:ext cx="5334000" cy="1385062"/>
                    </a:xfrm>
                    <a:prstGeom prst="rect">
                      <a:avLst/>
                    </a:prstGeom>
                    <a:noFill/>
                    <a:ln w="9525">
                      <a:noFill/>
                      <a:headEnd/>
                      <a:tailEnd/>
                    </a:ln>
                  </pic:spPr>
                </pic:pic>
              </a:graphicData>
            </a:graphic>
          </wp:inline>
        </w:drawing>
      </w:r>
    </w:p>
    <w:p w14:paraId="5D0410B4" w14:textId="77777777" w:rsidR="00842324" w:rsidRDefault="00000000">
      <w:pPr>
        <w:pStyle w:val="ImageCaption"/>
      </w:pPr>
      <w:r>
        <w:t>PIT diagnostic plots for PV Solar (n=4,287). The histogram shows non-uniform shape despite GREEN Anfuso result; ACF indicates serial dependence (ACF(1)=0.660); Q-Q plot departs from the diagonal.</w:t>
      </w:r>
    </w:p>
    <w:p w14:paraId="5D0410B5" w14:textId="77777777" w:rsidR="00842324" w:rsidRDefault="00000000">
      <w:r>
        <w:pict w14:anchorId="5D0415E7">
          <v:rect id="_x0000_i1047" style="width:0;height:1.5pt" o:hralign="center" o:hrstd="t" o:hr="t"/>
        </w:pict>
      </w:r>
    </w:p>
    <w:p w14:paraId="5D0410B6" w14:textId="77777777" w:rsidR="00842324" w:rsidRDefault="00000000">
      <w:pPr>
        <w:pStyle w:val="Heading3"/>
      </w:pPr>
      <w:bookmarkStart w:id="90" w:name="proper-scoring-1"/>
      <w:bookmarkEnd w:id="87"/>
      <w:bookmarkEnd w:id="89"/>
      <w:r>
        <w:t>2.3 Proper Scoring</w:t>
      </w:r>
    </w:p>
    <w:p w14:paraId="5D0410B7" w14:textId="77777777" w:rsidR="00842324" w:rsidRDefault="00000000">
      <w:pPr>
        <w:pStyle w:val="Compact"/>
        <w:numPr>
          <w:ilvl w:val="0"/>
          <w:numId w:val="18"/>
        </w:numPr>
      </w:pPr>
      <w:r>
        <w:t>Mean CRPS: 0.7937</w:t>
      </w:r>
    </w:p>
    <w:p w14:paraId="5D0410B8" w14:textId="77777777" w:rsidR="00842324" w:rsidRDefault="00000000">
      <w:pPr>
        <w:pStyle w:val="Compact"/>
        <w:numPr>
          <w:ilvl w:val="0"/>
          <w:numId w:val="18"/>
        </w:numPr>
      </w:pPr>
      <w:r>
        <w:t>Empirical coverage: 91.37%</w:t>
      </w:r>
    </w:p>
    <w:p w14:paraId="5D0410B9" w14:textId="77777777" w:rsidR="00842324" w:rsidRDefault="00000000">
      <w:pPr>
        <w:pStyle w:val="Compact"/>
        <w:numPr>
          <w:ilvl w:val="0"/>
          <w:numId w:val="18"/>
        </w:numPr>
      </w:pPr>
      <w:r>
        <w:t>Coverage error: +1.37 pp</w:t>
      </w:r>
    </w:p>
    <w:p w14:paraId="5D0410BA" w14:textId="77777777" w:rsidR="00842324" w:rsidRDefault="00000000">
      <w:pPr>
        <w:pStyle w:val="FirstParagraph"/>
      </w:pPr>
      <w:r>
        <w:t>CRPS is low relative to ENTSO-E because PV generation values are normalised (capacity factors), not physical load units.</w:t>
      </w:r>
    </w:p>
    <w:p w14:paraId="5D0410BB" w14:textId="77777777" w:rsidR="00842324" w:rsidRDefault="00000000">
      <w:r>
        <w:pict w14:anchorId="5D0415E8">
          <v:rect id="_x0000_i1048" style="width:0;height:1.5pt" o:hralign="center" o:hrstd="t" o:hr="t"/>
        </w:pict>
      </w:r>
    </w:p>
    <w:p w14:paraId="5D0410BC" w14:textId="77777777" w:rsidR="00842324" w:rsidRDefault="00000000">
      <w:pPr>
        <w:pStyle w:val="Heading3"/>
      </w:pPr>
      <w:bookmarkStart w:id="91" w:name="governance-classification-2"/>
      <w:bookmarkEnd w:id="90"/>
      <w:r>
        <w:t>2.4 Governance Classification</w:t>
      </w:r>
    </w:p>
    <w:tbl>
      <w:tblPr>
        <w:tblStyle w:val="Table"/>
        <w:tblW w:w="0" w:type="auto"/>
        <w:tblLook w:val="0020" w:firstRow="1" w:lastRow="0" w:firstColumn="0" w:lastColumn="0" w:noHBand="0" w:noVBand="0"/>
      </w:tblPr>
      <w:tblGrid>
        <w:gridCol w:w="2398"/>
        <w:gridCol w:w="2625"/>
      </w:tblGrid>
      <w:tr w:rsidR="00842324" w14:paraId="5D0410BF"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BD" w14:textId="77777777" w:rsidR="00842324" w:rsidRDefault="00000000">
            <w:pPr>
              <w:pStyle w:val="Compact"/>
            </w:pPr>
            <w:r>
              <w:t>Criterion</w:t>
            </w:r>
          </w:p>
        </w:tc>
        <w:tc>
          <w:tcPr>
            <w:tcW w:w="0" w:type="auto"/>
          </w:tcPr>
          <w:p w14:paraId="5D0410BE" w14:textId="77777777" w:rsidR="00842324" w:rsidRDefault="00000000">
            <w:pPr>
              <w:pStyle w:val="Compact"/>
            </w:pPr>
            <w:r>
              <w:t>Status</w:t>
            </w:r>
          </w:p>
        </w:tc>
      </w:tr>
      <w:tr w:rsidR="00842324" w14:paraId="5D0410C2" w14:textId="77777777">
        <w:tc>
          <w:tcPr>
            <w:tcW w:w="0" w:type="auto"/>
          </w:tcPr>
          <w:p w14:paraId="5D0410C0" w14:textId="77777777" w:rsidR="00842324" w:rsidRDefault="00000000">
            <w:pPr>
              <w:pStyle w:val="Compact"/>
            </w:pPr>
            <w:r>
              <w:t>PIT uniformity</w:t>
            </w:r>
          </w:p>
        </w:tc>
        <w:tc>
          <w:tcPr>
            <w:tcW w:w="0" w:type="auto"/>
          </w:tcPr>
          <w:p w14:paraId="5D0410C1" w14:textId="77777777" w:rsidR="00842324" w:rsidRDefault="00000000">
            <w:pPr>
              <w:pStyle w:val="Compact"/>
            </w:pPr>
            <w:r>
              <w:t>FAIL</w:t>
            </w:r>
          </w:p>
        </w:tc>
      </w:tr>
      <w:tr w:rsidR="00842324" w14:paraId="5D0410C5" w14:textId="77777777">
        <w:tc>
          <w:tcPr>
            <w:tcW w:w="0" w:type="auto"/>
          </w:tcPr>
          <w:p w14:paraId="5D0410C3" w14:textId="77777777" w:rsidR="00842324" w:rsidRDefault="00000000">
            <w:pPr>
              <w:pStyle w:val="Compact"/>
            </w:pPr>
            <w:r>
              <w:t>PIT independence</w:t>
            </w:r>
          </w:p>
        </w:tc>
        <w:tc>
          <w:tcPr>
            <w:tcW w:w="0" w:type="auto"/>
          </w:tcPr>
          <w:p w14:paraId="5D0410C4" w14:textId="77777777" w:rsidR="00842324" w:rsidRDefault="00000000">
            <w:pPr>
              <w:pStyle w:val="Compact"/>
            </w:pPr>
            <w:r>
              <w:t>FAIL</w:t>
            </w:r>
          </w:p>
        </w:tc>
      </w:tr>
      <w:tr w:rsidR="00842324" w14:paraId="5D0410C8" w14:textId="77777777">
        <w:tc>
          <w:tcPr>
            <w:tcW w:w="0" w:type="auto"/>
          </w:tcPr>
          <w:p w14:paraId="5D0410C6" w14:textId="77777777" w:rsidR="00842324" w:rsidRDefault="00000000">
            <w:pPr>
              <w:pStyle w:val="Compact"/>
            </w:pPr>
            <w:r>
              <w:t>Interval coverage</w:t>
            </w:r>
          </w:p>
        </w:tc>
        <w:tc>
          <w:tcPr>
            <w:tcW w:w="0" w:type="auto"/>
          </w:tcPr>
          <w:p w14:paraId="5D0410C7" w14:textId="77777777" w:rsidR="00842324" w:rsidRDefault="00000000">
            <w:pPr>
              <w:pStyle w:val="Compact"/>
            </w:pPr>
            <w:r>
              <w:t>+1.37 pp (conservative)</w:t>
            </w:r>
          </w:p>
        </w:tc>
      </w:tr>
      <w:tr w:rsidR="00842324" w14:paraId="5D0410CB" w14:textId="77777777">
        <w:tc>
          <w:tcPr>
            <w:tcW w:w="0" w:type="auto"/>
          </w:tcPr>
          <w:p w14:paraId="5D0410C9" w14:textId="77777777" w:rsidR="00842324" w:rsidRDefault="00000000">
            <w:pPr>
              <w:pStyle w:val="Compact"/>
            </w:pPr>
            <w:r>
              <w:t>Anfuso interval test</w:t>
            </w:r>
          </w:p>
        </w:tc>
        <w:tc>
          <w:tcPr>
            <w:tcW w:w="0" w:type="auto"/>
          </w:tcPr>
          <w:p w14:paraId="5D0410CA" w14:textId="77777777" w:rsidR="00842324" w:rsidRDefault="00000000">
            <w:pPr>
              <w:pStyle w:val="Compact"/>
            </w:pPr>
            <w:r>
              <w:t>GREEN</w:t>
            </w:r>
          </w:p>
        </w:tc>
      </w:tr>
      <w:tr w:rsidR="00842324" w14:paraId="5D0410CE" w14:textId="77777777">
        <w:tc>
          <w:tcPr>
            <w:tcW w:w="0" w:type="auto"/>
          </w:tcPr>
          <w:p w14:paraId="5D0410CC" w14:textId="77777777" w:rsidR="00842324" w:rsidRDefault="00000000">
            <w:pPr>
              <w:pStyle w:val="Compact"/>
            </w:pPr>
            <w:r>
              <w:lastRenderedPageBreak/>
              <w:t>Overall classification</w:t>
            </w:r>
          </w:p>
        </w:tc>
        <w:tc>
          <w:tcPr>
            <w:tcW w:w="0" w:type="auto"/>
          </w:tcPr>
          <w:p w14:paraId="5D0410CD" w14:textId="77777777" w:rsidR="00842324" w:rsidRDefault="00000000">
            <w:pPr>
              <w:pStyle w:val="Compact"/>
            </w:pPr>
            <w:r>
              <w:rPr>
                <w:b/>
                <w:bCs/>
              </w:rPr>
              <w:t>RED</w:t>
            </w:r>
          </w:p>
        </w:tc>
      </w:tr>
    </w:tbl>
    <w:p w14:paraId="5D0410CF" w14:textId="77777777" w:rsidR="00842324" w:rsidRDefault="00000000">
      <w:pPr>
        <w:pStyle w:val="BodyText"/>
      </w:pPr>
      <w:r>
        <w:rPr>
          <w:b/>
          <w:bCs/>
        </w:rPr>
        <w:t>Key finding.</w:t>
      </w:r>
      <w:r>
        <w:t xml:space="preserve"> PV passes interval backtesting (GREEN Anfuso) but fails distributional diagnostics. This divergence is precisely the argument for multi-layer validation: naive coverage metrics alone would classify PV as acceptable, while PIT-based diagnostics reveal systematic structural deficiencies in the shape of the predictive distribution.</w:t>
      </w:r>
    </w:p>
    <w:p w14:paraId="5D0410D0" w14:textId="77777777" w:rsidR="00842324" w:rsidRDefault="00000000">
      <w:r>
        <w:pict w14:anchorId="5D0415E9">
          <v:rect id="_x0000_i1049" style="width:0;height:1.5pt" o:hralign="center" o:hrstd="t" o:hr="t"/>
        </w:pict>
      </w:r>
    </w:p>
    <w:p w14:paraId="5D0410D1" w14:textId="77777777" w:rsidR="00842324" w:rsidRDefault="00000000">
      <w:pPr>
        <w:pStyle w:val="Heading3"/>
      </w:pPr>
      <w:bookmarkStart w:id="92" w:name="rolling-evaluation-2"/>
      <w:bookmarkEnd w:id="91"/>
      <w:r>
        <w:t>2.5 Rolling Evaluation</w:t>
      </w:r>
    </w:p>
    <w:p w14:paraId="5D0410D2" w14:textId="77777777" w:rsidR="00842324" w:rsidRDefault="00000000">
      <w:pPr>
        <w:pStyle w:val="FirstParagraph"/>
      </w:pPr>
      <w:r>
        <w:t>Rolling diagnostics (window = 720, step = 168) confirm that PIT uniformity and independence violations are not localised to specific subperiods. The GREEN Anfuso result is also stable across rolling windows, reinforcing the interpretation that interval width is approximately correct on average but the distributional shape is systematically misspecified.</w:t>
      </w:r>
    </w:p>
    <w:p w14:paraId="5D0410D3" w14:textId="77777777" w:rsidR="00842324" w:rsidRDefault="00000000">
      <w:r>
        <w:pict w14:anchorId="5D0415EA">
          <v:rect id="_x0000_i1050" style="width:0;height:1.5pt" o:hralign="center" o:hrstd="t" o:hr="t"/>
        </w:pict>
      </w:r>
    </w:p>
    <w:p w14:paraId="5D0410D4" w14:textId="77777777" w:rsidR="00842324" w:rsidRDefault="00000000">
      <w:pPr>
        <w:pStyle w:val="Heading2"/>
      </w:pPr>
      <w:bookmarkStart w:id="93" w:name="long-term-wind-generation-run_003"/>
      <w:bookmarkStart w:id="94" w:name="_Toc225682086"/>
      <w:bookmarkEnd w:id="84"/>
      <w:bookmarkEnd w:id="92"/>
      <w:r>
        <w:t>3. Long-Term Wind Generation (run_003)</w:t>
      </w:r>
      <w:bookmarkEnd w:id="94"/>
    </w:p>
    <w:p w14:paraId="5D0410D5" w14:textId="77777777" w:rsidR="00842324" w:rsidRDefault="00000000">
      <w:pPr>
        <w:pStyle w:val="FirstParagraph"/>
      </w:pPr>
      <w:r>
        <w:rPr>
          <w:b/>
          <w:bCs/>
        </w:rPr>
        <w:t>Dataset:</w:t>
      </w:r>
      <w:r>
        <w:t xml:space="preserve"> wind_student.csv, hourly, 2013–2015. </w:t>
      </w:r>
      <w:r>
        <w:rPr>
          <w:b/>
          <w:bCs/>
        </w:rPr>
        <w:t>Evaluable observations:</w:t>
      </w:r>
      <w:r>
        <w:t xml:space="preserve"> n = 9,000 (no nighttime exclusion; 17,280 warmup rows consumed by rolling window). </w:t>
      </w:r>
      <w:r>
        <w:rPr>
          <w:b/>
          <w:bCs/>
        </w:rPr>
        <w:t>Nominal level:</w:t>
      </w:r>
      <w:r>
        <w:t xml:space="preserve"> α = 0.1 (90% central interval). </w:t>
      </w:r>
      <w:r>
        <w:rPr>
          <w:b/>
          <w:bCs/>
        </w:rPr>
        <w:t>Base interval construction:</w:t>
      </w:r>
      <w:r>
        <w:t xml:space="preserve"> Same rolling 24-bucket hour-of-day conditioning as PV, W = 720.</w:t>
      </w:r>
    </w:p>
    <w:p w14:paraId="5D0410D6" w14:textId="77777777" w:rsidR="00842324" w:rsidRDefault="00000000">
      <w:r>
        <w:pict w14:anchorId="5D0415EB">
          <v:rect id="_x0000_i1051" style="width:0;height:1.5pt" o:hralign="center" o:hrstd="t" o:hr="t"/>
        </w:pict>
      </w:r>
    </w:p>
    <w:p w14:paraId="5D0410D7" w14:textId="77777777" w:rsidR="00842324" w:rsidRDefault="00000000">
      <w:pPr>
        <w:pStyle w:val="Heading3"/>
      </w:pPr>
      <w:bookmarkStart w:id="95" w:name="X5f80f8c2fddfd7c7f7fcb247328220657a269dd"/>
      <w:r>
        <w:t>3.1 Interval Backtesting (Anfuso Traffic-Light Framework)</w:t>
      </w:r>
    </w:p>
    <w:tbl>
      <w:tblPr>
        <w:tblStyle w:val="Table"/>
        <w:tblW w:w="0" w:type="auto"/>
        <w:tblLook w:val="0020" w:firstRow="1" w:lastRow="0" w:firstColumn="0" w:lastColumn="0" w:noHBand="0" w:noVBand="0"/>
      </w:tblPr>
      <w:tblGrid>
        <w:gridCol w:w="1456"/>
        <w:gridCol w:w="1480"/>
        <w:gridCol w:w="2439"/>
        <w:gridCol w:w="1419"/>
      </w:tblGrid>
      <w:tr w:rsidR="00842324" w14:paraId="5D0410DC"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D8" w14:textId="77777777" w:rsidR="00842324" w:rsidRDefault="00000000">
            <w:pPr>
              <w:pStyle w:val="Compact"/>
            </w:pPr>
            <w:r>
              <w:t>Component</w:t>
            </w:r>
          </w:p>
        </w:tc>
        <w:tc>
          <w:tcPr>
            <w:tcW w:w="0" w:type="auto"/>
          </w:tcPr>
          <w:p w14:paraId="5D0410D9" w14:textId="77777777" w:rsidR="00842324" w:rsidRDefault="00000000">
            <w:pPr>
              <w:pStyle w:val="Compact"/>
            </w:pPr>
            <w:r>
              <w:t>Breach Rate</w:t>
            </w:r>
          </w:p>
        </w:tc>
        <w:tc>
          <w:tcPr>
            <w:tcW w:w="0" w:type="auto"/>
          </w:tcPr>
          <w:p w14:paraId="5D0410DA" w14:textId="77777777" w:rsidR="00842324" w:rsidRDefault="00000000">
            <w:pPr>
              <w:pStyle w:val="Compact"/>
            </w:pPr>
            <w:r>
              <w:t>p-value (exceedance)</w:t>
            </w:r>
          </w:p>
        </w:tc>
        <w:tc>
          <w:tcPr>
            <w:tcW w:w="0" w:type="auto"/>
          </w:tcPr>
          <w:p w14:paraId="5D0410DB" w14:textId="77777777" w:rsidR="00842324" w:rsidRDefault="00000000">
            <w:pPr>
              <w:pStyle w:val="Compact"/>
            </w:pPr>
            <w:r>
              <w:t>Traffic Light</w:t>
            </w:r>
          </w:p>
        </w:tc>
      </w:tr>
      <w:tr w:rsidR="00842324" w14:paraId="5D0410E1" w14:textId="77777777">
        <w:tc>
          <w:tcPr>
            <w:tcW w:w="0" w:type="auto"/>
          </w:tcPr>
          <w:p w14:paraId="5D0410DD" w14:textId="77777777" w:rsidR="00842324" w:rsidRDefault="00000000">
            <w:pPr>
              <w:pStyle w:val="Compact"/>
            </w:pPr>
            <w:r>
              <w:t>Lower tail</w:t>
            </w:r>
          </w:p>
        </w:tc>
        <w:tc>
          <w:tcPr>
            <w:tcW w:w="0" w:type="auto"/>
          </w:tcPr>
          <w:p w14:paraId="5D0410DE" w14:textId="77777777" w:rsidR="00842324" w:rsidRDefault="00000000">
            <w:pPr>
              <w:pStyle w:val="Compact"/>
            </w:pPr>
            <w:r>
              <w:t>6.44%</w:t>
            </w:r>
          </w:p>
        </w:tc>
        <w:tc>
          <w:tcPr>
            <w:tcW w:w="0" w:type="auto"/>
          </w:tcPr>
          <w:p w14:paraId="5D0410DF" w14:textId="77777777" w:rsidR="00842324" w:rsidRDefault="00000000">
            <w:pPr>
              <w:pStyle w:val="Compact"/>
            </w:pPr>
            <w:r>
              <w:t>≈ 8.97 × 10⁻¹⁰</w:t>
            </w:r>
          </w:p>
        </w:tc>
        <w:tc>
          <w:tcPr>
            <w:tcW w:w="0" w:type="auto"/>
          </w:tcPr>
          <w:p w14:paraId="5D0410E0" w14:textId="77777777" w:rsidR="00842324" w:rsidRDefault="00000000">
            <w:pPr>
              <w:pStyle w:val="Compact"/>
            </w:pPr>
            <w:r>
              <w:t>RED</w:t>
            </w:r>
          </w:p>
        </w:tc>
      </w:tr>
      <w:tr w:rsidR="00842324" w14:paraId="5D0410E6" w14:textId="77777777">
        <w:tc>
          <w:tcPr>
            <w:tcW w:w="0" w:type="auto"/>
          </w:tcPr>
          <w:p w14:paraId="5D0410E2" w14:textId="77777777" w:rsidR="00842324" w:rsidRDefault="00000000">
            <w:pPr>
              <w:pStyle w:val="Compact"/>
            </w:pPr>
            <w:r>
              <w:t>Upper tail</w:t>
            </w:r>
          </w:p>
        </w:tc>
        <w:tc>
          <w:tcPr>
            <w:tcW w:w="0" w:type="auto"/>
          </w:tcPr>
          <w:p w14:paraId="5D0410E3" w14:textId="77777777" w:rsidR="00842324" w:rsidRDefault="00000000">
            <w:pPr>
              <w:pStyle w:val="Compact"/>
            </w:pPr>
            <w:r>
              <w:t>4.93%</w:t>
            </w:r>
          </w:p>
        </w:tc>
        <w:tc>
          <w:tcPr>
            <w:tcW w:w="0" w:type="auto"/>
          </w:tcPr>
          <w:p w14:paraId="5D0410E4" w14:textId="77777777" w:rsidR="00842324" w:rsidRDefault="00000000">
            <w:pPr>
              <w:pStyle w:val="Compact"/>
            </w:pPr>
            <w:r>
              <w:t>0.6209</w:t>
            </w:r>
          </w:p>
        </w:tc>
        <w:tc>
          <w:tcPr>
            <w:tcW w:w="0" w:type="auto"/>
          </w:tcPr>
          <w:p w14:paraId="5D0410E5" w14:textId="77777777" w:rsidR="00842324" w:rsidRDefault="00000000">
            <w:pPr>
              <w:pStyle w:val="Compact"/>
            </w:pPr>
            <w:r>
              <w:t>GREEN</w:t>
            </w:r>
          </w:p>
        </w:tc>
      </w:tr>
      <w:tr w:rsidR="00842324" w14:paraId="5D0410EB" w14:textId="77777777">
        <w:tc>
          <w:tcPr>
            <w:tcW w:w="0" w:type="auto"/>
          </w:tcPr>
          <w:p w14:paraId="5D0410E7" w14:textId="77777777" w:rsidR="00842324" w:rsidRDefault="00000000">
            <w:pPr>
              <w:pStyle w:val="Compact"/>
            </w:pPr>
            <w:r>
              <w:t>Total</w:t>
            </w:r>
          </w:p>
        </w:tc>
        <w:tc>
          <w:tcPr>
            <w:tcW w:w="0" w:type="auto"/>
          </w:tcPr>
          <w:p w14:paraId="5D0410E8" w14:textId="77777777" w:rsidR="00842324" w:rsidRDefault="00000000">
            <w:pPr>
              <w:pStyle w:val="Compact"/>
            </w:pPr>
            <w:r>
              <w:t>11.38%</w:t>
            </w:r>
          </w:p>
        </w:tc>
        <w:tc>
          <w:tcPr>
            <w:tcW w:w="0" w:type="auto"/>
          </w:tcPr>
          <w:p w14:paraId="5D0410E9" w14:textId="77777777" w:rsidR="00842324" w:rsidRDefault="00000000">
            <w:pPr>
              <w:pStyle w:val="Compact"/>
            </w:pPr>
            <w:r>
              <w:t>≈ 1.02 × 10⁻⁵</w:t>
            </w:r>
          </w:p>
        </w:tc>
        <w:tc>
          <w:tcPr>
            <w:tcW w:w="0" w:type="auto"/>
          </w:tcPr>
          <w:p w14:paraId="5D0410EA" w14:textId="77777777" w:rsidR="00842324" w:rsidRDefault="00000000">
            <w:pPr>
              <w:pStyle w:val="Compact"/>
            </w:pPr>
            <w:r>
              <w:t>RED</w:t>
            </w:r>
          </w:p>
        </w:tc>
      </w:tr>
    </w:tbl>
    <w:p w14:paraId="5D0410EC" w14:textId="77777777" w:rsidR="00842324" w:rsidRDefault="00000000">
      <w:pPr>
        <w:pStyle w:val="BodyText"/>
      </w:pPr>
      <w:r>
        <w:t>Asymmetric tail failure: the lower tail breaches significantly above its 5% nominal rate while the upper tail is within tolerance. This is physically interpretable — wind generation is bounded below by zero, and the model underestimates low-generation risk more than high-generation risk. The lower tail asymmetry mirrors the structure observed in the original (uncorrected) ENTSO-E run before the lo/hi fix, but here it is a genuine feature of the data rather than a reconstruction artefact.</w:t>
      </w:r>
    </w:p>
    <w:p w14:paraId="5D0410ED" w14:textId="77777777" w:rsidR="00842324" w:rsidRDefault="00000000">
      <w:r>
        <w:pict w14:anchorId="5D0415EC">
          <v:rect id="_x0000_i1052" style="width:0;height:1.5pt" o:hralign="center" o:hrstd="t" o:hr="t"/>
        </w:pict>
      </w:r>
    </w:p>
    <w:p w14:paraId="5D0410EE" w14:textId="77777777" w:rsidR="00842324" w:rsidRDefault="00000000">
      <w:pPr>
        <w:pStyle w:val="Heading3"/>
      </w:pPr>
      <w:bookmarkStart w:id="96" w:name="distributional-diagnostics-pit-based-2"/>
      <w:bookmarkEnd w:id="95"/>
      <w:r>
        <w:lastRenderedPageBreak/>
        <w:t>3.2 Distributional Diagnostics (PIT-Based)</w:t>
      </w:r>
    </w:p>
    <w:p w14:paraId="5D0410EF" w14:textId="77777777" w:rsidR="00842324" w:rsidRDefault="00000000">
      <w:pPr>
        <w:pStyle w:val="Heading4"/>
      </w:pPr>
      <w:bookmarkStart w:id="97" w:name="uniformity-tests-2"/>
      <w:r>
        <w:t>Uniformity Tests</w:t>
      </w:r>
    </w:p>
    <w:tbl>
      <w:tblPr>
        <w:tblStyle w:val="Table"/>
        <w:tblW w:w="0" w:type="auto"/>
        <w:tblLook w:val="0020" w:firstRow="1" w:lastRow="0" w:firstColumn="0" w:lastColumn="0" w:noHBand="0" w:noVBand="0"/>
      </w:tblPr>
      <w:tblGrid>
        <w:gridCol w:w="2417"/>
        <w:gridCol w:w="1070"/>
        <w:gridCol w:w="1960"/>
      </w:tblGrid>
      <w:tr w:rsidR="00842324" w14:paraId="5D0410F3"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0F0" w14:textId="77777777" w:rsidR="00842324" w:rsidRDefault="00000000">
            <w:pPr>
              <w:pStyle w:val="Compact"/>
            </w:pPr>
            <w:r>
              <w:t>Test</w:t>
            </w:r>
          </w:p>
        </w:tc>
        <w:tc>
          <w:tcPr>
            <w:tcW w:w="0" w:type="auto"/>
          </w:tcPr>
          <w:p w14:paraId="5D0410F1" w14:textId="77777777" w:rsidR="00842324" w:rsidRDefault="00000000">
            <w:pPr>
              <w:pStyle w:val="Compact"/>
            </w:pPr>
            <w:r>
              <w:t>Statistic</w:t>
            </w:r>
          </w:p>
        </w:tc>
        <w:tc>
          <w:tcPr>
            <w:tcW w:w="0" w:type="auto"/>
          </w:tcPr>
          <w:p w14:paraId="5D0410F2" w14:textId="77777777" w:rsidR="00842324" w:rsidRDefault="00000000">
            <w:pPr>
              <w:pStyle w:val="Compact"/>
            </w:pPr>
            <w:r>
              <w:t>p-value</w:t>
            </w:r>
          </w:p>
        </w:tc>
      </w:tr>
      <w:tr w:rsidR="00842324" w14:paraId="5D0410F7" w14:textId="77777777">
        <w:tc>
          <w:tcPr>
            <w:tcW w:w="0" w:type="auto"/>
          </w:tcPr>
          <w:p w14:paraId="5D0410F4" w14:textId="77777777" w:rsidR="00842324" w:rsidRDefault="00000000">
            <w:pPr>
              <w:pStyle w:val="Compact"/>
            </w:pPr>
            <w:r>
              <w:t>Kolmogorov–Smirnov</w:t>
            </w:r>
          </w:p>
        </w:tc>
        <w:tc>
          <w:tcPr>
            <w:tcW w:w="0" w:type="auto"/>
          </w:tcPr>
          <w:p w14:paraId="5D0410F5" w14:textId="77777777" w:rsidR="00842324" w:rsidRDefault="00000000">
            <w:pPr>
              <w:pStyle w:val="Compact"/>
            </w:pPr>
            <w:r>
              <w:t>0.1057</w:t>
            </w:r>
          </w:p>
        </w:tc>
        <w:tc>
          <w:tcPr>
            <w:tcW w:w="0" w:type="auto"/>
          </w:tcPr>
          <w:p w14:paraId="5D0410F6" w14:textId="77777777" w:rsidR="00842324" w:rsidRDefault="00000000">
            <w:pPr>
              <w:pStyle w:val="Compact"/>
            </w:pPr>
            <w:r>
              <w:t>≈ 5.90 × 10⁻⁸⁸</w:t>
            </w:r>
          </w:p>
        </w:tc>
      </w:tr>
      <w:tr w:rsidR="00842324" w14:paraId="5D0410FB" w14:textId="77777777">
        <w:tc>
          <w:tcPr>
            <w:tcW w:w="0" w:type="auto"/>
          </w:tcPr>
          <w:p w14:paraId="5D0410F8" w14:textId="77777777" w:rsidR="00842324" w:rsidRDefault="00000000">
            <w:pPr>
              <w:pStyle w:val="Compact"/>
            </w:pPr>
            <w:r>
              <w:t>Cramér–von Mises</w:t>
            </w:r>
          </w:p>
        </w:tc>
        <w:tc>
          <w:tcPr>
            <w:tcW w:w="0" w:type="auto"/>
          </w:tcPr>
          <w:p w14:paraId="5D0410F9" w14:textId="77777777" w:rsidR="00842324" w:rsidRDefault="00000000">
            <w:pPr>
              <w:pStyle w:val="Compact"/>
            </w:pPr>
            <w:r>
              <w:t>21.28</w:t>
            </w:r>
          </w:p>
        </w:tc>
        <w:tc>
          <w:tcPr>
            <w:tcW w:w="0" w:type="auto"/>
          </w:tcPr>
          <w:p w14:paraId="5D0410FA" w14:textId="77777777" w:rsidR="00842324" w:rsidRDefault="00000000">
            <w:pPr>
              <w:pStyle w:val="Compact"/>
            </w:pPr>
            <w:r>
              <w:t>≈ 2.47 × 10⁻⁹</w:t>
            </w:r>
          </w:p>
        </w:tc>
      </w:tr>
      <w:tr w:rsidR="00842324" w14:paraId="5D0410FF" w14:textId="77777777">
        <w:tc>
          <w:tcPr>
            <w:tcW w:w="0" w:type="auto"/>
          </w:tcPr>
          <w:p w14:paraId="5D0410FC" w14:textId="77777777" w:rsidR="00842324" w:rsidRDefault="00000000">
            <w:pPr>
              <w:pStyle w:val="Compact"/>
            </w:pPr>
            <w:r>
              <w:t>Anderson–Darling</w:t>
            </w:r>
          </w:p>
        </w:tc>
        <w:tc>
          <w:tcPr>
            <w:tcW w:w="0" w:type="auto"/>
          </w:tcPr>
          <w:p w14:paraId="5D0410FD" w14:textId="77777777" w:rsidR="00842324" w:rsidRDefault="00000000">
            <w:pPr>
              <w:pStyle w:val="Compact"/>
            </w:pPr>
            <w:r>
              <w:t>519.20</w:t>
            </w:r>
          </w:p>
        </w:tc>
        <w:tc>
          <w:tcPr>
            <w:tcW w:w="0" w:type="auto"/>
          </w:tcPr>
          <w:p w14:paraId="5D0410FE" w14:textId="77777777" w:rsidR="00842324" w:rsidRDefault="00000000">
            <w:pPr>
              <w:pStyle w:val="Compact"/>
            </w:pPr>
            <w:r>
              <w:t>&gt;&gt; critical values</w:t>
            </w:r>
          </w:p>
        </w:tc>
      </w:tr>
    </w:tbl>
    <w:p w14:paraId="5D041100" w14:textId="77777777" w:rsidR="00842324" w:rsidRDefault="00000000">
      <w:pPr>
        <w:pStyle w:val="BodyText"/>
      </w:pPr>
      <w:r>
        <w:t>PIT uniformity strongly rejected.</w:t>
      </w:r>
    </w:p>
    <w:p w14:paraId="5D041101" w14:textId="77777777" w:rsidR="00842324" w:rsidRDefault="00000000">
      <w:pPr>
        <w:pStyle w:val="Heading4"/>
      </w:pPr>
      <w:bookmarkStart w:id="98" w:name="independence-tests-ljungbox-on-z-φ¹u-2"/>
      <w:bookmarkEnd w:id="97"/>
      <w:r>
        <w:t>Independence Tests (Ljung–Box on z = Φ⁻¹(u))</w:t>
      </w:r>
    </w:p>
    <w:tbl>
      <w:tblPr>
        <w:tblStyle w:val="Table"/>
        <w:tblW w:w="0" w:type="auto"/>
        <w:tblLook w:val="0020" w:firstRow="1" w:lastRow="0" w:firstColumn="0" w:lastColumn="0" w:noHBand="0" w:noVBand="0"/>
      </w:tblPr>
      <w:tblGrid>
        <w:gridCol w:w="580"/>
        <w:gridCol w:w="1070"/>
        <w:gridCol w:w="992"/>
      </w:tblGrid>
      <w:tr w:rsidR="00842324" w14:paraId="5D041105"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102" w14:textId="77777777" w:rsidR="00842324" w:rsidRDefault="00000000">
            <w:pPr>
              <w:pStyle w:val="Compact"/>
            </w:pPr>
            <w:r>
              <w:t>Lag</w:t>
            </w:r>
          </w:p>
        </w:tc>
        <w:tc>
          <w:tcPr>
            <w:tcW w:w="0" w:type="auto"/>
          </w:tcPr>
          <w:p w14:paraId="5D041103" w14:textId="77777777" w:rsidR="00842324" w:rsidRDefault="00000000">
            <w:pPr>
              <w:pStyle w:val="Compact"/>
            </w:pPr>
            <w:r>
              <w:t>Statistic</w:t>
            </w:r>
          </w:p>
        </w:tc>
        <w:tc>
          <w:tcPr>
            <w:tcW w:w="0" w:type="auto"/>
          </w:tcPr>
          <w:p w14:paraId="5D041104" w14:textId="77777777" w:rsidR="00842324" w:rsidRDefault="00000000">
            <w:pPr>
              <w:pStyle w:val="Compact"/>
            </w:pPr>
            <w:r>
              <w:t>p-value</w:t>
            </w:r>
          </w:p>
        </w:tc>
      </w:tr>
      <w:tr w:rsidR="00842324" w14:paraId="5D041109" w14:textId="77777777">
        <w:tc>
          <w:tcPr>
            <w:tcW w:w="0" w:type="auto"/>
          </w:tcPr>
          <w:p w14:paraId="5D041106" w14:textId="77777777" w:rsidR="00842324" w:rsidRDefault="00000000">
            <w:pPr>
              <w:pStyle w:val="Compact"/>
            </w:pPr>
            <w:r>
              <w:t>5</w:t>
            </w:r>
          </w:p>
        </w:tc>
        <w:tc>
          <w:tcPr>
            <w:tcW w:w="0" w:type="auto"/>
          </w:tcPr>
          <w:p w14:paraId="5D041107" w14:textId="77777777" w:rsidR="00842324" w:rsidRDefault="00000000">
            <w:pPr>
              <w:pStyle w:val="Compact"/>
            </w:pPr>
            <w:r>
              <w:t>25,553</w:t>
            </w:r>
          </w:p>
        </w:tc>
        <w:tc>
          <w:tcPr>
            <w:tcW w:w="0" w:type="auto"/>
          </w:tcPr>
          <w:p w14:paraId="5D041108" w14:textId="77777777" w:rsidR="00842324" w:rsidRDefault="00000000">
            <w:pPr>
              <w:pStyle w:val="Compact"/>
            </w:pPr>
            <w:r>
              <w:t>≈ 0</w:t>
            </w:r>
          </w:p>
        </w:tc>
      </w:tr>
      <w:tr w:rsidR="00842324" w14:paraId="5D04110D" w14:textId="77777777">
        <w:tc>
          <w:tcPr>
            <w:tcW w:w="0" w:type="auto"/>
          </w:tcPr>
          <w:p w14:paraId="5D04110A" w14:textId="77777777" w:rsidR="00842324" w:rsidRDefault="00000000">
            <w:pPr>
              <w:pStyle w:val="Compact"/>
            </w:pPr>
            <w:r>
              <w:t>10</w:t>
            </w:r>
          </w:p>
        </w:tc>
        <w:tc>
          <w:tcPr>
            <w:tcW w:w="0" w:type="auto"/>
          </w:tcPr>
          <w:p w14:paraId="5D04110B" w14:textId="77777777" w:rsidR="00842324" w:rsidRDefault="00000000">
            <w:pPr>
              <w:pStyle w:val="Compact"/>
            </w:pPr>
            <w:r>
              <w:t>40,250</w:t>
            </w:r>
          </w:p>
        </w:tc>
        <w:tc>
          <w:tcPr>
            <w:tcW w:w="0" w:type="auto"/>
          </w:tcPr>
          <w:p w14:paraId="5D04110C" w14:textId="77777777" w:rsidR="00842324" w:rsidRDefault="00000000">
            <w:pPr>
              <w:pStyle w:val="Compact"/>
            </w:pPr>
            <w:r>
              <w:t>≈ 0</w:t>
            </w:r>
          </w:p>
        </w:tc>
      </w:tr>
      <w:tr w:rsidR="00842324" w14:paraId="5D041111" w14:textId="77777777">
        <w:tc>
          <w:tcPr>
            <w:tcW w:w="0" w:type="auto"/>
          </w:tcPr>
          <w:p w14:paraId="5D04110E" w14:textId="77777777" w:rsidR="00842324" w:rsidRDefault="00000000">
            <w:pPr>
              <w:pStyle w:val="Compact"/>
            </w:pPr>
            <w:r>
              <w:t>20</w:t>
            </w:r>
          </w:p>
        </w:tc>
        <w:tc>
          <w:tcPr>
            <w:tcW w:w="0" w:type="auto"/>
          </w:tcPr>
          <w:p w14:paraId="5D04110F" w14:textId="77777777" w:rsidR="00842324" w:rsidRDefault="00000000">
            <w:pPr>
              <w:pStyle w:val="Compact"/>
            </w:pPr>
            <w:r>
              <w:t>56,247</w:t>
            </w:r>
          </w:p>
        </w:tc>
        <w:tc>
          <w:tcPr>
            <w:tcW w:w="0" w:type="auto"/>
          </w:tcPr>
          <w:p w14:paraId="5D041110" w14:textId="77777777" w:rsidR="00842324" w:rsidRDefault="00000000">
            <w:pPr>
              <w:pStyle w:val="Compact"/>
            </w:pPr>
            <w:r>
              <w:t>≈ 0</w:t>
            </w:r>
          </w:p>
        </w:tc>
      </w:tr>
    </w:tbl>
    <w:p w14:paraId="5D041112" w14:textId="77777777" w:rsidR="00842324" w:rsidRDefault="00000000">
      <w:pPr>
        <w:pStyle w:val="BodyText"/>
      </w:pPr>
      <w:r>
        <w:t>Serial independence overwhelmingly rejected.</w:t>
      </w:r>
    </w:p>
    <w:p w14:paraId="5D041113" w14:textId="77777777" w:rsidR="00842324" w:rsidRDefault="00000000">
      <w:pPr>
        <w:pStyle w:val="CaptionedFigure"/>
      </w:pPr>
      <w:r>
        <w:rPr>
          <w:noProof/>
        </w:rPr>
        <w:drawing>
          <wp:inline distT="0" distB="0" distL="0" distR="0" wp14:anchorId="5D0415ED" wp14:editId="5D0415EE">
            <wp:extent cx="5334000" cy="1385062"/>
            <wp:effectExtent l="0" t="0" r="0" b="0"/>
            <wp:docPr id="85" name="Picture" descr="PIT diagnostic plots for Wind (n=9,000). Strong lower-tail concentration visible in histogram; ACF(1)=0.855 indicates persistent serial dependence; Q-Q plot shows systematic departure."/>
            <wp:cNvGraphicFramePr/>
            <a:graphic xmlns:a="http://schemas.openxmlformats.org/drawingml/2006/main">
              <a:graphicData uri="http://schemas.openxmlformats.org/drawingml/2006/picture">
                <pic:pic xmlns:pic="http://schemas.openxmlformats.org/drawingml/2006/picture">
                  <pic:nvPicPr>
                    <pic:cNvPr id="86" name="Picture" descr="figures/pit_diagnostics_wind.png"/>
                    <pic:cNvPicPr>
                      <a:picLocks noChangeAspect="1" noChangeArrowheads="1"/>
                    </pic:cNvPicPr>
                  </pic:nvPicPr>
                  <pic:blipFill>
                    <a:blip r:embed="rId7"/>
                    <a:stretch>
                      <a:fillRect/>
                    </a:stretch>
                  </pic:blipFill>
                  <pic:spPr bwMode="auto">
                    <a:xfrm>
                      <a:off x="0" y="0"/>
                      <a:ext cx="5334000" cy="1385062"/>
                    </a:xfrm>
                    <a:prstGeom prst="rect">
                      <a:avLst/>
                    </a:prstGeom>
                    <a:noFill/>
                    <a:ln w="9525">
                      <a:noFill/>
                      <a:headEnd/>
                      <a:tailEnd/>
                    </a:ln>
                  </pic:spPr>
                </pic:pic>
              </a:graphicData>
            </a:graphic>
          </wp:inline>
        </w:drawing>
      </w:r>
    </w:p>
    <w:p w14:paraId="5D041114" w14:textId="77777777" w:rsidR="00842324" w:rsidRDefault="00000000">
      <w:pPr>
        <w:pStyle w:val="ImageCaption"/>
      </w:pPr>
      <w:r>
        <w:t>PIT diagnostic plots for Wind (n=9,000). Strong lower-tail concentration visible in histogram; ACF(1)=0.855 indicates persistent serial dependence; Q-Q plot shows systematic departure.</w:t>
      </w:r>
    </w:p>
    <w:p w14:paraId="5D041115" w14:textId="77777777" w:rsidR="00842324" w:rsidRDefault="00000000">
      <w:r>
        <w:pict w14:anchorId="5D0415EF">
          <v:rect id="_x0000_i1053" style="width:0;height:1.5pt" o:hralign="center" o:hrstd="t" o:hr="t"/>
        </w:pict>
      </w:r>
    </w:p>
    <w:p w14:paraId="5D041116" w14:textId="77777777" w:rsidR="00842324" w:rsidRDefault="00000000">
      <w:pPr>
        <w:pStyle w:val="Heading3"/>
      </w:pPr>
      <w:bookmarkStart w:id="99" w:name="proper-scoring-2"/>
      <w:bookmarkEnd w:id="96"/>
      <w:bookmarkEnd w:id="98"/>
      <w:r>
        <w:t>3.3 Proper Scoring</w:t>
      </w:r>
    </w:p>
    <w:p w14:paraId="5D041117" w14:textId="77777777" w:rsidR="00842324" w:rsidRDefault="00000000">
      <w:pPr>
        <w:pStyle w:val="Compact"/>
        <w:numPr>
          <w:ilvl w:val="0"/>
          <w:numId w:val="19"/>
        </w:numPr>
      </w:pPr>
      <w:r>
        <w:t>Mean CRPS: 1.7893</w:t>
      </w:r>
    </w:p>
    <w:p w14:paraId="5D041118" w14:textId="77777777" w:rsidR="00842324" w:rsidRDefault="00000000">
      <w:pPr>
        <w:pStyle w:val="Compact"/>
        <w:numPr>
          <w:ilvl w:val="0"/>
          <w:numId w:val="19"/>
        </w:numPr>
      </w:pPr>
      <w:r>
        <w:t>Empirical coverage: 88.62%</w:t>
      </w:r>
    </w:p>
    <w:p w14:paraId="5D041119" w14:textId="77777777" w:rsidR="00842324" w:rsidRDefault="00000000">
      <w:pPr>
        <w:pStyle w:val="Compact"/>
        <w:numPr>
          <w:ilvl w:val="0"/>
          <w:numId w:val="19"/>
        </w:numPr>
      </w:pPr>
      <w:r>
        <w:t>Coverage error: −1.38 pp</w:t>
      </w:r>
    </w:p>
    <w:p w14:paraId="5D04111A" w14:textId="77777777" w:rsidR="00842324" w:rsidRDefault="00000000">
      <w:r>
        <w:pict w14:anchorId="5D0415F0">
          <v:rect id="_x0000_i1054" style="width:0;height:1.5pt" o:hralign="center" o:hrstd="t" o:hr="t"/>
        </w:pict>
      </w:r>
    </w:p>
    <w:p w14:paraId="5D04111B" w14:textId="77777777" w:rsidR="00842324" w:rsidRDefault="00000000">
      <w:pPr>
        <w:pStyle w:val="Heading3"/>
      </w:pPr>
      <w:bookmarkStart w:id="100" w:name="governance-classification-3"/>
      <w:bookmarkEnd w:id="99"/>
      <w:r>
        <w:t>3.4 Governance Classification</w:t>
      </w:r>
    </w:p>
    <w:tbl>
      <w:tblPr>
        <w:tblStyle w:val="Table"/>
        <w:tblW w:w="0" w:type="auto"/>
        <w:tblLook w:val="0020" w:firstRow="1" w:lastRow="0" w:firstColumn="0" w:lastColumn="0" w:noHBand="0" w:noVBand="0"/>
      </w:tblPr>
      <w:tblGrid>
        <w:gridCol w:w="2398"/>
        <w:gridCol w:w="1913"/>
      </w:tblGrid>
      <w:tr w:rsidR="00842324" w14:paraId="5D04111E"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11C" w14:textId="77777777" w:rsidR="00842324" w:rsidRDefault="00000000">
            <w:pPr>
              <w:pStyle w:val="Compact"/>
            </w:pPr>
            <w:r>
              <w:t>Criterion</w:t>
            </w:r>
          </w:p>
        </w:tc>
        <w:tc>
          <w:tcPr>
            <w:tcW w:w="0" w:type="auto"/>
          </w:tcPr>
          <w:p w14:paraId="5D04111D" w14:textId="77777777" w:rsidR="00842324" w:rsidRDefault="00000000">
            <w:pPr>
              <w:pStyle w:val="Compact"/>
            </w:pPr>
            <w:r>
              <w:t>Status</w:t>
            </w:r>
          </w:p>
        </w:tc>
      </w:tr>
      <w:tr w:rsidR="00842324" w14:paraId="5D041121" w14:textId="77777777">
        <w:tc>
          <w:tcPr>
            <w:tcW w:w="0" w:type="auto"/>
          </w:tcPr>
          <w:p w14:paraId="5D04111F" w14:textId="77777777" w:rsidR="00842324" w:rsidRDefault="00000000">
            <w:pPr>
              <w:pStyle w:val="Compact"/>
            </w:pPr>
            <w:r>
              <w:t>PIT uniformity</w:t>
            </w:r>
          </w:p>
        </w:tc>
        <w:tc>
          <w:tcPr>
            <w:tcW w:w="0" w:type="auto"/>
          </w:tcPr>
          <w:p w14:paraId="5D041120" w14:textId="77777777" w:rsidR="00842324" w:rsidRDefault="00000000">
            <w:pPr>
              <w:pStyle w:val="Compact"/>
            </w:pPr>
            <w:r>
              <w:t>FAIL</w:t>
            </w:r>
          </w:p>
        </w:tc>
      </w:tr>
      <w:tr w:rsidR="00842324" w14:paraId="5D041124" w14:textId="77777777">
        <w:tc>
          <w:tcPr>
            <w:tcW w:w="0" w:type="auto"/>
          </w:tcPr>
          <w:p w14:paraId="5D041122" w14:textId="77777777" w:rsidR="00842324" w:rsidRDefault="00000000">
            <w:pPr>
              <w:pStyle w:val="Compact"/>
            </w:pPr>
            <w:r>
              <w:t>PIT independence</w:t>
            </w:r>
          </w:p>
        </w:tc>
        <w:tc>
          <w:tcPr>
            <w:tcW w:w="0" w:type="auto"/>
          </w:tcPr>
          <w:p w14:paraId="5D041123" w14:textId="77777777" w:rsidR="00842324" w:rsidRDefault="00000000">
            <w:pPr>
              <w:pStyle w:val="Compact"/>
            </w:pPr>
            <w:r>
              <w:t>FAIL</w:t>
            </w:r>
          </w:p>
        </w:tc>
      </w:tr>
      <w:tr w:rsidR="00842324" w14:paraId="5D041127" w14:textId="77777777">
        <w:tc>
          <w:tcPr>
            <w:tcW w:w="0" w:type="auto"/>
          </w:tcPr>
          <w:p w14:paraId="5D041125" w14:textId="77777777" w:rsidR="00842324" w:rsidRDefault="00000000">
            <w:pPr>
              <w:pStyle w:val="Compact"/>
            </w:pPr>
            <w:r>
              <w:lastRenderedPageBreak/>
              <w:t>Interval coverage</w:t>
            </w:r>
          </w:p>
        </w:tc>
        <w:tc>
          <w:tcPr>
            <w:tcW w:w="0" w:type="auto"/>
          </w:tcPr>
          <w:p w14:paraId="5D041126" w14:textId="77777777" w:rsidR="00842324" w:rsidRDefault="00000000">
            <w:pPr>
              <w:pStyle w:val="Compact"/>
            </w:pPr>
            <w:r>
              <w:t>−1.38 pp (under)</w:t>
            </w:r>
          </w:p>
        </w:tc>
      </w:tr>
      <w:tr w:rsidR="00842324" w14:paraId="5D04112A" w14:textId="77777777">
        <w:tc>
          <w:tcPr>
            <w:tcW w:w="0" w:type="auto"/>
          </w:tcPr>
          <w:p w14:paraId="5D041128" w14:textId="77777777" w:rsidR="00842324" w:rsidRDefault="00000000">
            <w:pPr>
              <w:pStyle w:val="Compact"/>
            </w:pPr>
            <w:r>
              <w:t>Lower tail</w:t>
            </w:r>
          </w:p>
        </w:tc>
        <w:tc>
          <w:tcPr>
            <w:tcW w:w="0" w:type="auto"/>
          </w:tcPr>
          <w:p w14:paraId="5D041129" w14:textId="77777777" w:rsidR="00842324" w:rsidRDefault="00000000">
            <w:pPr>
              <w:pStyle w:val="Compact"/>
            </w:pPr>
            <w:r>
              <w:t>RED</w:t>
            </w:r>
          </w:p>
        </w:tc>
      </w:tr>
      <w:tr w:rsidR="00842324" w14:paraId="5D04112D" w14:textId="77777777">
        <w:tc>
          <w:tcPr>
            <w:tcW w:w="0" w:type="auto"/>
          </w:tcPr>
          <w:p w14:paraId="5D04112B" w14:textId="77777777" w:rsidR="00842324" w:rsidRDefault="00000000">
            <w:pPr>
              <w:pStyle w:val="Compact"/>
            </w:pPr>
            <w:r>
              <w:t>Upper tail</w:t>
            </w:r>
          </w:p>
        </w:tc>
        <w:tc>
          <w:tcPr>
            <w:tcW w:w="0" w:type="auto"/>
          </w:tcPr>
          <w:p w14:paraId="5D04112C" w14:textId="77777777" w:rsidR="00842324" w:rsidRDefault="00000000">
            <w:pPr>
              <w:pStyle w:val="Compact"/>
            </w:pPr>
            <w:r>
              <w:t>GREEN</w:t>
            </w:r>
          </w:p>
        </w:tc>
      </w:tr>
      <w:tr w:rsidR="00842324" w14:paraId="5D041130" w14:textId="77777777">
        <w:tc>
          <w:tcPr>
            <w:tcW w:w="0" w:type="auto"/>
          </w:tcPr>
          <w:p w14:paraId="5D04112E" w14:textId="77777777" w:rsidR="00842324" w:rsidRDefault="00000000">
            <w:pPr>
              <w:pStyle w:val="Compact"/>
            </w:pPr>
            <w:r>
              <w:t>Overall classification</w:t>
            </w:r>
          </w:p>
        </w:tc>
        <w:tc>
          <w:tcPr>
            <w:tcW w:w="0" w:type="auto"/>
          </w:tcPr>
          <w:p w14:paraId="5D04112F" w14:textId="77777777" w:rsidR="00842324" w:rsidRDefault="00000000">
            <w:pPr>
              <w:pStyle w:val="Compact"/>
            </w:pPr>
            <w:r>
              <w:rPr>
                <w:b/>
                <w:bCs/>
              </w:rPr>
              <w:t>RED</w:t>
            </w:r>
          </w:p>
        </w:tc>
      </w:tr>
    </w:tbl>
    <w:p w14:paraId="5D041131" w14:textId="77777777" w:rsidR="00842324" w:rsidRDefault="00000000">
      <w:r>
        <w:pict w14:anchorId="5D0415F1">
          <v:rect id="_x0000_i1055" style="width:0;height:1.5pt" o:hralign="center" o:hrstd="t" o:hr="t"/>
        </w:pict>
      </w:r>
    </w:p>
    <w:p w14:paraId="5D041132" w14:textId="77777777" w:rsidR="00842324" w:rsidRDefault="00000000">
      <w:pPr>
        <w:pStyle w:val="Heading3"/>
      </w:pPr>
      <w:bookmarkStart w:id="101" w:name="rolling-evaluation-3"/>
      <w:bookmarkEnd w:id="100"/>
      <w:r>
        <w:t>3.5 Rolling Evaluation</w:t>
      </w:r>
    </w:p>
    <w:p w14:paraId="5D041133" w14:textId="77777777" w:rsidR="00842324" w:rsidRDefault="00000000">
      <w:pPr>
        <w:pStyle w:val="FirstParagraph"/>
      </w:pPr>
      <w:r>
        <w:t>Rolling diagnostics confirm that the lower-tail excess breach is persistent across subperiods rather than concentrated in any specific weather regime. PIT independence violations are similarly stable, consistent with a structural misspecification in the wind speed forecast or power curve assumption rather than a localised regime failure.</w:t>
      </w:r>
    </w:p>
    <w:p w14:paraId="5D041134" w14:textId="77777777" w:rsidR="00842324" w:rsidRDefault="00000000">
      <w:r>
        <w:pict w14:anchorId="5D0415F2">
          <v:rect id="_x0000_i1056" style="width:0;height:1.5pt" o:hralign="center" o:hrstd="t" o:hr="t"/>
        </w:pict>
      </w:r>
    </w:p>
    <w:p w14:paraId="5D041135" w14:textId="77777777" w:rsidR="00842324" w:rsidRDefault="00000000">
      <w:pPr>
        <w:pStyle w:val="Heading2"/>
      </w:pPr>
      <w:bookmarkStart w:id="102" w:name="synthetic-simulation-model-run_004"/>
      <w:bookmarkStart w:id="103" w:name="_Toc225682087"/>
      <w:bookmarkEnd w:id="93"/>
      <w:bookmarkEnd w:id="101"/>
      <w:r>
        <w:t>4. Synthetic Simulation Model (run_004)</w:t>
      </w:r>
      <w:bookmarkEnd w:id="103"/>
    </w:p>
    <w:p w14:paraId="5D041136" w14:textId="77777777" w:rsidR="00842324" w:rsidRDefault="00000000">
      <w:pPr>
        <w:pStyle w:val="FirstParagraph"/>
      </w:pPr>
      <w:r>
        <w:rPr>
          <w:b/>
          <w:bCs/>
        </w:rPr>
        <w:t>Dataset:</w:t>
      </w:r>
      <w:r>
        <w:t xml:space="preserve"> Synthetic price and temperature series generated from a known joint Gaussian DGP (correlated, ρ = 0.5) with intraday and seasonal seasonality. y_hat computed as empirical quantiles of 5,000 simulation paths. This constitutes a </w:t>
      </w:r>
      <w:r>
        <w:rPr>
          <w:b/>
          <w:bCs/>
        </w:rPr>
        <w:t>positive control</w:t>
      </w:r>
      <w:r>
        <w:t xml:space="preserve">: the model is correctly specified by construction, so the framework should return GREEN. </w:t>
      </w:r>
      <w:r>
        <w:rPr>
          <w:b/>
          <w:bCs/>
        </w:rPr>
        <w:t>Evaluable observations:</w:t>
      </w:r>
      <w:r>
        <w:t xml:space="preserve"> n = 365 (one per as-of date). </w:t>
      </w:r>
      <w:r>
        <w:rPr>
          <w:b/>
          <w:bCs/>
        </w:rPr>
        <w:t>Nominal level:</w:t>
      </w:r>
      <w:r>
        <w:t xml:space="preserve"> α = 0.1.</w:t>
      </w:r>
    </w:p>
    <w:p w14:paraId="5D041137" w14:textId="77777777" w:rsidR="00842324" w:rsidRDefault="00000000">
      <w:r>
        <w:pict w14:anchorId="5D0415F3">
          <v:rect id="_x0000_i1057" style="width:0;height:1.5pt" o:hralign="center" o:hrstd="t" o:hr="t"/>
        </w:pict>
      </w:r>
    </w:p>
    <w:p w14:paraId="5D041138" w14:textId="77777777" w:rsidR="00842324" w:rsidRDefault="00000000">
      <w:pPr>
        <w:pStyle w:val="Heading3"/>
      </w:pPr>
      <w:bookmarkStart w:id="104" w:name="X28607f05059b4f85acc69e42dac55d830cca15e"/>
      <w:r>
        <w:t>4.1 Interval Backtesting (Anfuso Traffic-Light Framework)</w:t>
      </w:r>
    </w:p>
    <w:tbl>
      <w:tblPr>
        <w:tblStyle w:val="Table"/>
        <w:tblW w:w="5000" w:type="pct"/>
        <w:tblLayout w:type="fixed"/>
        <w:tblLook w:val="0020" w:firstRow="1" w:lastRow="0" w:firstColumn="0" w:lastColumn="0" w:noHBand="0" w:noVBand="0"/>
      </w:tblPr>
      <w:tblGrid>
        <w:gridCol w:w="995"/>
        <w:gridCol w:w="1618"/>
        <w:gridCol w:w="1617"/>
        <w:gridCol w:w="1617"/>
        <w:gridCol w:w="1243"/>
        <w:gridCol w:w="1243"/>
        <w:gridCol w:w="1243"/>
      </w:tblGrid>
      <w:tr w:rsidR="00842324" w14:paraId="5D041140"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822" w:type="dxa"/>
          </w:tcPr>
          <w:p w14:paraId="5D041139" w14:textId="77777777" w:rsidR="00842324" w:rsidRDefault="00000000">
            <w:pPr>
              <w:pStyle w:val="Compact"/>
            </w:pPr>
            <w:r>
              <w:t>Series</w:t>
            </w:r>
          </w:p>
        </w:tc>
        <w:tc>
          <w:tcPr>
            <w:tcW w:w="1337" w:type="dxa"/>
          </w:tcPr>
          <w:p w14:paraId="5D04113A" w14:textId="77777777" w:rsidR="00842324" w:rsidRDefault="00000000">
            <w:pPr>
              <w:pStyle w:val="Compact"/>
            </w:pPr>
            <w:r>
              <w:t>Lower Breach</w:t>
            </w:r>
          </w:p>
        </w:tc>
        <w:tc>
          <w:tcPr>
            <w:tcW w:w="1337" w:type="dxa"/>
          </w:tcPr>
          <w:p w14:paraId="5D04113B" w14:textId="77777777" w:rsidR="00842324" w:rsidRDefault="00000000">
            <w:pPr>
              <w:pStyle w:val="Compact"/>
            </w:pPr>
            <w:r>
              <w:t>Upper Breach</w:t>
            </w:r>
          </w:p>
        </w:tc>
        <w:tc>
          <w:tcPr>
            <w:tcW w:w="1337" w:type="dxa"/>
          </w:tcPr>
          <w:p w14:paraId="5D04113C" w14:textId="77777777" w:rsidR="00842324" w:rsidRDefault="00000000">
            <w:pPr>
              <w:pStyle w:val="Compact"/>
            </w:pPr>
            <w:r>
              <w:t>Total Breach</w:t>
            </w:r>
          </w:p>
        </w:tc>
        <w:tc>
          <w:tcPr>
            <w:tcW w:w="1028" w:type="dxa"/>
          </w:tcPr>
          <w:p w14:paraId="5D04113D" w14:textId="77777777" w:rsidR="00842324" w:rsidRDefault="00000000">
            <w:pPr>
              <w:pStyle w:val="Compact"/>
            </w:pPr>
            <w:r>
              <w:t>Lower TL</w:t>
            </w:r>
          </w:p>
        </w:tc>
        <w:tc>
          <w:tcPr>
            <w:tcW w:w="1028" w:type="dxa"/>
          </w:tcPr>
          <w:p w14:paraId="5D04113E" w14:textId="77777777" w:rsidR="00842324" w:rsidRDefault="00000000">
            <w:pPr>
              <w:pStyle w:val="Compact"/>
            </w:pPr>
            <w:r>
              <w:t>Upper TL</w:t>
            </w:r>
          </w:p>
        </w:tc>
        <w:tc>
          <w:tcPr>
            <w:tcW w:w="1028" w:type="dxa"/>
          </w:tcPr>
          <w:p w14:paraId="5D04113F" w14:textId="77777777" w:rsidR="00842324" w:rsidRDefault="00000000">
            <w:pPr>
              <w:pStyle w:val="Compact"/>
            </w:pPr>
            <w:r>
              <w:t>Total TL</w:t>
            </w:r>
          </w:p>
        </w:tc>
      </w:tr>
      <w:tr w:rsidR="00842324" w14:paraId="5D041148" w14:textId="77777777">
        <w:tc>
          <w:tcPr>
            <w:tcW w:w="822" w:type="dxa"/>
          </w:tcPr>
          <w:p w14:paraId="5D041141" w14:textId="77777777" w:rsidR="00842324" w:rsidRDefault="00000000">
            <w:pPr>
              <w:pStyle w:val="Compact"/>
            </w:pPr>
            <w:r>
              <w:t>Price</w:t>
            </w:r>
          </w:p>
        </w:tc>
        <w:tc>
          <w:tcPr>
            <w:tcW w:w="1337" w:type="dxa"/>
          </w:tcPr>
          <w:p w14:paraId="5D041142" w14:textId="77777777" w:rsidR="00842324" w:rsidRDefault="00000000">
            <w:pPr>
              <w:pStyle w:val="Compact"/>
            </w:pPr>
            <w:r>
              <w:t>6.58%</w:t>
            </w:r>
          </w:p>
        </w:tc>
        <w:tc>
          <w:tcPr>
            <w:tcW w:w="1337" w:type="dxa"/>
          </w:tcPr>
          <w:p w14:paraId="5D041143" w14:textId="77777777" w:rsidR="00842324" w:rsidRDefault="00000000">
            <w:pPr>
              <w:pStyle w:val="Compact"/>
            </w:pPr>
            <w:r>
              <w:t>4.93%</w:t>
            </w:r>
          </w:p>
        </w:tc>
        <w:tc>
          <w:tcPr>
            <w:tcW w:w="1337" w:type="dxa"/>
          </w:tcPr>
          <w:p w14:paraId="5D041144" w14:textId="77777777" w:rsidR="00842324" w:rsidRDefault="00000000">
            <w:pPr>
              <w:pStyle w:val="Compact"/>
            </w:pPr>
            <w:r>
              <w:t>11.51%</w:t>
            </w:r>
          </w:p>
        </w:tc>
        <w:tc>
          <w:tcPr>
            <w:tcW w:w="1028" w:type="dxa"/>
          </w:tcPr>
          <w:p w14:paraId="5D041145" w14:textId="77777777" w:rsidR="00842324" w:rsidRDefault="00000000">
            <w:pPr>
              <w:pStyle w:val="Compact"/>
            </w:pPr>
            <w:r>
              <w:t>GREEN</w:t>
            </w:r>
          </w:p>
        </w:tc>
        <w:tc>
          <w:tcPr>
            <w:tcW w:w="1028" w:type="dxa"/>
          </w:tcPr>
          <w:p w14:paraId="5D041146" w14:textId="77777777" w:rsidR="00842324" w:rsidRDefault="00000000">
            <w:pPr>
              <w:pStyle w:val="Compact"/>
            </w:pPr>
            <w:r>
              <w:t>GREEN</w:t>
            </w:r>
          </w:p>
        </w:tc>
        <w:tc>
          <w:tcPr>
            <w:tcW w:w="1028" w:type="dxa"/>
          </w:tcPr>
          <w:p w14:paraId="5D041147" w14:textId="77777777" w:rsidR="00842324" w:rsidRDefault="00000000">
            <w:pPr>
              <w:pStyle w:val="Compact"/>
            </w:pPr>
            <w:r>
              <w:t>GREEN</w:t>
            </w:r>
          </w:p>
        </w:tc>
      </w:tr>
      <w:tr w:rsidR="00842324" w14:paraId="5D041150" w14:textId="77777777">
        <w:tc>
          <w:tcPr>
            <w:tcW w:w="822" w:type="dxa"/>
          </w:tcPr>
          <w:p w14:paraId="5D041149" w14:textId="77777777" w:rsidR="00842324" w:rsidRDefault="00000000">
            <w:pPr>
              <w:pStyle w:val="Compact"/>
            </w:pPr>
            <w:r>
              <w:t>Temp</w:t>
            </w:r>
          </w:p>
        </w:tc>
        <w:tc>
          <w:tcPr>
            <w:tcW w:w="1337" w:type="dxa"/>
          </w:tcPr>
          <w:p w14:paraId="5D04114A" w14:textId="77777777" w:rsidR="00842324" w:rsidRDefault="00000000">
            <w:pPr>
              <w:pStyle w:val="Compact"/>
            </w:pPr>
            <w:r>
              <w:t>6.30%</w:t>
            </w:r>
          </w:p>
        </w:tc>
        <w:tc>
          <w:tcPr>
            <w:tcW w:w="1337" w:type="dxa"/>
          </w:tcPr>
          <w:p w14:paraId="5D04114B" w14:textId="77777777" w:rsidR="00842324" w:rsidRDefault="00000000">
            <w:pPr>
              <w:pStyle w:val="Compact"/>
            </w:pPr>
            <w:r>
              <w:t>4.11%</w:t>
            </w:r>
          </w:p>
        </w:tc>
        <w:tc>
          <w:tcPr>
            <w:tcW w:w="1337" w:type="dxa"/>
          </w:tcPr>
          <w:p w14:paraId="5D04114C" w14:textId="77777777" w:rsidR="00842324" w:rsidRDefault="00000000">
            <w:pPr>
              <w:pStyle w:val="Compact"/>
            </w:pPr>
            <w:r>
              <w:t>10.41%</w:t>
            </w:r>
          </w:p>
        </w:tc>
        <w:tc>
          <w:tcPr>
            <w:tcW w:w="1028" w:type="dxa"/>
          </w:tcPr>
          <w:p w14:paraId="5D04114D" w14:textId="77777777" w:rsidR="00842324" w:rsidRDefault="00000000">
            <w:pPr>
              <w:pStyle w:val="Compact"/>
            </w:pPr>
            <w:r>
              <w:t>GREEN</w:t>
            </w:r>
          </w:p>
        </w:tc>
        <w:tc>
          <w:tcPr>
            <w:tcW w:w="1028" w:type="dxa"/>
          </w:tcPr>
          <w:p w14:paraId="5D04114E" w14:textId="77777777" w:rsidR="00842324" w:rsidRDefault="00000000">
            <w:pPr>
              <w:pStyle w:val="Compact"/>
            </w:pPr>
            <w:r>
              <w:t>GREEN</w:t>
            </w:r>
          </w:p>
        </w:tc>
        <w:tc>
          <w:tcPr>
            <w:tcW w:w="1028" w:type="dxa"/>
          </w:tcPr>
          <w:p w14:paraId="5D04114F" w14:textId="77777777" w:rsidR="00842324" w:rsidRDefault="00000000">
            <w:pPr>
              <w:pStyle w:val="Compact"/>
            </w:pPr>
            <w:r>
              <w:t>GREEN</w:t>
            </w:r>
          </w:p>
        </w:tc>
      </w:tr>
    </w:tbl>
    <w:p w14:paraId="5D041151" w14:textId="77777777" w:rsidR="00842324" w:rsidRDefault="00000000">
      <w:pPr>
        <w:pStyle w:val="BodyText"/>
      </w:pPr>
      <w:r>
        <w:t>All breach rates within or close to nominal bounds. Binomial exceedance p-values comfortably above conventional rejection thresholds (price total p = 0.190; temp total p = 0.422). The positive control behaves as expected.</w:t>
      </w:r>
    </w:p>
    <w:p w14:paraId="5D041152" w14:textId="77777777" w:rsidR="00842324" w:rsidRDefault="00000000">
      <w:r>
        <w:pict w14:anchorId="5D0415F4">
          <v:rect id="_x0000_i1058" style="width:0;height:1.5pt" o:hralign="center" o:hrstd="t" o:hr="t"/>
        </w:pict>
      </w:r>
    </w:p>
    <w:p w14:paraId="5D041153" w14:textId="77777777" w:rsidR="00842324" w:rsidRDefault="00000000">
      <w:pPr>
        <w:pStyle w:val="Heading3"/>
      </w:pPr>
      <w:bookmarkStart w:id="105" w:name="governance-classification-4"/>
      <w:bookmarkEnd w:id="104"/>
      <w:r>
        <w:t>4.2 Governance Classification</w:t>
      </w:r>
    </w:p>
    <w:tbl>
      <w:tblPr>
        <w:tblStyle w:val="Table"/>
        <w:tblW w:w="0" w:type="auto"/>
        <w:tblLook w:val="0020" w:firstRow="1" w:lastRow="0" w:firstColumn="0" w:lastColumn="0" w:noHBand="0" w:noVBand="0"/>
      </w:tblPr>
      <w:tblGrid>
        <w:gridCol w:w="2398"/>
        <w:gridCol w:w="1067"/>
        <w:gridCol w:w="1067"/>
      </w:tblGrid>
      <w:tr w:rsidR="00842324" w14:paraId="5D041157"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154" w14:textId="77777777" w:rsidR="00842324" w:rsidRDefault="00000000">
            <w:pPr>
              <w:pStyle w:val="Compact"/>
            </w:pPr>
            <w:r>
              <w:t>Criterion</w:t>
            </w:r>
          </w:p>
        </w:tc>
        <w:tc>
          <w:tcPr>
            <w:tcW w:w="0" w:type="auto"/>
          </w:tcPr>
          <w:p w14:paraId="5D041155" w14:textId="77777777" w:rsidR="00842324" w:rsidRDefault="00000000">
            <w:pPr>
              <w:pStyle w:val="Compact"/>
            </w:pPr>
            <w:r>
              <w:t>Price</w:t>
            </w:r>
          </w:p>
        </w:tc>
        <w:tc>
          <w:tcPr>
            <w:tcW w:w="0" w:type="auto"/>
          </w:tcPr>
          <w:p w14:paraId="5D041156" w14:textId="77777777" w:rsidR="00842324" w:rsidRDefault="00000000">
            <w:pPr>
              <w:pStyle w:val="Compact"/>
            </w:pPr>
            <w:r>
              <w:t>Temp</w:t>
            </w:r>
          </w:p>
        </w:tc>
      </w:tr>
      <w:tr w:rsidR="00842324" w14:paraId="5D04115B" w14:textId="77777777">
        <w:tc>
          <w:tcPr>
            <w:tcW w:w="0" w:type="auto"/>
          </w:tcPr>
          <w:p w14:paraId="5D041158" w14:textId="77777777" w:rsidR="00842324" w:rsidRDefault="00000000">
            <w:pPr>
              <w:pStyle w:val="Compact"/>
            </w:pPr>
            <w:r>
              <w:t>Interval coverage</w:t>
            </w:r>
          </w:p>
        </w:tc>
        <w:tc>
          <w:tcPr>
            <w:tcW w:w="0" w:type="auto"/>
          </w:tcPr>
          <w:p w14:paraId="5D041159" w14:textId="77777777" w:rsidR="00842324" w:rsidRDefault="00000000">
            <w:pPr>
              <w:pStyle w:val="Compact"/>
            </w:pPr>
            <w:r>
              <w:t>88.49%</w:t>
            </w:r>
          </w:p>
        </w:tc>
        <w:tc>
          <w:tcPr>
            <w:tcW w:w="0" w:type="auto"/>
          </w:tcPr>
          <w:p w14:paraId="5D04115A" w14:textId="77777777" w:rsidR="00842324" w:rsidRDefault="00000000">
            <w:pPr>
              <w:pStyle w:val="Compact"/>
            </w:pPr>
            <w:r>
              <w:t>89.59%</w:t>
            </w:r>
          </w:p>
        </w:tc>
      </w:tr>
      <w:tr w:rsidR="00842324" w14:paraId="5D04115F" w14:textId="77777777">
        <w:tc>
          <w:tcPr>
            <w:tcW w:w="0" w:type="auto"/>
          </w:tcPr>
          <w:p w14:paraId="5D04115C" w14:textId="77777777" w:rsidR="00842324" w:rsidRDefault="00000000">
            <w:pPr>
              <w:pStyle w:val="Compact"/>
            </w:pPr>
            <w:r>
              <w:t>Coverage error</w:t>
            </w:r>
          </w:p>
        </w:tc>
        <w:tc>
          <w:tcPr>
            <w:tcW w:w="0" w:type="auto"/>
          </w:tcPr>
          <w:p w14:paraId="5D04115D" w14:textId="77777777" w:rsidR="00842324" w:rsidRDefault="00000000">
            <w:pPr>
              <w:pStyle w:val="Compact"/>
            </w:pPr>
            <w:r>
              <w:t>−1.51pp</w:t>
            </w:r>
          </w:p>
        </w:tc>
        <w:tc>
          <w:tcPr>
            <w:tcW w:w="0" w:type="auto"/>
          </w:tcPr>
          <w:p w14:paraId="5D04115E" w14:textId="77777777" w:rsidR="00842324" w:rsidRDefault="00000000">
            <w:pPr>
              <w:pStyle w:val="Compact"/>
            </w:pPr>
            <w:r>
              <w:t>−0.41pp</w:t>
            </w:r>
          </w:p>
        </w:tc>
      </w:tr>
      <w:tr w:rsidR="00842324" w14:paraId="5D041163" w14:textId="77777777">
        <w:tc>
          <w:tcPr>
            <w:tcW w:w="0" w:type="auto"/>
          </w:tcPr>
          <w:p w14:paraId="5D041160" w14:textId="77777777" w:rsidR="00842324" w:rsidRDefault="00000000">
            <w:pPr>
              <w:pStyle w:val="Compact"/>
            </w:pPr>
            <w:r>
              <w:t>Overall classification</w:t>
            </w:r>
          </w:p>
        </w:tc>
        <w:tc>
          <w:tcPr>
            <w:tcW w:w="0" w:type="auto"/>
          </w:tcPr>
          <w:p w14:paraId="5D041161" w14:textId="77777777" w:rsidR="00842324" w:rsidRDefault="00000000">
            <w:pPr>
              <w:pStyle w:val="Compact"/>
            </w:pPr>
            <w:r>
              <w:t>GREEN</w:t>
            </w:r>
          </w:p>
        </w:tc>
        <w:tc>
          <w:tcPr>
            <w:tcW w:w="0" w:type="auto"/>
          </w:tcPr>
          <w:p w14:paraId="5D041162" w14:textId="77777777" w:rsidR="00842324" w:rsidRDefault="00000000">
            <w:pPr>
              <w:pStyle w:val="Compact"/>
            </w:pPr>
            <w:r>
              <w:t>GREEN</w:t>
            </w:r>
          </w:p>
        </w:tc>
      </w:tr>
    </w:tbl>
    <w:p w14:paraId="5D041164" w14:textId="77777777" w:rsidR="00842324" w:rsidRDefault="00000000">
      <w:pPr>
        <w:pStyle w:val="BodyText"/>
      </w:pPr>
      <w:r>
        <w:rPr>
          <w:b/>
          <w:bCs/>
        </w:rPr>
        <w:lastRenderedPageBreak/>
        <w:t>Note on PIT diagnostics.</w:t>
      </w:r>
      <w:r>
        <w:t xml:space="preserve"> Full-sample PIT uniformity and independence statistics (min_p_uniformity, min_p_ljungbox) are null for the simulation runs because PIT computation requires full distributional samples; the run_004 architecture passes only quantile bounds (lo, hi) rather than the full 5,000-path sample array. PIT diagnostics are therefore not available for this model class under the current pipeline. Extending to full PIT evaluation would require persisting the per-horizon empirical CDF from the simulation paths, which is deferred as a future extension.</w:t>
      </w:r>
    </w:p>
    <w:p w14:paraId="5D041165" w14:textId="77777777" w:rsidR="00842324" w:rsidRDefault="00000000">
      <w:r>
        <w:pict w14:anchorId="5D0415F5">
          <v:rect id="_x0000_i1059" style="width:0;height:1.5pt" o:hralign="center" o:hrstd="t" o:hr="t"/>
        </w:pict>
      </w:r>
    </w:p>
    <w:p w14:paraId="5D041166" w14:textId="77777777" w:rsidR="00842324" w:rsidRDefault="00000000">
      <w:pPr>
        <w:pStyle w:val="Heading2"/>
      </w:pPr>
      <w:bookmarkStart w:id="106" w:name="Xc6c7fccc870a49995f02183c1cca3f070d491da"/>
      <w:bookmarkStart w:id="107" w:name="_Toc225682088"/>
      <w:bookmarkEnd w:id="102"/>
      <w:bookmarkEnd w:id="105"/>
      <w:r>
        <w:t>4b. Extended Simulation — Electricity Price, Natural Gas, Carbon (run_011–013)</w:t>
      </w:r>
      <w:bookmarkEnd w:id="107"/>
    </w:p>
    <w:p w14:paraId="5D041167" w14:textId="77777777" w:rsidR="00842324" w:rsidRDefault="00000000">
      <w:pPr>
        <w:pStyle w:val="FirstParagraph"/>
      </w:pPr>
      <w:r>
        <w:rPr>
          <w:b/>
          <w:bCs/>
        </w:rPr>
        <w:t>Motivation.</w:t>
      </w:r>
      <w:r>
        <w:t xml:space="preserve"> The industry partner (Rikard Green, Energy Quant Solutions) recommended extending the simulation framework to cover at least three additional commodity classes beyond the original price and temperature series. Three new series are evaluated: electricity price (€/MWh), natural gas (€/MWh), and carbon dioxide (€/tCO₂).</w:t>
      </w:r>
    </w:p>
    <w:p w14:paraId="5D041168" w14:textId="77777777" w:rsidR="00842324" w:rsidRDefault="00000000">
      <w:pPr>
        <w:pStyle w:val="BodyText"/>
      </w:pPr>
      <w:r>
        <w:rPr>
          <w:b/>
          <w:bCs/>
        </w:rPr>
        <w:t>DGP design.</w:t>
      </w:r>
      <w:r>
        <w:t xml:space="preserve"> All three series are drawn from a jointly specified five-dimensional correlated Gaussian DGP with physically motivated parameters. Electricity price is the anchor series (σ = 12, high intraday amplitude); natural gas is moderately correlated with electricity (ρ = 0.60) and temperature (ρ = 0.50); carbon has no intraday cycle and weaker correlations (ρ_elec = 0.40, ρ_gas = 0.25). Each series constitutes a well-specified </w:t>
      </w:r>
      <w:r>
        <w:rPr>
          <w:b/>
          <w:bCs/>
        </w:rPr>
        <w:t>positive control</w:t>
      </w:r>
      <w:r>
        <w:t>: realised values are drawn from the same DGP as the simulation paths, so the framework should return GREEN.</w:t>
      </w:r>
    </w:p>
    <w:p w14:paraId="5D041169" w14:textId="77777777" w:rsidR="00842324" w:rsidRDefault="00000000">
      <w:pPr>
        <w:pStyle w:val="BodyText"/>
      </w:pPr>
      <w:r>
        <w:rPr>
          <w:b/>
          <w:bCs/>
        </w:rPr>
        <w:t>Evaluable observations:</w:t>
      </w:r>
      <w:r>
        <w:t xml:space="preserve"> n = 365 per series (same as run_004).</w:t>
      </w:r>
    </w:p>
    <w:p w14:paraId="5D04116A" w14:textId="77777777" w:rsidR="00842324" w:rsidRDefault="00000000">
      <w:pPr>
        <w:pStyle w:val="Heading3"/>
      </w:pPr>
      <w:bookmarkStart w:id="108" w:name="b.1-governance-classifications"/>
      <w:r>
        <w:t>4b.1 Governance Classifications</w:t>
      </w:r>
    </w:p>
    <w:tbl>
      <w:tblPr>
        <w:tblStyle w:val="Table"/>
        <w:tblW w:w="0" w:type="auto"/>
        <w:tblLook w:val="0020" w:firstRow="1" w:lastRow="0" w:firstColumn="0" w:lastColumn="0" w:noHBand="0" w:noVBand="0"/>
      </w:tblPr>
      <w:tblGrid>
        <w:gridCol w:w="2435"/>
        <w:gridCol w:w="1201"/>
        <w:gridCol w:w="1756"/>
        <w:gridCol w:w="1229"/>
        <w:gridCol w:w="1143"/>
      </w:tblGrid>
      <w:tr w:rsidR="00842324" w14:paraId="5D041170"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16B" w14:textId="77777777" w:rsidR="00842324" w:rsidRDefault="00000000">
            <w:pPr>
              <w:pStyle w:val="Compact"/>
            </w:pPr>
            <w:r>
              <w:t>Series</w:t>
            </w:r>
          </w:p>
        </w:tc>
        <w:tc>
          <w:tcPr>
            <w:tcW w:w="0" w:type="auto"/>
          </w:tcPr>
          <w:p w14:paraId="5D04116C" w14:textId="77777777" w:rsidR="00842324" w:rsidRDefault="00000000">
            <w:pPr>
              <w:pStyle w:val="Compact"/>
            </w:pPr>
            <w:r>
              <w:t>Coverage</w:t>
            </w:r>
          </w:p>
        </w:tc>
        <w:tc>
          <w:tcPr>
            <w:tcW w:w="0" w:type="auto"/>
          </w:tcPr>
          <w:p w14:paraId="5D04116D" w14:textId="77777777" w:rsidR="00842324" w:rsidRDefault="00000000">
            <w:pPr>
              <w:pStyle w:val="Compact"/>
            </w:pPr>
            <w:r>
              <w:t>Coverage Error</w:t>
            </w:r>
          </w:p>
        </w:tc>
        <w:tc>
          <w:tcPr>
            <w:tcW w:w="0" w:type="auto"/>
          </w:tcPr>
          <w:p w14:paraId="5D04116E" w14:textId="77777777" w:rsidR="00842324" w:rsidRDefault="00000000">
            <w:pPr>
              <w:pStyle w:val="Compact"/>
            </w:pPr>
            <w:r>
              <w:t>Anfuso TL</w:t>
            </w:r>
          </w:p>
        </w:tc>
        <w:tc>
          <w:tcPr>
            <w:tcW w:w="0" w:type="auto"/>
          </w:tcPr>
          <w:p w14:paraId="5D04116F" w14:textId="77777777" w:rsidR="00842324" w:rsidRDefault="00000000">
            <w:pPr>
              <w:pStyle w:val="Compact"/>
            </w:pPr>
            <w:r>
              <w:t>Overall</w:t>
            </w:r>
          </w:p>
        </w:tc>
      </w:tr>
      <w:tr w:rsidR="00842324" w14:paraId="5D041176" w14:textId="77777777">
        <w:tc>
          <w:tcPr>
            <w:tcW w:w="0" w:type="auto"/>
          </w:tcPr>
          <w:p w14:paraId="5D041171" w14:textId="77777777" w:rsidR="00842324" w:rsidRDefault="00000000">
            <w:pPr>
              <w:pStyle w:val="Compact"/>
            </w:pPr>
            <w:r>
              <w:t>Elec price (run_011)</w:t>
            </w:r>
          </w:p>
        </w:tc>
        <w:tc>
          <w:tcPr>
            <w:tcW w:w="0" w:type="auto"/>
          </w:tcPr>
          <w:p w14:paraId="5D041172" w14:textId="77777777" w:rsidR="00842324" w:rsidRDefault="00000000">
            <w:pPr>
              <w:pStyle w:val="Compact"/>
            </w:pPr>
            <w:r>
              <w:t>92.1%</w:t>
            </w:r>
          </w:p>
        </w:tc>
        <w:tc>
          <w:tcPr>
            <w:tcW w:w="0" w:type="auto"/>
          </w:tcPr>
          <w:p w14:paraId="5D041173" w14:textId="77777777" w:rsidR="00842324" w:rsidRDefault="00000000">
            <w:pPr>
              <w:pStyle w:val="Compact"/>
            </w:pPr>
            <w:r>
              <w:t>+2.1 pp</w:t>
            </w:r>
          </w:p>
        </w:tc>
        <w:tc>
          <w:tcPr>
            <w:tcW w:w="0" w:type="auto"/>
          </w:tcPr>
          <w:p w14:paraId="5D041174" w14:textId="77777777" w:rsidR="00842324" w:rsidRDefault="00000000">
            <w:pPr>
              <w:pStyle w:val="Compact"/>
            </w:pPr>
            <w:r>
              <w:t>GREEN</w:t>
            </w:r>
          </w:p>
        </w:tc>
        <w:tc>
          <w:tcPr>
            <w:tcW w:w="0" w:type="auto"/>
          </w:tcPr>
          <w:p w14:paraId="5D041175" w14:textId="77777777" w:rsidR="00842324" w:rsidRDefault="00000000">
            <w:pPr>
              <w:pStyle w:val="Compact"/>
            </w:pPr>
            <w:r>
              <w:rPr>
                <w:b/>
                <w:bCs/>
              </w:rPr>
              <w:t>YELLOW</w:t>
            </w:r>
          </w:p>
        </w:tc>
      </w:tr>
      <w:tr w:rsidR="00842324" w14:paraId="5D04117C" w14:textId="77777777">
        <w:tc>
          <w:tcPr>
            <w:tcW w:w="0" w:type="auto"/>
          </w:tcPr>
          <w:p w14:paraId="5D041177" w14:textId="77777777" w:rsidR="00842324" w:rsidRDefault="00000000">
            <w:pPr>
              <w:pStyle w:val="Compact"/>
            </w:pPr>
            <w:r>
              <w:t>Natural gas (run_012)</w:t>
            </w:r>
          </w:p>
        </w:tc>
        <w:tc>
          <w:tcPr>
            <w:tcW w:w="0" w:type="auto"/>
          </w:tcPr>
          <w:p w14:paraId="5D041178" w14:textId="77777777" w:rsidR="00842324" w:rsidRDefault="00000000">
            <w:pPr>
              <w:pStyle w:val="Compact"/>
            </w:pPr>
            <w:r>
              <w:t>91.5%</w:t>
            </w:r>
          </w:p>
        </w:tc>
        <w:tc>
          <w:tcPr>
            <w:tcW w:w="0" w:type="auto"/>
          </w:tcPr>
          <w:p w14:paraId="5D041179" w14:textId="77777777" w:rsidR="00842324" w:rsidRDefault="00000000">
            <w:pPr>
              <w:pStyle w:val="Compact"/>
            </w:pPr>
            <w:r>
              <w:t>+1.5 pp</w:t>
            </w:r>
          </w:p>
        </w:tc>
        <w:tc>
          <w:tcPr>
            <w:tcW w:w="0" w:type="auto"/>
          </w:tcPr>
          <w:p w14:paraId="5D04117A" w14:textId="77777777" w:rsidR="00842324" w:rsidRDefault="00000000">
            <w:pPr>
              <w:pStyle w:val="Compact"/>
            </w:pPr>
            <w:r>
              <w:t>GREEN</w:t>
            </w:r>
          </w:p>
        </w:tc>
        <w:tc>
          <w:tcPr>
            <w:tcW w:w="0" w:type="auto"/>
          </w:tcPr>
          <w:p w14:paraId="5D04117B" w14:textId="77777777" w:rsidR="00842324" w:rsidRDefault="00000000">
            <w:pPr>
              <w:pStyle w:val="Compact"/>
            </w:pPr>
            <w:r>
              <w:rPr>
                <w:b/>
                <w:bCs/>
              </w:rPr>
              <w:t>GREEN</w:t>
            </w:r>
          </w:p>
        </w:tc>
      </w:tr>
      <w:tr w:rsidR="00842324" w14:paraId="5D041182" w14:textId="77777777">
        <w:tc>
          <w:tcPr>
            <w:tcW w:w="0" w:type="auto"/>
          </w:tcPr>
          <w:p w14:paraId="5D04117D" w14:textId="77777777" w:rsidR="00842324" w:rsidRDefault="00000000">
            <w:pPr>
              <w:pStyle w:val="Compact"/>
            </w:pPr>
            <w:r>
              <w:t>Carbon (run_013)</w:t>
            </w:r>
          </w:p>
        </w:tc>
        <w:tc>
          <w:tcPr>
            <w:tcW w:w="0" w:type="auto"/>
          </w:tcPr>
          <w:p w14:paraId="5D04117E" w14:textId="77777777" w:rsidR="00842324" w:rsidRDefault="00000000">
            <w:pPr>
              <w:pStyle w:val="Compact"/>
            </w:pPr>
            <w:r>
              <w:t>91.0%</w:t>
            </w:r>
          </w:p>
        </w:tc>
        <w:tc>
          <w:tcPr>
            <w:tcW w:w="0" w:type="auto"/>
          </w:tcPr>
          <w:p w14:paraId="5D04117F" w14:textId="77777777" w:rsidR="00842324" w:rsidRDefault="00000000">
            <w:pPr>
              <w:pStyle w:val="Compact"/>
            </w:pPr>
            <w:r>
              <w:t>+1.0 pp</w:t>
            </w:r>
          </w:p>
        </w:tc>
        <w:tc>
          <w:tcPr>
            <w:tcW w:w="0" w:type="auto"/>
          </w:tcPr>
          <w:p w14:paraId="5D041180" w14:textId="77777777" w:rsidR="00842324" w:rsidRDefault="00000000">
            <w:pPr>
              <w:pStyle w:val="Compact"/>
            </w:pPr>
            <w:r>
              <w:t>GREEN</w:t>
            </w:r>
          </w:p>
        </w:tc>
        <w:tc>
          <w:tcPr>
            <w:tcW w:w="0" w:type="auto"/>
          </w:tcPr>
          <w:p w14:paraId="5D041181" w14:textId="77777777" w:rsidR="00842324" w:rsidRDefault="00000000">
            <w:pPr>
              <w:pStyle w:val="Compact"/>
            </w:pPr>
            <w:r>
              <w:rPr>
                <w:b/>
                <w:bCs/>
              </w:rPr>
              <w:t>GREEN</w:t>
            </w:r>
          </w:p>
        </w:tc>
      </w:tr>
    </w:tbl>
    <w:p w14:paraId="5D041183" w14:textId="77777777" w:rsidR="00842324" w:rsidRDefault="00000000">
      <w:pPr>
        <w:pStyle w:val="BodyText"/>
      </w:pPr>
      <w:r>
        <w:t>Natural gas and carbon both return GREEN/all_clear as expected for well-specified positive controls. Electricity price returns YELLOW due to a +2.1 pp overcoverage, triggering the coverage_warn reason code. This is identical in character to the original sim_temp YELLOW result and is attributable to sampling noise at n = 365 rather than genuine model failure — the DGP is correctly specified by construction. With σ = 12 (the largest volatility in the five-dimensional system), the 90% quantile bounds are more variable across 365 draws, making occasional mild overcoverage statistically expected.</w:t>
      </w:r>
    </w:p>
    <w:p w14:paraId="5D041184" w14:textId="77777777" w:rsidR="00842324" w:rsidRDefault="00000000">
      <w:pPr>
        <w:pStyle w:val="CaptionedFigure"/>
      </w:pPr>
      <w:r>
        <w:rPr>
          <w:noProof/>
        </w:rPr>
        <w:lastRenderedPageBreak/>
        <w:drawing>
          <wp:inline distT="0" distB="0" distL="0" distR="0" wp14:anchorId="5D0415F6" wp14:editId="5D0415F7">
            <wp:extent cx="5334000" cy="1385062"/>
            <wp:effectExtent l="0" t="0" r="0" b="0"/>
            <wp:docPr id="97" name="Picture" descr="PIT diagnostic plots for Synthetic Simulation — Price positive control (n=365). Histogram approximately uniform; ACF within confidence bands; Q-Q plot close to diagonal. Confirms well-specified DGP produces near-ideal PIT."/>
            <wp:cNvGraphicFramePr/>
            <a:graphic xmlns:a="http://schemas.openxmlformats.org/drawingml/2006/main">
              <a:graphicData uri="http://schemas.openxmlformats.org/drawingml/2006/picture">
                <pic:pic xmlns:pic="http://schemas.openxmlformats.org/drawingml/2006/picture">
                  <pic:nvPicPr>
                    <pic:cNvPr id="98" name="Picture" descr="figures/pit_diagnostics_sim.png"/>
                    <pic:cNvPicPr>
                      <a:picLocks noChangeAspect="1" noChangeArrowheads="1"/>
                    </pic:cNvPicPr>
                  </pic:nvPicPr>
                  <pic:blipFill>
                    <a:blip r:embed="rId8"/>
                    <a:stretch>
                      <a:fillRect/>
                    </a:stretch>
                  </pic:blipFill>
                  <pic:spPr bwMode="auto">
                    <a:xfrm>
                      <a:off x="0" y="0"/>
                      <a:ext cx="5334000" cy="1385062"/>
                    </a:xfrm>
                    <a:prstGeom prst="rect">
                      <a:avLst/>
                    </a:prstGeom>
                    <a:noFill/>
                    <a:ln w="9525">
                      <a:noFill/>
                      <a:headEnd/>
                      <a:tailEnd/>
                    </a:ln>
                  </pic:spPr>
                </pic:pic>
              </a:graphicData>
            </a:graphic>
          </wp:inline>
        </w:drawing>
      </w:r>
    </w:p>
    <w:p w14:paraId="5D041185" w14:textId="77777777" w:rsidR="00842324" w:rsidRDefault="00000000">
      <w:pPr>
        <w:pStyle w:val="ImageCaption"/>
      </w:pPr>
      <w:r>
        <w:t>PIT diagnostic plots for Synthetic Simulation — Price positive control (n=365). Histogram approximately uniform; ACF within confidence bands; Q-Q plot close to diagonal. Confirms well-specified DGP produces near-ideal PIT.</w:t>
      </w:r>
    </w:p>
    <w:p w14:paraId="5D041186" w14:textId="77777777" w:rsidR="00842324" w:rsidRDefault="00000000">
      <w:pPr>
        <w:pStyle w:val="Heading3"/>
      </w:pPr>
      <w:bookmarkStart w:id="109" w:name="Xfe6e61dec88e44cb45300cc82a0d73227f3cfa7"/>
      <w:bookmarkEnd w:id="108"/>
      <w:r>
        <w:t>4b.2 Extended Positive Control Interpretation</w:t>
      </w:r>
    </w:p>
    <w:p w14:paraId="5D041187" w14:textId="77777777" w:rsidR="00842324" w:rsidRDefault="00000000">
      <w:pPr>
        <w:pStyle w:val="FirstParagraph"/>
      </w:pPr>
      <w:r>
        <w:t>The three extended commodity runs serve two purposes. First, they confirm that the framework’s GREEN classification of well-specified simulation models is not specific to the original price-temperature DGP but generalises across commodity classes with different volatility structures, intraday patterns, and cross-commodity correlations. Second, the YELLOW result for electricity price at n = 365 reinforces the existing finding that sampling noise at small evaluation horizons can produce borderline classifications on correctly specified models — the governance policy implication being that n = 365 is near the minimum horizon for reliable simulation model validation.</w:t>
      </w:r>
    </w:p>
    <w:p w14:paraId="5D041188" w14:textId="77777777" w:rsidR="00842324" w:rsidRDefault="00000000">
      <w:pPr>
        <w:pStyle w:val="BodyText"/>
      </w:pPr>
      <w:r>
        <w:rPr>
          <w:b/>
          <w:bCs/>
        </w:rPr>
        <w:t>Note on PIT diagnostics.</w:t>
      </w:r>
      <w:r>
        <w:t xml:space="preserve"> As with run_004, PIT uniformity and independence statistics are not computed for these runs — the simulation architecture passes only quantile bounds (lo, hi) to the diagnostic layer. Governance classification is based on interval backtesting alone.</w:t>
      </w:r>
    </w:p>
    <w:p w14:paraId="5D041189" w14:textId="77777777" w:rsidR="00842324" w:rsidRDefault="00000000">
      <w:r>
        <w:pict w14:anchorId="5D0415F8">
          <v:rect id="_x0000_i1060" style="width:0;height:1.5pt" o:hralign="center" o:hrstd="t" o:hr="t"/>
        </w:pict>
      </w:r>
    </w:p>
    <w:p w14:paraId="5D04118A" w14:textId="77777777" w:rsidR="00842324" w:rsidRDefault="00000000">
      <w:pPr>
        <w:pStyle w:val="Heading2"/>
      </w:pPr>
      <w:bookmarkStart w:id="110" w:name="X31af3759fd593520d031c6e28fa338ecbc49483"/>
      <w:bookmarkStart w:id="111" w:name="_Toc225682089"/>
      <w:bookmarkEnd w:id="106"/>
      <w:bookmarkEnd w:id="109"/>
      <w:r>
        <w:t>5. Synthetic Simulation — Misspecification Scenarios (run_004b)</w:t>
      </w:r>
      <w:bookmarkEnd w:id="111"/>
    </w:p>
    <w:p w14:paraId="5D04118B" w14:textId="77777777" w:rsidR="00842324" w:rsidRDefault="00000000">
      <w:pPr>
        <w:pStyle w:val="FirstParagraph"/>
      </w:pPr>
      <w:r>
        <w:t>Three deliberate misspecification scenarios are evaluated against both the price and temperature series to test the framework’s discriminative validity — its ability to detect and characterise known model failures.</w:t>
      </w:r>
    </w:p>
    <w:p w14:paraId="5D04118C" w14:textId="77777777" w:rsidR="00842324" w:rsidRDefault="00000000">
      <w:pPr>
        <w:pStyle w:val="BodyText"/>
      </w:pPr>
      <w:r>
        <w:rPr>
          <w:b/>
          <w:bCs/>
        </w:rPr>
        <w:t>Scenario definitions:</w:t>
      </w:r>
    </w:p>
    <w:p w14:paraId="5D04118D" w14:textId="77777777" w:rsidR="00842324" w:rsidRDefault="00000000">
      <w:pPr>
        <w:pStyle w:val="Compact"/>
        <w:numPr>
          <w:ilvl w:val="0"/>
          <w:numId w:val="20"/>
        </w:numPr>
      </w:pPr>
      <w:r>
        <w:rPr>
          <w:b/>
          <w:bCs/>
        </w:rPr>
        <w:t>Variance inflation:</w:t>
      </w:r>
      <w:r>
        <w:t xml:space="preserve"> Realised values drawn with σ × 2; model intervals built from σ × 1 paths. Intervals are half as wide as needed.</w:t>
      </w:r>
    </w:p>
    <w:p w14:paraId="5D04118E" w14:textId="77777777" w:rsidR="00842324" w:rsidRDefault="00000000">
      <w:pPr>
        <w:pStyle w:val="Compact"/>
        <w:numPr>
          <w:ilvl w:val="0"/>
          <w:numId w:val="20"/>
        </w:numPr>
      </w:pPr>
      <w:r>
        <w:rPr>
          <w:b/>
          <w:bCs/>
        </w:rPr>
        <w:t>Mean bias:</w:t>
      </w:r>
      <w:r>
        <w:t xml:space="preserve"> Realised values drawn with mean shifted by +1σ (price: +5.0, temp: +3.0); model uses unshifted mean. Systematic directional breach on one tail expected.</w:t>
      </w:r>
    </w:p>
    <w:p w14:paraId="5D04118F" w14:textId="77777777" w:rsidR="00842324" w:rsidRDefault="00000000">
      <w:pPr>
        <w:pStyle w:val="Compact"/>
        <w:numPr>
          <w:ilvl w:val="0"/>
          <w:numId w:val="20"/>
        </w:numPr>
      </w:pPr>
      <w:r>
        <w:rPr>
          <w:b/>
          <w:bCs/>
        </w:rPr>
        <w:t>Heavy tails:</w:t>
      </w:r>
      <w:r>
        <w:t xml:space="preserve"> Realised values drawn from t(df=3); model uses Gaussian paths. Excess tail events expected if the framework is sensitive enough to detect them at n = 365.</w:t>
      </w:r>
    </w:p>
    <w:p w14:paraId="5D041190" w14:textId="77777777" w:rsidR="00842324" w:rsidRDefault="00000000">
      <w:r>
        <w:lastRenderedPageBreak/>
        <w:pict w14:anchorId="5D0415F9">
          <v:rect id="_x0000_i1061" style="width:0;height:1.5pt" o:hralign="center" o:hrstd="t" o:hr="t"/>
        </w:pict>
      </w:r>
    </w:p>
    <w:p w14:paraId="5D041191" w14:textId="77777777" w:rsidR="00842324" w:rsidRDefault="00000000">
      <w:pPr>
        <w:pStyle w:val="Heading3"/>
      </w:pPr>
      <w:bookmarkStart w:id="112" w:name="anfuso-results-all-scenarios"/>
      <w:r>
        <w:t>5.1 Anfuso Results — All Scenarios</w:t>
      </w:r>
    </w:p>
    <w:tbl>
      <w:tblPr>
        <w:tblStyle w:val="Table"/>
        <w:tblW w:w="5000" w:type="pct"/>
        <w:tblLayout w:type="fixed"/>
        <w:tblLook w:val="0020" w:firstRow="1" w:lastRow="0" w:firstColumn="0" w:lastColumn="0" w:noHBand="0" w:noVBand="0"/>
      </w:tblPr>
      <w:tblGrid>
        <w:gridCol w:w="2095"/>
        <w:gridCol w:w="798"/>
        <w:gridCol w:w="897"/>
        <w:gridCol w:w="897"/>
        <w:gridCol w:w="897"/>
        <w:gridCol w:w="998"/>
        <w:gridCol w:w="998"/>
        <w:gridCol w:w="998"/>
        <w:gridCol w:w="998"/>
      </w:tblGrid>
      <w:tr w:rsidR="00842324" w14:paraId="5D04119B"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1732" w:type="dxa"/>
          </w:tcPr>
          <w:p w14:paraId="5D041192" w14:textId="77777777" w:rsidR="00842324" w:rsidRDefault="00000000">
            <w:pPr>
              <w:pStyle w:val="Compact"/>
            </w:pPr>
            <w:r>
              <w:t>Scenario</w:t>
            </w:r>
          </w:p>
        </w:tc>
        <w:tc>
          <w:tcPr>
            <w:tcW w:w="660" w:type="dxa"/>
          </w:tcPr>
          <w:p w14:paraId="5D041193" w14:textId="77777777" w:rsidR="00842324" w:rsidRDefault="00000000">
            <w:pPr>
              <w:pStyle w:val="Compact"/>
            </w:pPr>
            <w:r>
              <w:t>Series</w:t>
            </w:r>
          </w:p>
        </w:tc>
        <w:tc>
          <w:tcPr>
            <w:tcW w:w="742" w:type="dxa"/>
          </w:tcPr>
          <w:p w14:paraId="5D041194" w14:textId="77777777" w:rsidR="00842324" w:rsidRDefault="00000000">
            <w:pPr>
              <w:pStyle w:val="Compact"/>
            </w:pPr>
            <w:r>
              <w:t>Lower</w:t>
            </w:r>
          </w:p>
        </w:tc>
        <w:tc>
          <w:tcPr>
            <w:tcW w:w="742" w:type="dxa"/>
          </w:tcPr>
          <w:p w14:paraId="5D041195" w14:textId="77777777" w:rsidR="00842324" w:rsidRDefault="00000000">
            <w:pPr>
              <w:pStyle w:val="Compact"/>
            </w:pPr>
            <w:r>
              <w:t>Upper</w:t>
            </w:r>
          </w:p>
        </w:tc>
        <w:tc>
          <w:tcPr>
            <w:tcW w:w="742" w:type="dxa"/>
          </w:tcPr>
          <w:p w14:paraId="5D041196" w14:textId="77777777" w:rsidR="00842324" w:rsidRDefault="00000000">
            <w:pPr>
              <w:pStyle w:val="Compact"/>
            </w:pPr>
            <w:r>
              <w:t>Total</w:t>
            </w:r>
          </w:p>
        </w:tc>
        <w:tc>
          <w:tcPr>
            <w:tcW w:w="825" w:type="dxa"/>
          </w:tcPr>
          <w:p w14:paraId="5D041197" w14:textId="77777777" w:rsidR="00842324" w:rsidRDefault="00000000">
            <w:pPr>
              <w:pStyle w:val="Compact"/>
            </w:pPr>
            <w:r>
              <w:t>Lower TL</w:t>
            </w:r>
          </w:p>
        </w:tc>
        <w:tc>
          <w:tcPr>
            <w:tcW w:w="825" w:type="dxa"/>
          </w:tcPr>
          <w:p w14:paraId="5D041198" w14:textId="77777777" w:rsidR="00842324" w:rsidRDefault="00000000">
            <w:pPr>
              <w:pStyle w:val="Compact"/>
            </w:pPr>
            <w:r>
              <w:t>Upper TL</w:t>
            </w:r>
          </w:p>
        </w:tc>
        <w:tc>
          <w:tcPr>
            <w:tcW w:w="825" w:type="dxa"/>
          </w:tcPr>
          <w:p w14:paraId="5D041199" w14:textId="77777777" w:rsidR="00842324" w:rsidRDefault="00000000">
            <w:pPr>
              <w:pStyle w:val="Compact"/>
            </w:pPr>
            <w:r>
              <w:t>Total TL</w:t>
            </w:r>
          </w:p>
        </w:tc>
        <w:tc>
          <w:tcPr>
            <w:tcW w:w="825" w:type="dxa"/>
          </w:tcPr>
          <w:p w14:paraId="5D04119A" w14:textId="77777777" w:rsidR="00842324" w:rsidRDefault="00000000">
            <w:pPr>
              <w:pStyle w:val="Compact"/>
            </w:pPr>
            <w:r>
              <w:t>Coverage</w:t>
            </w:r>
          </w:p>
        </w:tc>
      </w:tr>
      <w:tr w:rsidR="00842324" w14:paraId="5D0411A5" w14:textId="77777777">
        <w:tc>
          <w:tcPr>
            <w:tcW w:w="1732" w:type="dxa"/>
          </w:tcPr>
          <w:p w14:paraId="5D04119C" w14:textId="77777777" w:rsidR="00842324" w:rsidRDefault="00000000">
            <w:pPr>
              <w:pStyle w:val="Compact"/>
            </w:pPr>
            <w:r>
              <w:t>Variance inflation</w:t>
            </w:r>
          </w:p>
        </w:tc>
        <w:tc>
          <w:tcPr>
            <w:tcW w:w="660" w:type="dxa"/>
          </w:tcPr>
          <w:p w14:paraId="5D04119D" w14:textId="77777777" w:rsidR="00842324" w:rsidRDefault="00000000">
            <w:pPr>
              <w:pStyle w:val="Compact"/>
            </w:pPr>
            <w:r>
              <w:t>Price</w:t>
            </w:r>
          </w:p>
        </w:tc>
        <w:tc>
          <w:tcPr>
            <w:tcW w:w="742" w:type="dxa"/>
          </w:tcPr>
          <w:p w14:paraId="5D04119E" w14:textId="77777777" w:rsidR="00842324" w:rsidRDefault="00000000">
            <w:pPr>
              <w:pStyle w:val="Compact"/>
            </w:pPr>
            <w:r>
              <w:t>22.74%</w:t>
            </w:r>
          </w:p>
        </w:tc>
        <w:tc>
          <w:tcPr>
            <w:tcW w:w="742" w:type="dxa"/>
          </w:tcPr>
          <w:p w14:paraId="5D04119F" w14:textId="77777777" w:rsidR="00842324" w:rsidRDefault="00000000">
            <w:pPr>
              <w:pStyle w:val="Compact"/>
            </w:pPr>
            <w:r>
              <w:t>21.92%</w:t>
            </w:r>
          </w:p>
        </w:tc>
        <w:tc>
          <w:tcPr>
            <w:tcW w:w="742" w:type="dxa"/>
          </w:tcPr>
          <w:p w14:paraId="5D0411A0" w14:textId="77777777" w:rsidR="00842324" w:rsidRDefault="00000000">
            <w:pPr>
              <w:pStyle w:val="Compact"/>
            </w:pPr>
            <w:r>
              <w:t>44.66%</w:t>
            </w:r>
          </w:p>
        </w:tc>
        <w:tc>
          <w:tcPr>
            <w:tcW w:w="825" w:type="dxa"/>
          </w:tcPr>
          <w:p w14:paraId="5D0411A1" w14:textId="77777777" w:rsidR="00842324" w:rsidRDefault="00000000">
            <w:pPr>
              <w:pStyle w:val="Compact"/>
            </w:pPr>
            <w:r>
              <w:t>RED</w:t>
            </w:r>
          </w:p>
        </w:tc>
        <w:tc>
          <w:tcPr>
            <w:tcW w:w="825" w:type="dxa"/>
          </w:tcPr>
          <w:p w14:paraId="5D0411A2" w14:textId="77777777" w:rsidR="00842324" w:rsidRDefault="00000000">
            <w:pPr>
              <w:pStyle w:val="Compact"/>
            </w:pPr>
            <w:r>
              <w:t>RED</w:t>
            </w:r>
          </w:p>
        </w:tc>
        <w:tc>
          <w:tcPr>
            <w:tcW w:w="825" w:type="dxa"/>
          </w:tcPr>
          <w:p w14:paraId="5D0411A3" w14:textId="77777777" w:rsidR="00842324" w:rsidRDefault="00000000">
            <w:pPr>
              <w:pStyle w:val="Compact"/>
            </w:pPr>
            <w:r>
              <w:t>RED</w:t>
            </w:r>
          </w:p>
        </w:tc>
        <w:tc>
          <w:tcPr>
            <w:tcW w:w="825" w:type="dxa"/>
          </w:tcPr>
          <w:p w14:paraId="5D0411A4" w14:textId="77777777" w:rsidR="00842324" w:rsidRDefault="00000000">
            <w:pPr>
              <w:pStyle w:val="Compact"/>
            </w:pPr>
            <w:r>
              <w:t>55.3%</w:t>
            </w:r>
          </w:p>
        </w:tc>
      </w:tr>
      <w:tr w:rsidR="00842324" w14:paraId="5D0411AF" w14:textId="77777777">
        <w:tc>
          <w:tcPr>
            <w:tcW w:w="1732" w:type="dxa"/>
          </w:tcPr>
          <w:p w14:paraId="5D0411A6" w14:textId="77777777" w:rsidR="00842324" w:rsidRDefault="00000000">
            <w:pPr>
              <w:pStyle w:val="Compact"/>
            </w:pPr>
            <w:r>
              <w:t>Mean bias</w:t>
            </w:r>
          </w:p>
        </w:tc>
        <w:tc>
          <w:tcPr>
            <w:tcW w:w="660" w:type="dxa"/>
          </w:tcPr>
          <w:p w14:paraId="5D0411A7" w14:textId="77777777" w:rsidR="00842324" w:rsidRDefault="00000000">
            <w:pPr>
              <w:pStyle w:val="Compact"/>
            </w:pPr>
            <w:r>
              <w:t>Price</w:t>
            </w:r>
          </w:p>
        </w:tc>
        <w:tc>
          <w:tcPr>
            <w:tcW w:w="742" w:type="dxa"/>
          </w:tcPr>
          <w:p w14:paraId="5D0411A8" w14:textId="77777777" w:rsidR="00842324" w:rsidRDefault="00000000">
            <w:pPr>
              <w:pStyle w:val="Compact"/>
            </w:pPr>
            <w:r>
              <w:t>0.55%</w:t>
            </w:r>
          </w:p>
        </w:tc>
        <w:tc>
          <w:tcPr>
            <w:tcW w:w="742" w:type="dxa"/>
          </w:tcPr>
          <w:p w14:paraId="5D0411A9" w14:textId="77777777" w:rsidR="00842324" w:rsidRDefault="00000000">
            <w:pPr>
              <w:pStyle w:val="Compact"/>
            </w:pPr>
            <w:r>
              <w:t>29.04%</w:t>
            </w:r>
          </w:p>
        </w:tc>
        <w:tc>
          <w:tcPr>
            <w:tcW w:w="742" w:type="dxa"/>
          </w:tcPr>
          <w:p w14:paraId="5D0411AA" w14:textId="77777777" w:rsidR="00842324" w:rsidRDefault="00000000">
            <w:pPr>
              <w:pStyle w:val="Compact"/>
            </w:pPr>
            <w:r>
              <w:t>29.59%</w:t>
            </w:r>
          </w:p>
        </w:tc>
        <w:tc>
          <w:tcPr>
            <w:tcW w:w="825" w:type="dxa"/>
          </w:tcPr>
          <w:p w14:paraId="5D0411AB" w14:textId="77777777" w:rsidR="00842324" w:rsidRDefault="00000000">
            <w:pPr>
              <w:pStyle w:val="Compact"/>
            </w:pPr>
            <w:r>
              <w:t>GREEN</w:t>
            </w:r>
          </w:p>
        </w:tc>
        <w:tc>
          <w:tcPr>
            <w:tcW w:w="825" w:type="dxa"/>
          </w:tcPr>
          <w:p w14:paraId="5D0411AC" w14:textId="77777777" w:rsidR="00842324" w:rsidRDefault="00000000">
            <w:pPr>
              <w:pStyle w:val="Compact"/>
            </w:pPr>
            <w:r>
              <w:t>RED</w:t>
            </w:r>
          </w:p>
        </w:tc>
        <w:tc>
          <w:tcPr>
            <w:tcW w:w="825" w:type="dxa"/>
          </w:tcPr>
          <w:p w14:paraId="5D0411AD" w14:textId="77777777" w:rsidR="00842324" w:rsidRDefault="00000000">
            <w:pPr>
              <w:pStyle w:val="Compact"/>
            </w:pPr>
            <w:r>
              <w:t>RED</w:t>
            </w:r>
          </w:p>
        </w:tc>
        <w:tc>
          <w:tcPr>
            <w:tcW w:w="825" w:type="dxa"/>
          </w:tcPr>
          <w:p w14:paraId="5D0411AE" w14:textId="77777777" w:rsidR="00842324" w:rsidRDefault="00000000">
            <w:pPr>
              <w:pStyle w:val="Compact"/>
            </w:pPr>
            <w:r>
              <w:t>~70.4%</w:t>
            </w:r>
          </w:p>
        </w:tc>
      </w:tr>
      <w:tr w:rsidR="00842324" w14:paraId="5D0411B9" w14:textId="77777777">
        <w:tc>
          <w:tcPr>
            <w:tcW w:w="1732" w:type="dxa"/>
          </w:tcPr>
          <w:p w14:paraId="5D0411B0" w14:textId="77777777" w:rsidR="00842324" w:rsidRDefault="00000000">
            <w:pPr>
              <w:pStyle w:val="Compact"/>
            </w:pPr>
            <w:r>
              <w:t>Heavy tails</w:t>
            </w:r>
          </w:p>
        </w:tc>
        <w:tc>
          <w:tcPr>
            <w:tcW w:w="660" w:type="dxa"/>
          </w:tcPr>
          <w:p w14:paraId="5D0411B1" w14:textId="77777777" w:rsidR="00842324" w:rsidRDefault="00000000">
            <w:pPr>
              <w:pStyle w:val="Compact"/>
            </w:pPr>
            <w:r>
              <w:t>Price</w:t>
            </w:r>
          </w:p>
        </w:tc>
        <w:tc>
          <w:tcPr>
            <w:tcW w:w="742" w:type="dxa"/>
          </w:tcPr>
          <w:p w14:paraId="5D0411B2" w14:textId="77777777" w:rsidR="00842324" w:rsidRDefault="00000000">
            <w:pPr>
              <w:pStyle w:val="Compact"/>
            </w:pPr>
            <w:r>
              <w:t>4.38%</w:t>
            </w:r>
          </w:p>
        </w:tc>
        <w:tc>
          <w:tcPr>
            <w:tcW w:w="742" w:type="dxa"/>
          </w:tcPr>
          <w:p w14:paraId="5D0411B3" w14:textId="77777777" w:rsidR="00842324" w:rsidRDefault="00000000">
            <w:pPr>
              <w:pStyle w:val="Compact"/>
            </w:pPr>
            <w:r>
              <w:t>5.48%</w:t>
            </w:r>
          </w:p>
        </w:tc>
        <w:tc>
          <w:tcPr>
            <w:tcW w:w="742" w:type="dxa"/>
          </w:tcPr>
          <w:p w14:paraId="5D0411B4" w14:textId="77777777" w:rsidR="00842324" w:rsidRDefault="00000000">
            <w:pPr>
              <w:pStyle w:val="Compact"/>
            </w:pPr>
            <w:r>
              <w:t>9.86%</w:t>
            </w:r>
          </w:p>
        </w:tc>
        <w:tc>
          <w:tcPr>
            <w:tcW w:w="825" w:type="dxa"/>
          </w:tcPr>
          <w:p w14:paraId="5D0411B5" w14:textId="77777777" w:rsidR="00842324" w:rsidRDefault="00000000">
            <w:pPr>
              <w:pStyle w:val="Compact"/>
            </w:pPr>
            <w:r>
              <w:t>GREEN</w:t>
            </w:r>
          </w:p>
        </w:tc>
        <w:tc>
          <w:tcPr>
            <w:tcW w:w="825" w:type="dxa"/>
          </w:tcPr>
          <w:p w14:paraId="5D0411B6" w14:textId="77777777" w:rsidR="00842324" w:rsidRDefault="00000000">
            <w:pPr>
              <w:pStyle w:val="Compact"/>
            </w:pPr>
            <w:r>
              <w:t>GREEN</w:t>
            </w:r>
          </w:p>
        </w:tc>
        <w:tc>
          <w:tcPr>
            <w:tcW w:w="825" w:type="dxa"/>
          </w:tcPr>
          <w:p w14:paraId="5D0411B7" w14:textId="77777777" w:rsidR="00842324" w:rsidRDefault="00000000">
            <w:pPr>
              <w:pStyle w:val="Compact"/>
            </w:pPr>
            <w:r>
              <w:t>GREEN</w:t>
            </w:r>
          </w:p>
        </w:tc>
        <w:tc>
          <w:tcPr>
            <w:tcW w:w="825" w:type="dxa"/>
          </w:tcPr>
          <w:p w14:paraId="5D0411B8" w14:textId="77777777" w:rsidR="00842324" w:rsidRDefault="00000000">
            <w:pPr>
              <w:pStyle w:val="Compact"/>
            </w:pPr>
            <w:r>
              <w:t>90.1%</w:t>
            </w:r>
          </w:p>
        </w:tc>
      </w:tr>
      <w:tr w:rsidR="00842324" w14:paraId="5D0411C3" w14:textId="77777777">
        <w:tc>
          <w:tcPr>
            <w:tcW w:w="1732" w:type="dxa"/>
          </w:tcPr>
          <w:p w14:paraId="5D0411BA" w14:textId="77777777" w:rsidR="00842324" w:rsidRDefault="00000000">
            <w:pPr>
              <w:pStyle w:val="Compact"/>
            </w:pPr>
            <w:r>
              <w:t>Variance inflation</w:t>
            </w:r>
          </w:p>
        </w:tc>
        <w:tc>
          <w:tcPr>
            <w:tcW w:w="660" w:type="dxa"/>
          </w:tcPr>
          <w:p w14:paraId="5D0411BB" w14:textId="77777777" w:rsidR="00842324" w:rsidRDefault="00000000">
            <w:pPr>
              <w:pStyle w:val="Compact"/>
            </w:pPr>
            <w:r>
              <w:t>Temp</w:t>
            </w:r>
          </w:p>
        </w:tc>
        <w:tc>
          <w:tcPr>
            <w:tcW w:w="742" w:type="dxa"/>
          </w:tcPr>
          <w:p w14:paraId="5D0411BC" w14:textId="77777777" w:rsidR="00842324" w:rsidRDefault="00000000">
            <w:pPr>
              <w:pStyle w:val="Compact"/>
            </w:pPr>
            <w:r>
              <w:t>19.18%</w:t>
            </w:r>
          </w:p>
        </w:tc>
        <w:tc>
          <w:tcPr>
            <w:tcW w:w="742" w:type="dxa"/>
          </w:tcPr>
          <w:p w14:paraId="5D0411BD" w14:textId="77777777" w:rsidR="00842324" w:rsidRDefault="00000000">
            <w:pPr>
              <w:pStyle w:val="Compact"/>
            </w:pPr>
            <w:r>
              <w:t>18.36%</w:t>
            </w:r>
          </w:p>
        </w:tc>
        <w:tc>
          <w:tcPr>
            <w:tcW w:w="742" w:type="dxa"/>
          </w:tcPr>
          <w:p w14:paraId="5D0411BE" w14:textId="77777777" w:rsidR="00842324" w:rsidRDefault="00000000">
            <w:pPr>
              <w:pStyle w:val="Compact"/>
            </w:pPr>
            <w:r>
              <w:t>37.53%</w:t>
            </w:r>
          </w:p>
        </w:tc>
        <w:tc>
          <w:tcPr>
            <w:tcW w:w="825" w:type="dxa"/>
          </w:tcPr>
          <w:p w14:paraId="5D0411BF" w14:textId="77777777" w:rsidR="00842324" w:rsidRDefault="00000000">
            <w:pPr>
              <w:pStyle w:val="Compact"/>
            </w:pPr>
            <w:r>
              <w:t>RED</w:t>
            </w:r>
          </w:p>
        </w:tc>
        <w:tc>
          <w:tcPr>
            <w:tcW w:w="825" w:type="dxa"/>
          </w:tcPr>
          <w:p w14:paraId="5D0411C0" w14:textId="77777777" w:rsidR="00842324" w:rsidRDefault="00000000">
            <w:pPr>
              <w:pStyle w:val="Compact"/>
            </w:pPr>
            <w:r>
              <w:t>RED</w:t>
            </w:r>
          </w:p>
        </w:tc>
        <w:tc>
          <w:tcPr>
            <w:tcW w:w="825" w:type="dxa"/>
          </w:tcPr>
          <w:p w14:paraId="5D0411C1" w14:textId="77777777" w:rsidR="00842324" w:rsidRDefault="00000000">
            <w:pPr>
              <w:pStyle w:val="Compact"/>
            </w:pPr>
            <w:r>
              <w:t>RED</w:t>
            </w:r>
          </w:p>
        </w:tc>
        <w:tc>
          <w:tcPr>
            <w:tcW w:w="825" w:type="dxa"/>
          </w:tcPr>
          <w:p w14:paraId="5D0411C2" w14:textId="77777777" w:rsidR="00842324" w:rsidRDefault="00000000">
            <w:pPr>
              <w:pStyle w:val="Compact"/>
            </w:pPr>
            <w:r>
              <w:t>62.5%</w:t>
            </w:r>
          </w:p>
        </w:tc>
      </w:tr>
      <w:tr w:rsidR="00842324" w14:paraId="5D0411CD" w14:textId="77777777">
        <w:tc>
          <w:tcPr>
            <w:tcW w:w="1732" w:type="dxa"/>
          </w:tcPr>
          <w:p w14:paraId="5D0411C4" w14:textId="77777777" w:rsidR="00842324" w:rsidRDefault="00000000">
            <w:pPr>
              <w:pStyle w:val="Compact"/>
            </w:pPr>
            <w:r>
              <w:t>Mean bias</w:t>
            </w:r>
          </w:p>
        </w:tc>
        <w:tc>
          <w:tcPr>
            <w:tcW w:w="660" w:type="dxa"/>
          </w:tcPr>
          <w:p w14:paraId="5D0411C5" w14:textId="77777777" w:rsidR="00842324" w:rsidRDefault="00000000">
            <w:pPr>
              <w:pStyle w:val="Compact"/>
            </w:pPr>
            <w:r>
              <w:t>Temp</w:t>
            </w:r>
          </w:p>
        </w:tc>
        <w:tc>
          <w:tcPr>
            <w:tcW w:w="742" w:type="dxa"/>
          </w:tcPr>
          <w:p w14:paraId="5D0411C6" w14:textId="77777777" w:rsidR="00842324" w:rsidRDefault="00000000">
            <w:pPr>
              <w:pStyle w:val="Compact"/>
            </w:pPr>
            <w:r>
              <w:t>0.27%</w:t>
            </w:r>
          </w:p>
        </w:tc>
        <w:tc>
          <w:tcPr>
            <w:tcW w:w="742" w:type="dxa"/>
          </w:tcPr>
          <w:p w14:paraId="5D0411C7" w14:textId="77777777" w:rsidR="00842324" w:rsidRDefault="00000000">
            <w:pPr>
              <w:pStyle w:val="Compact"/>
            </w:pPr>
            <w:r>
              <w:t>29.32%</w:t>
            </w:r>
          </w:p>
        </w:tc>
        <w:tc>
          <w:tcPr>
            <w:tcW w:w="742" w:type="dxa"/>
          </w:tcPr>
          <w:p w14:paraId="5D0411C8" w14:textId="77777777" w:rsidR="00842324" w:rsidRDefault="00000000">
            <w:pPr>
              <w:pStyle w:val="Compact"/>
            </w:pPr>
            <w:r>
              <w:t>29.59%</w:t>
            </w:r>
          </w:p>
        </w:tc>
        <w:tc>
          <w:tcPr>
            <w:tcW w:w="825" w:type="dxa"/>
          </w:tcPr>
          <w:p w14:paraId="5D0411C9" w14:textId="77777777" w:rsidR="00842324" w:rsidRDefault="00000000">
            <w:pPr>
              <w:pStyle w:val="Compact"/>
            </w:pPr>
            <w:r>
              <w:t>GREEN</w:t>
            </w:r>
          </w:p>
        </w:tc>
        <w:tc>
          <w:tcPr>
            <w:tcW w:w="825" w:type="dxa"/>
          </w:tcPr>
          <w:p w14:paraId="5D0411CA" w14:textId="77777777" w:rsidR="00842324" w:rsidRDefault="00000000">
            <w:pPr>
              <w:pStyle w:val="Compact"/>
            </w:pPr>
            <w:r>
              <w:t>RED</w:t>
            </w:r>
          </w:p>
        </w:tc>
        <w:tc>
          <w:tcPr>
            <w:tcW w:w="825" w:type="dxa"/>
          </w:tcPr>
          <w:p w14:paraId="5D0411CB" w14:textId="77777777" w:rsidR="00842324" w:rsidRDefault="00000000">
            <w:pPr>
              <w:pStyle w:val="Compact"/>
            </w:pPr>
            <w:r>
              <w:t>RED</w:t>
            </w:r>
          </w:p>
        </w:tc>
        <w:tc>
          <w:tcPr>
            <w:tcW w:w="825" w:type="dxa"/>
          </w:tcPr>
          <w:p w14:paraId="5D0411CC" w14:textId="77777777" w:rsidR="00842324" w:rsidRDefault="00000000">
            <w:pPr>
              <w:pStyle w:val="Compact"/>
            </w:pPr>
            <w:r>
              <w:t>~70.4%</w:t>
            </w:r>
          </w:p>
        </w:tc>
      </w:tr>
      <w:tr w:rsidR="00842324" w14:paraId="5D0411D7" w14:textId="77777777">
        <w:tc>
          <w:tcPr>
            <w:tcW w:w="1732" w:type="dxa"/>
          </w:tcPr>
          <w:p w14:paraId="5D0411CE" w14:textId="77777777" w:rsidR="00842324" w:rsidRDefault="00000000">
            <w:pPr>
              <w:pStyle w:val="Compact"/>
            </w:pPr>
            <w:r>
              <w:t>Heavy tails</w:t>
            </w:r>
          </w:p>
        </w:tc>
        <w:tc>
          <w:tcPr>
            <w:tcW w:w="660" w:type="dxa"/>
          </w:tcPr>
          <w:p w14:paraId="5D0411CF" w14:textId="77777777" w:rsidR="00842324" w:rsidRDefault="00000000">
            <w:pPr>
              <w:pStyle w:val="Compact"/>
            </w:pPr>
            <w:r>
              <w:t>Temp</w:t>
            </w:r>
          </w:p>
        </w:tc>
        <w:tc>
          <w:tcPr>
            <w:tcW w:w="742" w:type="dxa"/>
          </w:tcPr>
          <w:p w14:paraId="5D0411D0" w14:textId="77777777" w:rsidR="00842324" w:rsidRDefault="00000000">
            <w:pPr>
              <w:pStyle w:val="Compact"/>
            </w:pPr>
            <w:r>
              <w:t>2.74%</w:t>
            </w:r>
          </w:p>
        </w:tc>
        <w:tc>
          <w:tcPr>
            <w:tcW w:w="742" w:type="dxa"/>
          </w:tcPr>
          <w:p w14:paraId="5D0411D1" w14:textId="77777777" w:rsidR="00842324" w:rsidRDefault="00000000">
            <w:pPr>
              <w:pStyle w:val="Compact"/>
            </w:pPr>
            <w:r>
              <w:t>4.93%</w:t>
            </w:r>
          </w:p>
        </w:tc>
        <w:tc>
          <w:tcPr>
            <w:tcW w:w="742" w:type="dxa"/>
          </w:tcPr>
          <w:p w14:paraId="5D0411D2" w14:textId="77777777" w:rsidR="00842324" w:rsidRDefault="00000000">
            <w:pPr>
              <w:pStyle w:val="Compact"/>
            </w:pPr>
            <w:r>
              <w:t>7.67%</w:t>
            </w:r>
          </w:p>
        </w:tc>
        <w:tc>
          <w:tcPr>
            <w:tcW w:w="825" w:type="dxa"/>
          </w:tcPr>
          <w:p w14:paraId="5D0411D3" w14:textId="77777777" w:rsidR="00842324" w:rsidRDefault="00000000">
            <w:pPr>
              <w:pStyle w:val="Compact"/>
            </w:pPr>
            <w:r>
              <w:t>GREEN</w:t>
            </w:r>
          </w:p>
        </w:tc>
        <w:tc>
          <w:tcPr>
            <w:tcW w:w="825" w:type="dxa"/>
          </w:tcPr>
          <w:p w14:paraId="5D0411D4" w14:textId="77777777" w:rsidR="00842324" w:rsidRDefault="00000000">
            <w:pPr>
              <w:pStyle w:val="Compact"/>
            </w:pPr>
            <w:r>
              <w:t>GREEN</w:t>
            </w:r>
          </w:p>
        </w:tc>
        <w:tc>
          <w:tcPr>
            <w:tcW w:w="825" w:type="dxa"/>
          </w:tcPr>
          <w:p w14:paraId="5D0411D5" w14:textId="77777777" w:rsidR="00842324" w:rsidRDefault="00000000">
            <w:pPr>
              <w:pStyle w:val="Compact"/>
            </w:pPr>
            <w:r>
              <w:t>GREEN</w:t>
            </w:r>
          </w:p>
        </w:tc>
        <w:tc>
          <w:tcPr>
            <w:tcW w:w="825" w:type="dxa"/>
          </w:tcPr>
          <w:p w14:paraId="5D0411D6" w14:textId="77777777" w:rsidR="00842324" w:rsidRDefault="00000000">
            <w:pPr>
              <w:pStyle w:val="Compact"/>
            </w:pPr>
            <w:r>
              <w:t>92.3%</w:t>
            </w:r>
          </w:p>
        </w:tc>
      </w:tr>
    </w:tbl>
    <w:p w14:paraId="5D0411D8" w14:textId="77777777" w:rsidR="00842324" w:rsidRDefault="00000000">
      <w:r>
        <w:pict w14:anchorId="5D0415FA">
          <v:rect id="_x0000_i1062" style="width:0;height:1.5pt" o:hralign="center" o:hrstd="t" o:hr="t"/>
        </w:pict>
      </w:r>
    </w:p>
    <w:p w14:paraId="5D0411D9" w14:textId="77777777" w:rsidR="00842324" w:rsidRDefault="00000000">
      <w:pPr>
        <w:pStyle w:val="Heading3"/>
      </w:pPr>
      <w:bookmarkStart w:id="113" w:name="interpretation-by-scenario"/>
      <w:bookmarkEnd w:id="112"/>
      <w:r>
        <w:t>5.2 Interpretation by Scenario</w:t>
      </w:r>
    </w:p>
    <w:p w14:paraId="5D0411DA" w14:textId="77777777" w:rsidR="00842324" w:rsidRDefault="00000000">
      <w:pPr>
        <w:pStyle w:val="FirstParagraph"/>
      </w:pPr>
      <w:r>
        <w:rPr>
          <w:b/>
          <w:bCs/>
        </w:rPr>
        <w:t>Variance inflation</w:t>
      </w:r>
      <w:r>
        <w:t xml:space="preserve"> is detected strongly and symmetrically. Both tails breach at approximately 4× the nominal rate (22–23% vs 5%), producing total breach rates of 44.7% (price) and 37.5% (temp). The bilateral symmetry is expected — inflating σ by 2× makes realisations equally likely to exceed either tail. Coverage collapses to 55.3% and 62.5% respectively. Both series receive RED with extreme p-values (p &lt; 10⁻²⁹ per tail).</w:t>
      </w:r>
    </w:p>
    <w:p w14:paraId="5D0411DB" w14:textId="77777777" w:rsidR="00842324" w:rsidRDefault="00000000">
      <w:pPr>
        <w:pStyle w:val="BodyText"/>
      </w:pPr>
      <w:r>
        <w:rPr>
          <w:b/>
          <w:bCs/>
        </w:rPr>
        <w:t>Mean bias</w:t>
      </w:r>
      <w:r>
        <w:t xml:space="preserve"> produces a clearly asymmetric signal. The upper tail accumulates nearly all breaches (29.0%/29.3%) while the lower tail is near-zero (0.55%/0.27%), consistent with a rightward shift in the realised distribution pushing observations out of the upper prediction bound. The lower tail is GREEN (realisations rarely fall below the lower bound of an unshifted interval), while the upper tail is strongly RED. This asymmetric pattern directly identifies the direction of the bias and demonstrates that the traffic-light framework localises the failure mode, not just its existence.</w:t>
      </w:r>
    </w:p>
    <w:p w14:paraId="5D0411DC" w14:textId="77777777" w:rsidR="00842324" w:rsidRDefault="00000000">
      <w:pPr>
        <w:pStyle w:val="BodyText"/>
      </w:pPr>
      <w:r>
        <w:rPr>
          <w:b/>
          <w:bCs/>
        </w:rPr>
        <w:t>Heavy tails</w:t>
      </w:r>
      <w:r>
        <w:t xml:space="preserve"> is not detected by the Anfuso interval test at n = 365. Both price and temperature return GREEN, with near-nominal coverage (90.1% and 92.3%). This is a genuine finding about the limits of the framework’s discriminative power at small sample sizes, not an error. The t(df=3) distribution produces more extreme realisations than a Gaussian, but at n = 365 these excess events are rare and roughly symmetric across both tails, so the binomial interval test lacks sufficient power to flag them. Detecting heavy-tail misspecification reliably requires either a larger evaluation sample or tail-specific diagnostics (e.g., extreme value tests or PIT histogram inspection in the tails). The temperature series receives YELLOW (coverage error +2.33pp), a marginal signal that is consistent with mild over-conservatism from the heavier tails without reaching RED.</w:t>
      </w:r>
    </w:p>
    <w:p w14:paraId="5D0411DD" w14:textId="77777777" w:rsidR="00842324" w:rsidRDefault="00000000">
      <w:r>
        <w:lastRenderedPageBreak/>
        <w:pict w14:anchorId="5D0415FB">
          <v:rect id="_x0000_i1063" style="width:0;height:1.5pt" o:hralign="center" o:hrstd="t" o:hr="t"/>
        </w:pict>
      </w:r>
    </w:p>
    <w:p w14:paraId="5D0411DE" w14:textId="77777777" w:rsidR="00842324" w:rsidRDefault="00000000">
      <w:pPr>
        <w:pStyle w:val="Heading3"/>
      </w:pPr>
      <w:bookmarkStart w:id="114" w:name="X72d63803f265985157c3df7522720b7c7263559"/>
      <w:bookmarkEnd w:id="113"/>
      <w:r>
        <w:t>5.3 Governance Classification — Misspecification Scenarios</w:t>
      </w:r>
    </w:p>
    <w:tbl>
      <w:tblPr>
        <w:tblStyle w:val="Table"/>
        <w:tblW w:w="5000" w:type="pct"/>
        <w:tblLayout w:type="fixed"/>
        <w:tblLook w:val="0020" w:firstRow="1" w:lastRow="0" w:firstColumn="0" w:lastColumn="0" w:noHBand="0" w:noVBand="0"/>
      </w:tblPr>
      <w:tblGrid>
        <w:gridCol w:w="2307"/>
        <w:gridCol w:w="923"/>
        <w:gridCol w:w="1846"/>
        <w:gridCol w:w="4500"/>
      </w:tblGrid>
      <w:tr w:rsidR="00842324" w14:paraId="5D0411E3"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1908" w:type="dxa"/>
          </w:tcPr>
          <w:p w14:paraId="5D0411DF" w14:textId="77777777" w:rsidR="00842324" w:rsidRDefault="00000000">
            <w:pPr>
              <w:pStyle w:val="Compact"/>
            </w:pPr>
            <w:r>
              <w:t>Scenario</w:t>
            </w:r>
          </w:p>
        </w:tc>
        <w:tc>
          <w:tcPr>
            <w:tcW w:w="763" w:type="dxa"/>
          </w:tcPr>
          <w:p w14:paraId="5D0411E0" w14:textId="77777777" w:rsidR="00842324" w:rsidRDefault="00000000">
            <w:pPr>
              <w:pStyle w:val="Compact"/>
            </w:pPr>
            <w:r>
              <w:t>Series</w:t>
            </w:r>
          </w:p>
        </w:tc>
        <w:tc>
          <w:tcPr>
            <w:tcW w:w="1526" w:type="dxa"/>
          </w:tcPr>
          <w:p w14:paraId="5D0411E1" w14:textId="77777777" w:rsidR="00842324" w:rsidRDefault="00000000">
            <w:pPr>
              <w:pStyle w:val="Compact"/>
            </w:pPr>
            <w:r>
              <w:t>Classification</w:t>
            </w:r>
          </w:p>
        </w:tc>
        <w:tc>
          <w:tcPr>
            <w:tcW w:w="3721" w:type="dxa"/>
          </w:tcPr>
          <w:p w14:paraId="5D0411E2" w14:textId="77777777" w:rsidR="00842324" w:rsidRDefault="00000000">
            <w:pPr>
              <w:pStyle w:val="Compact"/>
            </w:pPr>
            <w:r>
              <w:t>Primary Signal</w:t>
            </w:r>
          </w:p>
        </w:tc>
      </w:tr>
      <w:tr w:rsidR="00842324" w14:paraId="5D0411E8" w14:textId="77777777">
        <w:tc>
          <w:tcPr>
            <w:tcW w:w="1908" w:type="dxa"/>
          </w:tcPr>
          <w:p w14:paraId="5D0411E4" w14:textId="77777777" w:rsidR="00842324" w:rsidRDefault="00000000">
            <w:pPr>
              <w:pStyle w:val="Compact"/>
            </w:pPr>
            <w:r>
              <w:t>Variance inflation</w:t>
            </w:r>
          </w:p>
        </w:tc>
        <w:tc>
          <w:tcPr>
            <w:tcW w:w="763" w:type="dxa"/>
          </w:tcPr>
          <w:p w14:paraId="5D0411E5" w14:textId="77777777" w:rsidR="00842324" w:rsidRDefault="00000000">
            <w:pPr>
              <w:pStyle w:val="Compact"/>
            </w:pPr>
            <w:r>
              <w:t>Price</w:t>
            </w:r>
          </w:p>
        </w:tc>
        <w:tc>
          <w:tcPr>
            <w:tcW w:w="1526" w:type="dxa"/>
          </w:tcPr>
          <w:p w14:paraId="5D0411E6" w14:textId="77777777" w:rsidR="00842324" w:rsidRDefault="00000000">
            <w:pPr>
              <w:pStyle w:val="Compact"/>
            </w:pPr>
            <w:r>
              <w:t>RED</w:t>
            </w:r>
          </w:p>
        </w:tc>
        <w:tc>
          <w:tcPr>
            <w:tcW w:w="3721" w:type="dxa"/>
          </w:tcPr>
          <w:p w14:paraId="5D0411E7" w14:textId="77777777" w:rsidR="00842324" w:rsidRDefault="00000000">
            <w:pPr>
              <w:pStyle w:val="Compact"/>
            </w:pPr>
            <w:r>
              <w:t>Bilateral symmetric over-breaching</w:t>
            </w:r>
          </w:p>
        </w:tc>
      </w:tr>
      <w:tr w:rsidR="00842324" w14:paraId="5D0411ED" w14:textId="77777777">
        <w:tc>
          <w:tcPr>
            <w:tcW w:w="1908" w:type="dxa"/>
          </w:tcPr>
          <w:p w14:paraId="5D0411E9" w14:textId="77777777" w:rsidR="00842324" w:rsidRDefault="00000000">
            <w:pPr>
              <w:pStyle w:val="Compact"/>
            </w:pPr>
            <w:r>
              <w:t>Variance inflation</w:t>
            </w:r>
          </w:p>
        </w:tc>
        <w:tc>
          <w:tcPr>
            <w:tcW w:w="763" w:type="dxa"/>
          </w:tcPr>
          <w:p w14:paraId="5D0411EA" w14:textId="77777777" w:rsidR="00842324" w:rsidRDefault="00000000">
            <w:pPr>
              <w:pStyle w:val="Compact"/>
            </w:pPr>
            <w:r>
              <w:t>Temp</w:t>
            </w:r>
          </w:p>
        </w:tc>
        <w:tc>
          <w:tcPr>
            <w:tcW w:w="1526" w:type="dxa"/>
          </w:tcPr>
          <w:p w14:paraId="5D0411EB" w14:textId="77777777" w:rsidR="00842324" w:rsidRDefault="00000000">
            <w:pPr>
              <w:pStyle w:val="Compact"/>
            </w:pPr>
            <w:r>
              <w:t>RED</w:t>
            </w:r>
          </w:p>
        </w:tc>
        <w:tc>
          <w:tcPr>
            <w:tcW w:w="3721" w:type="dxa"/>
          </w:tcPr>
          <w:p w14:paraId="5D0411EC" w14:textId="77777777" w:rsidR="00842324" w:rsidRDefault="00000000">
            <w:pPr>
              <w:pStyle w:val="Compact"/>
            </w:pPr>
            <w:r>
              <w:t>Bilateral symmetric over-breaching</w:t>
            </w:r>
          </w:p>
        </w:tc>
      </w:tr>
      <w:tr w:rsidR="00842324" w14:paraId="5D0411F2" w14:textId="77777777">
        <w:tc>
          <w:tcPr>
            <w:tcW w:w="1908" w:type="dxa"/>
          </w:tcPr>
          <w:p w14:paraId="5D0411EE" w14:textId="77777777" w:rsidR="00842324" w:rsidRDefault="00000000">
            <w:pPr>
              <w:pStyle w:val="Compact"/>
            </w:pPr>
            <w:r>
              <w:t>Mean bias</w:t>
            </w:r>
          </w:p>
        </w:tc>
        <w:tc>
          <w:tcPr>
            <w:tcW w:w="763" w:type="dxa"/>
          </w:tcPr>
          <w:p w14:paraId="5D0411EF" w14:textId="77777777" w:rsidR="00842324" w:rsidRDefault="00000000">
            <w:pPr>
              <w:pStyle w:val="Compact"/>
            </w:pPr>
            <w:r>
              <w:t>Price</w:t>
            </w:r>
          </w:p>
        </w:tc>
        <w:tc>
          <w:tcPr>
            <w:tcW w:w="1526" w:type="dxa"/>
          </w:tcPr>
          <w:p w14:paraId="5D0411F0" w14:textId="77777777" w:rsidR="00842324" w:rsidRDefault="00000000">
            <w:pPr>
              <w:pStyle w:val="Compact"/>
            </w:pPr>
            <w:r>
              <w:t>RED</w:t>
            </w:r>
          </w:p>
        </w:tc>
        <w:tc>
          <w:tcPr>
            <w:tcW w:w="3721" w:type="dxa"/>
          </w:tcPr>
          <w:p w14:paraId="5D0411F1" w14:textId="77777777" w:rsidR="00842324" w:rsidRDefault="00000000">
            <w:pPr>
              <w:pStyle w:val="Compact"/>
            </w:pPr>
            <w:r>
              <w:t>Unilateral upper-tail excess</w:t>
            </w:r>
          </w:p>
        </w:tc>
      </w:tr>
      <w:tr w:rsidR="00842324" w14:paraId="5D0411F7" w14:textId="77777777">
        <w:tc>
          <w:tcPr>
            <w:tcW w:w="1908" w:type="dxa"/>
          </w:tcPr>
          <w:p w14:paraId="5D0411F3" w14:textId="77777777" w:rsidR="00842324" w:rsidRDefault="00000000">
            <w:pPr>
              <w:pStyle w:val="Compact"/>
            </w:pPr>
            <w:r>
              <w:t>Mean bias</w:t>
            </w:r>
          </w:p>
        </w:tc>
        <w:tc>
          <w:tcPr>
            <w:tcW w:w="763" w:type="dxa"/>
          </w:tcPr>
          <w:p w14:paraId="5D0411F4" w14:textId="77777777" w:rsidR="00842324" w:rsidRDefault="00000000">
            <w:pPr>
              <w:pStyle w:val="Compact"/>
            </w:pPr>
            <w:r>
              <w:t>Temp</w:t>
            </w:r>
          </w:p>
        </w:tc>
        <w:tc>
          <w:tcPr>
            <w:tcW w:w="1526" w:type="dxa"/>
          </w:tcPr>
          <w:p w14:paraId="5D0411F5" w14:textId="77777777" w:rsidR="00842324" w:rsidRDefault="00000000">
            <w:pPr>
              <w:pStyle w:val="Compact"/>
            </w:pPr>
            <w:r>
              <w:t>RED</w:t>
            </w:r>
          </w:p>
        </w:tc>
        <w:tc>
          <w:tcPr>
            <w:tcW w:w="3721" w:type="dxa"/>
          </w:tcPr>
          <w:p w14:paraId="5D0411F6" w14:textId="77777777" w:rsidR="00842324" w:rsidRDefault="00000000">
            <w:pPr>
              <w:pStyle w:val="Compact"/>
            </w:pPr>
            <w:r>
              <w:t>Unilateral upper-tail excess</w:t>
            </w:r>
          </w:p>
        </w:tc>
      </w:tr>
      <w:tr w:rsidR="00842324" w14:paraId="5D0411FC" w14:textId="77777777">
        <w:tc>
          <w:tcPr>
            <w:tcW w:w="1908" w:type="dxa"/>
          </w:tcPr>
          <w:p w14:paraId="5D0411F8" w14:textId="77777777" w:rsidR="00842324" w:rsidRDefault="00000000">
            <w:pPr>
              <w:pStyle w:val="Compact"/>
            </w:pPr>
            <w:r>
              <w:t>Heavy tails</w:t>
            </w:r>
          </w:p>
        </w:tc>
        <w:tc>
          <w:tcPr>
            <w:tcW w:w="763" w:type="dxa"/>
          </w:tcPr>
          <w:p w14:paraId="5D0411F9" w14:textId="77777777" w:rsidR="00842324" w:rsidRDefault="00000000">
            <w:pPr>
              <w:pStyle w:val="Compact"/>
            </w:pPr>
            <w:r>
              <w:t>Price</w:t>
            </w:r>
          </w:p>
        </w:tc>
        <w:tc>
          <w:tcPr>
            <w:tcW w:w="1526" w:type="dxa"/>
          </w:tcPr>
          <w:p w14:paraId="5D0411FA" w14:textId="77777777" w:rsidR="00842324" w:rsidRDefault="00000000">
            <w:pPr>
              <w:pStyle w:val="Compact"/>
            </w:pPr>
            <w:r>
              <w:t>GREEN</w:t>
            </w:r>
          </w:p>
        </w:tc>
        <w:tc>
          <w:tcPr>
            <w:tcW w:w="3721" w:type="dxa"/>
          </w:tcPr>
          <w:p w14:paraId="5D0411FB" w14:textId="77777777" w:rsidR="00842324" w:rsidRDefault="00000000">
            <w:pPr>
              <w:pStyle w:val="Compact"/>
            </w:pPr>
            <w:r>
              <w:t>Not detected (insufficient power)</w:t>
            </w:r>
          </w:p>
        </w:tc>
      </w:tr>
      <w:tr w:rsidR="00842324" w14:paraId="5D041201" w14:textId="77777777">
        <w:tc>
          <w:tcPr>
            <w:tcW w:w="1908" w:type="dxa"/>
          </w:tcPr>
          <w:p w14:paraId="5D0411FD" w14:textId="77777777" w:rsidR="00842324" w:rsidRDefault="00000000">
            <w:pPr>
              <w:pStyle w:val="Compact"/>
            </w:pPr>
            <w:r>
              <w:t>Heavy tails</w:t>
            </w:r>
          </w:p>
        </w:tc>
        <w:tc>
          <w:tcPr>
            <w:tcW w:w="763" w:type="dxa"/>
          </w:tcPr>
          <w:p w14:paraId="5D0411FE" w14:textId="77777777" w:rsidR="00842324" w:rsidRDefault="00000000">
            <w:pPr>
              <w:pStyle w:val="Compact"/>
            </w:pPr>
            <w:r>
              <w:t>Temp</w:t>
            </w:r>
          </w:p>
        </w:tc>
        <w:tc>
          <w:tcPr>
            <w:tcW w:w="1526" w:type="dxa"/>
          </w:tcPr>
          <w:p w14:paraId="5D0411FF" w14:textId="77777777" w:rsidR="00842324" w:rsidRDefault="00000000">
            <w:pPr>
              <w:pStyle w:val="Compact"/>
            </w:pPr>
            <w:r>
              <w:t>YELLOW</w:t>
            </w:r>
          </w:p>
        </w:tc>
        <w:tc>
          <w:tcPr>
            <w:tcW w:w="3721" w:type="dxa"/>
          </w:tcPr>
          <w:p w14:paraId="5D041200" w14:textId="77777777" w:rsidR="00842324" w:rsidRDefault="00000000">
            <w:pPr>
              <w:pStyle w:val="Compact"/>
            </w:pPr>
            <w:r>
              <w:t>Marginal coverage excess (n=365)</w:t>
            </w:r>
          </w:p>
        </w:tc>
      </w:tr>
    </w:tbl>
    <w:p w14:paraId="5D041202" w14:textId="77777777" w:rsidR="00842324" w:rsidRDefault="00000000">
      <w:pPr>
        <w:pStyle w:val="BodyText"/>
      </w:pPr>
      <w:r>
        <w:t>The misspecification scenarios validate the framework’s discriminative capacity for the two largest failure modes (variance inflation and mean bias) while exposing a power limitation for distributional shape misspecification at small sample sizes.</w:t>
      </w:r>
    </w:p>
    <w:p w14:paraId="5D041203" w14:textId="77777777" w:rsidR="00842324" w:rsidRDefault="00000000">
      <w:r>
        <w:pict w14:anchorId="5D0415FC">
          <v:rect id="_x0000_i1064" style="width:0;height:1.5pt" o:hralign="center" o:hrstd="t" o:hr="t"/>
        </w:pict>
      </w:r>
    </w:p>
    <w:p w14:paraId="5D041204" w14:textId="77777777" w:rsidR="00842324" w:rsidRDefault="00000000">
      <w:pPr>
        <w:pStyle w:val="Heading2"/>
      </w:pPr>
      <w:bookmarkStart w:id="115" w:name="X33f352f967061329ebf42caaa83acca5f05ca1c"/>
      <w:bookmarkStart w:id="116" w:name="_Toc225682090"/>
      <w:bookmarkEnd w:id="110"/>
      <w:bookmarkEnd w:id="114"/>
      <w:r>
        <w:t>6. Multivariate Dependency Analysis — PV and Wind (run_005)</w:t>
      </w:r>
      <w:bookmarkEnd w:id="116"/>
    </w:p>
    <w:p w14:paraId="5D041205" w14:textId="77777777" w:rsidR="00842324" w:rsidRDefault="00000000">
      <w:pPr>
        <w:pStyle w:val="FirstParagraph"/>
      </w:pPr>
      <w:r>
        <w:rPr>
          <w:b/>
          <w:bCs/>
        </w:rPr>
        <w:t>Motivation.</w:t>
      </w:r>
      <w:r>
        <w:t xml:space="preserve"> Univariate diagnostics evaluate each asset’s calibration independently. In practice, a portfolio of renewable assets is exposed to shared weather drivers, creating cross-asset dependence in forecast errors. run_005 evaluates joint PIT residual dependence between PV and wind on their shared hourly evaluation index.</w:t>
      </w:r>
    </w:p>
    <w:p w14:paraId="5D041206" w14:textId="77777777" w:rsidR="00842324" w:rsidRDefault="00000000">
      <w:pPr>
        <w:pStyle w:val="BodyText"/>
      </w:pPr>
      <w:r>
        <w:rPr>
          <w:b/>
          <w:bCs/>
        </w:rPr>
        <w:t>Shared evaluation index:</w:t>
      </w:r>
      <w:r>
        <w:t xml:space="preserve"> n = 4,287 daytime hours (PV daytime restriction applied to both series; wind warmup-eligible observations intersected with PV daytime timestamps, 2013–2015).</w:t>
      </w:r>
    </w:p>
    <w:p w14:paraId="5D041207" w14:textId="77777777" w:rsidR="00842324" w:rsidRDefault="00000000">
      <w:r>
        <w:pict w14:anchorId="5D0415FD">
          <v:rect id="_x0000_i1065" style="width:0;height:1.5pt" o:hralign="center" o:hrstd="t" o:hr="t"/>
        </w:pict>
      </w:r>
    </w:p>
    <w:p w14:paraId="5D041208" w14:textId="77777777" w:rsidR="00842324" w:rsidRDefault="00000000">
      <w:pPr>
        <w:pStyle w:val="Heading3"/>
      </w:pPr>
      <w:bookmarkStart w:id="117" w:name="marginal-pit-residuals"/>
      <w:r>
        <w:t>6.1 Marginal PIT Residuals</w:t>
      </w:r>
    </w:p>
    <w:tbl>
      <w:tblPr>
        <w:tblStyle w:val="Table"/>
        <w:tblW w:w="0" w:type="auto"/>
        <w:tblLook w:val="0020" w:firstRow="1" w:lastRow="0" w:firstColumn="0" w:lastColumn="0" w:noHBand="0" w:noVBand="0"/>
      </w:tblPr>
      <w:tblGrid>
        <w:gridCol w:w="795"/>
        <w:gridCol w:w="1802"/>
        <w:gridCol w:w="926"/>
      </w:tblGrid>
      <w:tr w:rsidR="00842324" w14:paraId="5D04120C"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209" w14:textId="77777777" w:rsidR="00842324" w:rsidRDefault="00000000">
            <w:pPr>
              <w:pStyle w:val="Compact"/>
            </w:pPr>
            <w:r>
              <w:t>Asset</w:t>
            </w:r>
          </w:p>
        </w:tc>
        <w:tc>
          <w:tcPr>
            <w:tcW w:w="0" w:type="auto"/>
          </w:tcPr>
          <w:p w14:paraId="5D04120A" w14:textId="77777777" w:rsidR="00842324" w:rsidRDefault="00000000">
            <w:pPr>
              <w:pStyle w:val="Compact"/>
            </w:pPr>
            <w:r>
              <w:t>Mean z = Φ⁻¹(u)</w:t>
            </w:r>
          </w:p>
        </w:tc>
        <w:tc>
          <w:tcPr>
            <w:tcW w:w="0" w:type="auto"/>
          </w:tcPr>
          <w:p w14:paraId="5D04120B" w14:textId="77777777" w:rsidR="00842324" w:rsidRDefault="00000000">
            <w:pPr>
              <w:pStyle w:val="Compact"/>
            </w:pPr>
            <w:r>
              <w:t>Std z</w:t>
            </w:r>
          </w:p>
        </w:tc>
      </w:tr>
      <w:tr w:rsidR="00842324" w14:paraId="5D041210" w14:textId="77777777">
        <w:tc>
          <w:tcPr>
            <w:tcW w:w="0" w:type="auto"/>
          </w:tcPr>
          <w:p w14:paraId="5D04120D" w14:textId="77777777" w:rsidR="00842324" w:rsidRDefault="00000000">
            <w:pPr>
              <w:pStyle w:val="Compact"/>
            </w:pPr>
            <w:r>
              <w:t>PV</w:t>
            </w:r>
          </w:p>
        </w:tc>
        <w:tc>
          <w:tcPr>
            <w:tcW w:w="0" w:type="auto"/>
          </w:tcPr>
          <w:p w14:paraId="5D04120E" w14:textId="77777777" w:rsidR="00842324" w:rsidRDefault="00000000">
            <w:pPr>
              <w:pStyle w:val="Compact"/>
            </w:pPr>
            <w:r>
              <w:t>+0.1037</w:t>
            </w:r>
          </w:p>
        </w:tc>
        <w:tc>
          <w:tcPr>
            <w:tcW w:w="0" w:type="auto"/>
          </w:tcPr>
          <w:p w14:paraId="5D04120F" w14:textId="77777777" w:rsidR="00842324" w:rsidRDefault="00000000">
            <w:pPr>
              <w:pStyle w:val="Compact"/>
            </w:pPr>
            <w:r>
              <w:t>1.9414</w:t>
            </w:r>
          </w:p>
        </w:tc>
      </w:tr>
      <w:tr w:rsidR="00842324" w14:paraId="5D041214" w14:textId="77777777">
        <w:tc>
          <w:tcPr>
            <w:tcW w:w="0" w:type="auto"/>
          </w:tcPr>
          <w:p w14:paraId="5D041211" w14:textId="77777777" w:rsidR="00842324" w:rsidRDefault="00000000">
            <w:pPr>
              <w:pStyle w:val="Compact"/>
            </w:pPr>
            <w:r>
              <w:t>Wind</w:t>
            </w:r>
          </w:p>
        </w:tc>
        <w:tc>
          <w:tcPr>
            <w:tcW w:w="0" w:type="auto"/>
          </w:tcPr>
          <w:p w14:paraId="5D041212" w14:textId="77777777" w:rsidR="00842324" w:rsidRDefault="00000000">
            <w:pPr>
              <w:pStyle w:val="Compact"/>
            </w:pPr>
            <w:r>
              <w:t>−0.0514</w:t>
            </w:r>
          </w:p>
        </w:tc>
        <w:tc>
          <w:tcPr>
            <w:tcW w:w="0" w:type="auto"/>
          </w:tcPr>
          <w:p w14:paraId="5D041213" w14:textId="77777777" w:rsidR="00842324" w:rsidRDefault="00000000">
            <w:pPr>
              <w:pStyle w:val="Compact"/>
            </w:pPr>
            <w:r>
              <w:t>1.5997</w:t>
            </w:r>
          </w:p>
        </w:tc>
      </w:tr>
    </w:tbl>
    <w:p w14:paraId="5D041215" w14:textId="77777777" w:rsidR="00842324" w:rsidRDefault="00000000">
      <w:pPr>
        <w:pStyle w:val="BodyText"/>
      </w:pPr>
      <w:r>
        <w:t>Both series show std(z) &gt; 1.0, consistent with overdispersion in the marginal distributions (confirmed RED in univariate runs). PV shows a slight positive bias (model slightly underestimates daytime generation); wind shows a slight negative bias.</w:t>
      </w:r>
    </w:p>
    <w:p w14:paraId="5D041216" w14:textId="77777777" w:rsidR="00842324" w:rsidRDefault="00000000">
      <w:r>
        <w:pict w14:anchorId="5D0415FE">
          <v:rect id="_x0000_i1066" style="width:0;height:1.5pt" o:hralign="center" o:hrstd="t" o:hr="t"/>
        </w:pict>
      </w:r>
    </w:p>
    <w:p w14:paraId="5D041217" w14:textId="77777777" w:rsidR="00842324" w:rsidRDefault="00000000">
      <w:pPr>
        <w:pStyle w:val="Heading3"/>
      </w:pPr>
      <w:bookmarkStart w:id="118" w:name="Xc6c70a854437196af6b276836ef3c006eba4c9a"/>
      <w:bookmarkEnd w:id="117"/>
      <w:r>
        <w:t>6.2 Multivariate Ljung–Box (Joint PIT Residual Vector)</w:t>
      </w:r>
    </w:p>
    <w:tbl>
      <w:tblPr>
        <w:tblStyle w:val="Table"/>
        <w:tblW w:w="0" w:type="auto"/>
        <w:tblLook w:val="0020" w:firstRow="1" w:lastRow="0" w:firstColumn="0" w:lastColumn="0" w:noHBand="0" w:noVBand="0"/>
      </w:tblPr>
      <w:tblGrid>
        <w:gridCol w:w="580"/>
        <w:gridCol w:w="1070"/>
        <w:gridCol w:w="473"/>
        <w:gridCol w:w="992"/>
      </w:tblGrid>
      <w:tr w:rsidR="00842324" w14:paraId="5D04121C"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218" w14:textId="77777777" w:rsidR="00842324" w:rsidRDefault="00000000">
            <w:pPr>
              <w:pStyle w:val="Compact"/>
            </w:pPr>
            <w:r>
              <w:t>Lag</w:t>
            </w:r>
          </w:p>
        </w:tc>
        <w:tc>
          <w:tcPr>
            <w:tcW w:w="0" w:type="auto"/>
          </w:tcPr>
          <w:p w14:paraId="5D041219" w14:textId="77777777" w:rsidR="00842324" w:rsidRDefault="00000000">
            <w:pPr>
              <w:pStyle w:val="Compact"/>
            </w:pPr>
            <w:r>
              <w:t>Statistic</w:t>
            </w:r>
          </w:p>
        </w:tc>
        <w:tc>
          <w:tcPr>
            <w:tcW w:w="0" w:type="auto"/>
          </w:tcPr>
          <w:p w14:paraId="5D04121A" w14:textId="77777777" w:rsidR="00842324" w:rsidRDefault="00000000">
            <w:pPr>
              <w:pStyle w:val="Compact"/>
            </w:pPr>
            <w:r>
              <w:t>df</w:t>
            </w:r>
          </w:p>
        </w:tc>
        <w:tc>
          <w:tcPr>
            <w:tcW w:w="0" w:type="auto"/>
          </w:tcPr>
          <w:p w14:paraId="5D04121B" w14:textId="77777777" w:rsidR="00842324" w:rsidRDefault="00000000">
            <w:pPr>
              <w:pStyle w:val="Compact"/>
            </w:pPr>
            <w:r>
              <w:t>p-value</w:t>
            </w:r>
          </w:p>
        </w:tc>
      </w:tr>
      <w:tr w:rsidR="00842324" w14:paraId="5D041221" w14:textId="77777777">
        <w:tc>
          <w:tcPr>
            <w:tcW w:w="0" w:type="auto"/>
          </w:tcPr>
          <w:p w14:paraId="5D04121D" w14:textId="77777777" w:rsidR="00842324" w:rsidRDefault="00000000">
            <w:pPr>
              <w:pStyle w:val="Compact"/>
            </w:pPr>
            <w:r>
              <w:lastRenderedPageBreak/>
              <w:t>5</w:t>
            </w:r>
          </w:p>
        </w:tc>
        <w:tc>
          <w:tcPr>
            <w:tcW w:w="0" w:type="auto"/>
          </w:tcPr>
          <w:p w14:paraId="5D04121E" w14:textId="77777777" w:rsidR="00842324" w:rsidRDefault="00000000">
            <w:pPr>
              <w:pStyle w:val="Compact"/>
            </w:pPr>
            <w:r>
              <w:t>15,427</w:t>
            </w:r>
          </w:p>
        </w:tc>
        <w:tc>
          <w:tcPr>
            <w:tcW w:w="0" w:type="auto"/>
          </w:tcPr>
          <w:p w14:paraId="5D04121F" w14:textId="77777777" w:rsidR="00842324" w:rsidRDefault="00000000">
            <w:pPr>
              <w:pStyle w:val="Compact"/>
            </w:pPr>
            <w:r>
              <w:t>20</w:t>
            </w:r>
          </w:p>
        </w:tc>
        <w:tc>
          <w:tcPr>
            <w:tcW w:w="0" w:type="auto"/>
          </w:tcPr>
          <w:p w14:paraId="5D041220" w14:textId="77777777" w:rsidR="00842324" w:rsidRDefault="00000000">
            <w:pPr>
              <w:pStyle w:val="Compact"/>
            </w:pPr>
            <w:r>
              <w:t>≈ 0</w:t>
            </w:r>
          </w:p>
        </w:tc>
      </w:tr>
      <w:tr w:rsidR="00842324" w14:paraId="5D041226" w14:textId="77777777">
        <w:tc>
          <w:tcPr>
            <w:tcW w:w="0" w:type="auto"/>
          </w:tcPr>
          <w:p w14:paraId="5D041222" w14:textId="77777777" w:rsidR="00842324" w:rsidRDefault="00000000">
            <w:pPr>
              <w:pStyle w:val="Compact"/>
            </w:pPr>
            <w:r>
              <w:t>10</w:t>
            </w:r>
          </w:p>
        </w:tc>
        <w:tc>
          <w:tcPr>
            <w:tcW w:w="0" w:type="auto"/>
          </w:tcPr>
          <w:p w14:paraId="5D041223" w14:textId="77777777" w:rsidR="00842324" w:rsidRDefault="00000000">
            <w:pPr>
              <w:pStyle w:val="Compact"/>
            </w:pPr>
            <w:r>
              <w:t>20,692</w:t>
            </w:r>
          </w:p>
        </w:tc>
        <w:tc>
          <w:tcPr>
            <w:tcW w:w="0" w:type="auto"/>
          </w:tcPr>
          <w:p w14:paraId="5D041224" w14:textId="77777777" w:rsidR="00842324" w:rsidRDefault="00000000">
            <w:pPr>
              <w:pStyle w:val="Compact"/>
            </w:pPr>
            <w:r>
              <w:t>40</w:t>
            </w:r>
          </w:p>
        </w:tc>
        <w:tc>
          <w:tcPr>
            <w:tcW w:w="0" w:type="auto"/>
          </w:tcPr>
          <w:p w14:paraId="5D041225" w14:textId="77777777" w:rsidR="00842324" w:rsidRDefault="00000000">
            <w:pPr>
              <w:pStyle w:val="Compact"/>
            </w:pPr>
            <w:r>
              <w:t>≈ 0</w:t>
            </w:r>
          </w:p>
        </w:tc>
      </w:tr>
      <w:tr w:rsidR="00842324" w14:paraId="5D04122B" w14:textId="77777777">
        <w:tc>
          <w:tcPr>
            <w:tcW w:w="0" w:type="auto"/>
          </w:tcPr>
          <w:p w14:paraId="5D041227" w14:textId="77777777" w:rsidR="00842324" w:rsidRDefault="00000000">
            <w:pPr>
              <w:pStyle w:val="Compact"/>
            </w:pPr>
            <w:r>
              <w:t>20</w:t>
            </w:r>
          </w:p>
        </w:tc>
        <w:tc>
          <w:tcPr>
            <w:tcW w:w="0" w:type="auto"/>
          </w:tcPr>
          <w:p w14:paraId="5D041228" w14:textId="77777777" w:rsidR="00842324" w:rsidRDefault="00000000">
            <w:pPr>
              <w:pStyle w:val="Compact"/>
            </w:pPr>
            <w:r>
              <w:t>24,714</w:t>
            </w:r>
          </w:p>
        </w:tc>
        <w:tc>
          <w:tcPr>
            <w:tcW w:w="0" w:type="auto"/>
          </w:tcPr>
          <w:p w14:paraId="5D041229" w14:textId="77777777" w:rsidR="00842324" w:rsidRDefault="00000000">
            <w:pPr>
              <w:pStyle w:val="Compact"/>
            </w:pPr>
            <w:r>
              <w:t>80</w:t>
            </w:r>
          </w:p>
        </w:tc>
        <w:tc>
          <w:tcPr>
            <w:tcW w:w="0" w:type="auto"/>
          </w:tcPr>
          <w:p w14:paraId="5D04122A" w14:textId="77777777" w:rsidR="00842324" w:rsidRDefault="00000000">
            <w:pPr>
              <w:pStyle w:val="Compact"/>
            </w:pPr>
            <w:r>
              <w:t>≈ 0</w:t>
            </w:r>
          </w:p>
        </w:tc>
      </w:tr>
    </w:tbl>
    <w:p w14:paraId="5D04122C" w14:textId="77777777" w:rsidR="00842324" w:rsidRDefault="00000000">
      <w:pPr>
        <w:pStyle w:val="BodyText"/>
      </w:pPr>
      <w:r>
        <w:t>Joint independence is overwhelmingly rejected. The joint residual process inherits the severe serial dependence of both individual series.</w:t>
      </w:r>
    </w:p>
    <w:p w14:paraId="5D04122D" w14:textId="77777777" w:rsidR="00842324" w:rsidRDefault="00000000">
      <w:r>
        <w:pict w14:anchorId="5D0415FF">
          <v:rect id="_x0000_i1067" style="width:0;height:1.5pt" o:hralign="center" o:hrstd="t" o:hr="t"/>
        </w:pict>
      </w:r>
    </w:p>
    <w:p w14:paraId="5D04122E" w14:textId="77777777" w:rsidR="00842324" w:rsidRDefault="00000000">
      <w:pPr>
        <w:pStyle w:val="Heading3"/>
      </w:pPr>
      <w:bookmarkStart w:id="119" w:name="cross-correlation-of-pit-residuals"/>
      <w:bookmarkEnd w:id="118"/>
      <w:r>
        <w:t>6.3 Cross-Correlation of PIT Residuals</w:t>
      </w:r>
    </w:p>
    <w:tbl>
      <w:tblPr>
        <w:tblStyle w:val="Table"/>
        <w:tblW w:w="0" w:type="auto"/>
        <w:tblLook w:val="0020" w:firstRow="1" w:lastRow="0" w:firstColumn="0" w:lastColumn="0" w:noHBand="0" w:noVBand="0"/>
      </w:tblPr>
      <w:tblGrid>
        <w:gridCol w:w="580"/>
        <w:gridCol w:w="1392"/>
      </w:tblGrid>
      <w:tr w:rsidR="00842324" w14:paraId="5D041231"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22F" w14:textId="77777777" w:rsidR="00842324" w:rsidRDefault="00000000">
            <w:pPr>
              <w:pStyle w:val="Compact"/>
            </w:pPr>
            <w:r>
              <w:t>Lag</w:t>
            </w:r>
          </w:p>
        </w:tc>
        <w:tc>
          <w:tcPr>
            <w:tcW w:w="0" w:type="auto"/>
          </w:tcPr>
          <w:p w14:paraId="5D041230" w14:textId="77777777" w:rsidR="00842324" w:rsidRDefault="00000000">
            <w:pPr>
              <w:pStyle w:val="Compact"/>
            </w:pPr>
            <w:r>
              <w:t>Correlation</w:t>
            </w:r>
          </w:p>
        </w:tc>
      </w:tr>
      <w:tr w:rsidR="00842324" w14:paraId="5D041234" w14:textId="77777777">
        <w:tc>
          <w:tcPr>
            <w:tcW w:w="0" w:type="auto"/>
          </w:tcPr>
          <w:p w14:paraId="5D041232" w14:textId="77777777" w:rsidR="00842324" w:rsidRDefault="00000000">
            <w:pPr>
              <w:pStyle w:val="Compact"/>
            </w:pPr>
            <w:r>
              <w:t>0</w:t>
            </w:r>
          </w:p>
        </w:tc>
        <w:tc>
          <w:tcPr>
            <w:tcW w:w="0" w:type="auto"/>
          </w:tcPr>
          <w:p w14:paraId="5D041233" w14:textId="77777777" w:rsidR="00842324" w:rsidRDefault="00000000">
            <w:pPr>
              <w:pStyle w:val="Compact"/>
            </w:pPr>
            <w:r>
              <w:t>−0.040</w:t>
            </w:r>
          </w:p>
        </w:tc>
      </w:tr>
      <w:tr w:rsidR="00842324" w14:paraId="5D041237" w14:textId="77777777">
        <w:tc>
          <w:tcPr>
            <w:tcW w:w="0" w:type="auto"/>
          </w:tcPr>
          <w:p w14:paraId="5D041235" w14:textId="77777777" w:rsidR="00842324" w:rsidRDefault="00000000">
            <w:pPr>
              <w:pStyle w:val="Compact"/>
            </w:pPr>
            <w:r>
              <w:t>1</w:t>
            </w:r>
          </w:p>
        </w:tc>
        <w:tc>
          <w:tcPr>
            <w:tcW w:w="0" w:type="auto"/>
          </w:tcPr>
          <w:p w14:paraId="5D041236" w14:textId="77777777" w:rsidR="00842324" w:rsidRDefault="00000000">
            <w:pPr>
              <w:pStyle w:val="Compact"/>
            </w:pPr>
            <w:r>
              <w:t>−0.041</w:t>
            </w:r>
          </w:p>
        </w:tc>
      </w:tr>
      <w:tr w:rsidR="00842324" w14:paraId="5D04123A" w14:textId="77777777">
        <w:tc>
          <w:tcPr>
            <w:tcW w:w="0" w:type="auto"/>
          </w:tcPr>
          <w:p w14:paraId="5D041238" w14:textId="77777777" w:rsidR="00842324" w:rsidRDefault="00000000">
            <w:pPr>
              <w:pStyle w:val="Compact"/>
            </w:pPr>
            <w:r>
              <w:t>6</w:t>
            </w:r>
          </w:p>
        </w:tc>
        <w:tc>
          <w:tcPr>
            <w:tcW w:w="0" w:type="auto"/>
          </w:tcPr>
          <w:p w14:paraId="5D041239" w14:textId="77777777" w:rsidR="00842324" w:rsidRDefault="00000000">
            <w:pPr>
              <w:pStyle w:val="Compact"/>
            </w:pPr>
            <w:r>
              <w:t>−0.031</w:t>
            </w:r>
          </w:p>
        </w:tc>
      </w:tr>
      <w:tr w:rsidR="00842324" w14:paraId="5D04123D" w14:textId="77777777">
        <w:tc>
          <w:tcPr>
            <w:tcW w:w="0" w:type="auto"/>
          </w:tcPr>
          <w:p w14:paraId="5D04123B" w14:textId="77777777" w:rsidR="00842324" w:rsidRDefault="00000000">
            <w:pPr>
              <w:pStyle w:val="Compact"/>
            </w:pPr>
            <w:r>
              <w:t>24</w:t>
            </w:r>
          </w:p>
        </w:tc>
        <w:tc>
          <w:tcPr>
            <w:tcW w:w="0" w:type="auto"/>
          </w:tcPr>
          <w:p w14:paraId="5D04123C" w14:textId="77777777" w:rsidR="00842324" w:rsidRDefault="00000000">
            <w:pPr>
              <w:pStyle w:val="Compact"/>
            </w:pPr>
            <w:r>
              <w:t>+0.075</w:t>
            </w:r>
          </w:p>
        </w:tc>
      </w:tr>
    </w:tbl>
    <w:p w14:paraId="5D04123E" w14:textId="77777777" w:rsidR="00842324" w:rsidRDefault="00000000">
      <w:pPr>
        <w:pStyle w:val="BodyText"/>
      </w:pPr>
      <w:r>
        <w:t>Contemporaneous correlation is weakly negative (lag 0: −0.040), consistent with the physical tendency for calm, sunny conditions to correlate with lower wind and higher solar irradiance. The lag-24 value (+0.075) reflects shared diurnal weather persistence — the same-hour correlation one day ahead is positive, indicating that jointly favourable or unfavourable weather conditions persist day-to-day. All cross-correlations are modest in magnitude, indicating that the two marginal distributions are approximately contemporaneously independent while not serially independent.</w:t>
      </w:r>
    </w:p>
    <w:p w14:paraId="5D04123F" w14:textId="77777777" w:rsidR="00842324" w:rsidRDefault="00000000">
      <w:r>
        <w:pict w14:anchorId="5D041600">
          <v:rect id="_x0000_i1068" style="width:0;height:1.5pt" o:hralign="center" o:hrstd="t" o:hr="t"/>
        </w:pict>
      </w:r>
    </w:p>
    <w:p w14:paraId="5D041240" w14:textId="77777777" w:rsidR="00842324" w:rsidRDefault="00000000">
      <w:pPr>
        <w:pStyle w:val="Heading3"/>
      </w:pPr>
      <w:bookmarkStart w:id="120" w:name="bivariate-energy-score"/>
      <w:bookmarkEnd w:id="119"/>
      <w:r>
        <w:t>6.4 Bivariate Energy Score</w:t>
      </w:r>
    </w:p>
    <w:p w14:paraId="5D041241" w14:textId="77777777" w:rsidR="00842324" w:rsidRDefault="00000000">
      <w:pPr>
        <w:pStyle w:val="FirstParagraph"/>
      </w:pPr>
      <w:r>
        <w:t xml:space="preserve">Bivariate energy score: </w:t>
      </w:r>
      <w:r>
        <w:rPr>
          <w:b/>
          <w:bCs/>
        </w:rPr>
        <w:t>2.017</w:t>
      </w:r>
    </w:p>
    <w:p w14:paraId="5D041242" w14:textId="77777777" w:rsidR="00842324" w:rsidRDefault="00000000">
      <w:pPr>
        <w:pStyle w:val="BodyText"/>
      </w:pPr>
      <w:r>
        <w:t>The bivariate energy score (Gneiting et al., 2008) serves as a reference value for the joint predictive distribution under the current base intervals. A correctly calibrated joint predictive distribution would achieve a lower score. The value provides a benchmark for comparison after conformal augmentation or model improvement.</w:t>
      </w:r>
    </w:p>
    <w:p w14:paraId="5D041243" w14:textId="77777777" w:rsidR="00842324" w:rsidRDefault="00000000">
      <w:r>
        <w:pict w14:anchorId="5D041601">
          <v:rect id="_x0000_i1069" style="width:0;height:1.5pt" o:hralign="center" o:hrstd="t" o:hr="t"/>
        </w:pict>
      </w:r>
    </w:p>
    <w:p w14:paraId="5D041244" w14:textId="77777777" w:rsidR="00842324" w:rsidRDefault="00000000">
      <w:pPr>
        <w:pStyle w:val="Heading3"/>
      </w:pPr>
      <w:bookmarkStart w:id="121" w:name="independence-verdict"/>
      <w:bookmarkEnd w:id="120"/>
      <w:r>
        <w:t>6.5 Independence Verdict</w:t>
      </w:r>
    </w:p>
    <w:p w14:paraId="5D041245" w14:textId="77777777" w:rsidR="00842324" w:rsidRDefault="00000000">
      <w:pPr>
        <w:pStyle w:val="FirstParagraph"/>
      </w:pPr>
      <w:r>
        <w:rPr>
          <w:b/>
          <w:bCs/>
        </w:rPr>
        <w:t>REJECT</w:t>
      </w:r>
      <w:r>
        <w:t xml:space="preserve"> — the joint PIT residual process is not white noise.</w:t>
      </w:r>
    </w:p>
    <w:p w14:paraId="5D041246" w14:textId="77777777" w:rsidR="00842324" w:rsidRDefault="00000000">
      <w:pPr>
        <w:pStyle w:val="BodyText"/>
      </w:pPr>
      <w:r>
        <w:t xml:space="preserve">The multivariate results confirm that treating PV and wind as independent for portfolio risk aggregation would underestimate joint tail exposure, consistent with findings on cross-asset forecast error dependence in renewable portfolios (Pinson and Girard, 2012). Any </w:t>
      </w:r>
      <w:r>
        <w:lastRenderedPageBreak/>
        <w:t>composite risk measure (e.g., a combined renewable portfolio VaR) must account for the persistent serial structure and the lag-24 positive cross-correlation.</w:t>
      </w:r>
    </w:p>
    <w:p w14:paraId="5D041247" w14:textId="77777777" w:rsidR="00842324" w:rsidRDefault="00000000">
      <w:r>
        <w:pict w14:anchorId="5D041602">
          <v:rect id="_x0000_i1070" style="width:0;height:1.5pt" o:hralign="center" o:hrstd="t" o:hr="t"/>
        </w:pict>
      </w:r>
    </w:p>
    <w:p w14:paraId="5D041248" w14:textId="77777777" w:rsidR="00842324" w:rsidRDefault="00000000">
      <w:r>
        <w:pict w14:anchorId="5D041603">
          <v:rect id="_x0000_i1071" style="width:0;height:1.5pt" o:hralign="center" o:hrstd="t" o:hr="t"/>
        </w:pict>
      </w:r>
    </w:p>
    <w:p w14:paraId="5D041249" w14:textId="77777777" w:rsidR="00842324" w:rsidRDefault="00000000">
      <w:pPr>
        <w:pStyle w:val="Heading2"/>
      </w:pPr>
      <w:bookmarkStart w:id="122" w:name="X6065c4093ea4c5ca84b739f0ee4a16220fcb08c"/>
      <w:bookmarkStart w:id="123" w:name="_Toc225682091"/>
      <w:bookmarkEnd w:id="115"/>
      <w:bookmarkEnd w:id="121"/>
      <w:r>
        <w:t>6b. Multivariate Extended Simulation — Five Commodity Series (run_014)</w:t>
      </w:r>
      <w:bookmarkEnd w:id="123"/>
    </w:p>
    <w:p w14:paraId="5D04124A" w14:textId="77777777" w:rsidR="00842324" w:rsidRDefault="00000000">
      <w:pPr>
        <w:pStyle w:val="FirstParagraph"/>
      </w:pPr>
      <w:r>
        <w:rPr>
          <w:b/>
          <w:bCs/>
        </w:rPr>
        <w:t>Motivation.</w:t>
      </w:r>
      <w:r>
        <w:t xml:space="preserve"> The supervisor guidance requires the framework to consider at least five multivariate commodity series. run_005 evaluates PV and wind jointly on real data. run_014 extends multivariate evaluation to the simulation model class, using all five correlated series from the extended DGP: electricity price, natural gas, carbon, original price, and temperature.</w:t>
      </w:r>
    </w:p>
    <w:p w14:paraId="5D04124B" w14:textId="77777777" w:rsidR="00842324" w:rsidRDefault="00000000">
      <w:pPr>
        <w:pStyle w:val="BodyText"/>
      </w:pPr>
      <w:r>
        <w:rPr>
          <w:b/>
          <w:bCs/>
        </w:rPr>
        <w:t>Methodology note.</w:t>
      </w:r>
      <w:r>
        <w:t xml:space="preserve"> The simulation architecture saves only quantile bounds (lo, hi), not full sample paths. PIT-based evaluation and energy score are therefore unavailable for this model class. Multivariate analysis uses interval breach indicators (1 = breach, 0 = inside) as the evaluation currency — a binary representation of the joint interval coverage process.</w:t>
      </w:r>
    </w:p>
    <w:p w14:paraId="5D04124C" w14:textId="77777777" w:rsidR="00842324" w:rsidRDefault="00000000">
      <w:pPr>
        <w:pStyle w:val="BodyText"/>
      </w:pPr>
      <w:r>
        <w:rPr>
          <w:b/>
          <w:bCs/>
        </w:rPr>
        <w:t>n = 365 observations, 5 series, 10 pairs.</w:t>
      </w:r>
    </w:p>
    <w:p w14:paraId="5D04124D" w14:textId="77777777" w:rsidR="00842324" w:rsidRDefault="00000000">
      <w:pPr>
        <w:pStyle w:val="Heading3"/>
      </w:pPr>
      <w:bookmarkStart w:id="124" w:name="b.1-marginal-and-joint-coverage"/>
      <w:r>
        <w:t>6b.1 Marginal and Joint Coverage</w:t>
      </w:r>
    </w:p>
    <w:tbl>
      <w:tblPr>
        <w:tblStyle w:val="Table"/>
        <w:tblW w:w="0" w:type="auto"/>
        <w:tblLook w:val="0020" w:firstRow="1" w:lastRow="0" w:firstColumn="0" w:lastColumn="0" w:noHBand="0" w:noVBand="0"/>
      </w:tblPr>
      <w:tblGrid>
        <w:gridCol w:w="1700"/>
        <w:gridCol w:w="2142"/>
        <w:gridCol w:w="1480"/>
      </w:tblGrid>
      <w:tr w:rsidR="00842324" w14:paraId="5D041251"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24E" w14:textId="77777777" w:rsidR="00842324" w:rsidRDefault="00000000">
            <w:pPr>
              <w:pStyle w:val="Compact"/>
            </w:pPr>
            <w:r>
              <w:t>Series</w:t>
            </w:r>
          </w:p>
        </w:tc>
        <w:tc>
          <w:tcPr>
            <w:tcW w:w="0" w:type="auto"/>
          </w:tcPr>
          <w:p w14:paraId="5D04124F" w14:textId="77777777" w:rsidR="00842324" w:rsidRDefault="00000000">
            <w:pPr>
              <w:pStyle w:val="Compact"/>
            </w:pPr>
            <w:r>
              <w:t>Marginal Coverage</w:t>
            </w:r>
          </w:p>
        </w:tc>
        <w:tc>
          <w:tcPr>
            <w:tcW w:w="0" w:type="auto"/>
          </w:tcPr>
          <w:p w14:paraId="5D041250" w14:textId="77777777" w:rsidR="00842324" w:rsidRDefault="00000000">
            <w:pPr>
              <w:pStyle w:val="Compact"/>
            </w:pPr>
            <w:r>
              <w:t>Breach Rate</w:t>
            </w:r>
          </w:p>
        </w:tc>
      </w:tr>
      <w:tr w:rsidR="00842324" w14:paraId="5D041255" w14:textId="77777777">
        <w:tc>
          <w:tcPr>
            <w:tcW w:w="0" w:type="auto"/>
          </w:tcPr>
          <w:p w14:paraId="5D041252" w14:textId="77777777" w:rsidR="00842324" w:rsidRDefault="00000000">
            <w:pPr>
              <w:pStyle w:val="Compact"/>
            </w:pPr>
            <w:r>
              <w:t>Elec price</w:t>
            </w:r>
          </w:p>
        </w:tc>
        <w:tc>
          <w:tcPr>
            <w:tcW w:w="0" w:type="auto"/>
          </w:tcPr>
          <w:p w14:paraId="5D041253" w14:textId="77777777" w:rsidR="00842324" w:rsidRDefault="00000000">
            <w:pPr>
              <w:pStyle w:val="Compact"/>
            </w:pPr>
            <w:r>
              <w:t>92.05%</w:t>
            </w:r>
          </w:p>
        </w:tc>
        <w:tc>
          <w:tcPr>
            <w:tcW w:w="0" w:type="auto"/>
          </w:tcPr>
          <w:p w14:paraId="5D041254" w14:textId="77777777" w:rsidR="00842324" w:rsidRDefault="00000000">
            <w:pPr>
              <w:pStyle w:val="Compact"/>
            </w:pPr>
            <w:r>
              <w:t>7.95%</w:t>
            </w:r>
          </w:p>
        </w:tc>
      </w:tr>
      <w:tr w:rsidR="00842324" w14:paraId="5D041259" w14:textId="77777777">
        <w:tc>
          <w:tcPr>
            <w:tcW w:w="0" w:type="auto"/>
          </w:tcPr>
          <w:p w14:paraId="5D041256" w14:textId="77777777" w:rsidR="00842324" w:rsidRDefault="00000000">
            <w:pPr>
              <w:pStyle w:val="Compact"/>
            </w:pPr>
            <w:r>
              <w:t>Natural gas</w:t>
            </w:r>
          </w:p>
        </w:tc>
        <w:tc>
          <w:tcPr>
            <w:tcW w:w="0" w:type="auto"/>
          </w:tcPr>
          <w:p w14:paraId="5D041257" w14:textId="77777777" w:rsidR="00842324" w:rsidRDefault="00000000">
            <w:pPr>
              <w:pStyle w:val="Compact"/>
            </w:pPr>
            <w:r>
              <w:t>91.51%</w:t>
            </w:r>
          </w:p>
        </w:tc>
        <w:tc>
          <w:tcPr>
            <w:tcW w:w="0" w:type="auto"/>
          </w:tcPr>
          <w:p w14:paraId="5D041258" w14:textId="77777777" w:rsidR="00842324" w:rsidRDefault="00000000">
            <w:pPr>
              <w:pStyle w:val="Compact"/>
            </w:pPr>
            <w:r>
              <w:t>8.49%</w:t>
            </w:r>
          </w:p>
        </w:tc>
      </w:tr>
      <w:tr w:rsidR="00842324" w14:paraId="5D04125D" w14:textId="77777777">
        <w:tc>
          <w:tcPr>
            <w:tcW w:w="0" w:type="auto"/>
          </w:tcPr>
          <w:p w14:paraId="5D04125A" w14:textId="77777777" w:rsidR="00842324" w:rsidRDefault="00000000">
            <w:pPr>
              <w:pStyle w:val="Compact"/>
            </w:pPr>
            <w:r>
              <w:t>Carbon</w:t>
            </w:r>
          </w:p>
        </w:tc>
        <w:tc>
          <w:tcPr>
            <w:tcW w:w="0" w:type="auto"/>
          </w:tcPr>
          <w:p w14:paraId="5D04125B" w14:textId="77777777" w:rsidR="00842324" w:rsidRDefault="00000000">
            <w:pPr>
              <w:pStyle w:val="Compact"/>
            </w:pPr>
            <w:r>
              <w:t>90.96%</w:t>
            </w:r>
          </w:p>
        </w:tc>
        <w:tc>
          <w:tcPr>
            <w:tcW w:w="0" w:type="auto"/>
          </w:tcPr>
          <w:p w14:paraId="5D04125C" w14:textId="77777777" w:rsidR="00842324" w:rsidRDefault="00000000">
            <w:pPr>
              <w:pStyle w:val="Compact"/>
            </w:pPr>
            <w:r>
              <w:t>9.04%</w:t>
            </w:r>
          </w:p>
        </w:tc>
      </w:tr>
      <w:tr w:rsidR="00842324" w14:paraId="5D041261" w14:textId="77777777">
        <w:tc>
          <w:tcPr>
            <w:tcW w:w="0" w:type="auto"/>
          </w:tcPr>
          <w:p w14:paraId="5D04125E" w14:textId="77777777" w:rsidR="00842324" w:rsidRDefault="00000000">
            <w:pPr>
              <w:pStyle w:val="Compact"/>
            </w:pPr>
            <w:r>
              <w:t>Price (original)</w:t>
            </w:r>
          </w:p>
        </w:tc>
        <w:tc>
          <w:tcPr>
            <w:tcW w:w="0" w:type="auto"/>
          </w:tcPr>
          <w:p w14:paraId="5D04125F" w14:textId="77777777" w:rsidR="00842324" w:rsidRDefault="00000000">
            <w:pPr>
              <w:pStyle w:val="Compact"/>
            </w:pPr>
            <w:r>
              <w:t>88.49%</w:t>
            </w:r>
          </w:p>
        </w:tc>
        <w:tc>
          <w:tcPr>
            <w:tcW w:w="0" w:type="auto"/>
          </w:tcPr>
          <w:p w14:paraId="5D041260" w14:textId="77777777" w:rsidR="00842324" w:rsidRDefault="00000000">
            <w:pPr>
              <w:pStyle w:val="Compact"/>
            </w:pPr>
            <w:r>
              <w:t>11.51%</w:t>
            </w:r>
          </w:p>
        </w:tc>
      </w:tr>
      <w:tr w:rsidR="00842324" w14:paraId="5D041265" w14:textId="77777777">
        <w:tc>
          <w:tcPr>
            <w:tcW w:w="0" w:type="auto"/>
          </w:tcPr>
          <w:p w14:paraId="5D041262" w14:textId="77777777" w:rsidR="00842324" w:rsidRDefault="00000000">
            <w:pPr>
              <w:pStyle w:val="Compact"/>
            </w:pPr>
            <w:r>
              <w:t>Temperature</w:t>
            </w:r>
          </w:p>
        </w:tc>
        <w:tc>
          <w:tcPr>
            <w:tcW w:w="0" w:type="auto"/>
          </w:tcPr>
          <w:p w14:paraId="5D041263" w14:textId="77777777" w:rsidR="00842324" w:rsidRDefault="00000000">
            <w:pPr>
              <w:pStyle w:val="Compact"/>
            </w:pPr>
            <w:r>
              <w:t>89.59%</w:t>
            </w:r>
          </w:p>
        </w:tc>
        <w:tc>
          <w:tcPr>
            <w:tcW w:w="0" w:type="auto"/>
          </w:tcPr>
          <w:p w14:paraId="5D041264" w14:textId="77777777" w:rsidR="00842324" w:rsidRDefault="00000000">
            <w:pPr>
              <w:pStyle w:val="Compact"/>
            </w:pPr>
            <w:r>
              <w:t>10.41%</w:t>
            </w:r>
          </w:p>
        </w:tc>
      </w:tr>
      <w:tr w:rsidR="00842324" w14:paraId="5D041269" w14:textId="77777777">
        <w:tc>
          <w:tcPr>
            <w:tcW w:w="0" w:type="auto"/>
          </w:tcPr>
          <w:p w14:paraId="5D041266" w14:textId="77777777" w:rsidR="00842324" w:rsidRDefault="00000000">
            <w:pPr>
              <w:pStyle w:val="Compact"/>
            </w:pPr>
            <w:r>
              <w:rPr>
                <w:b/>
                <w:bCs/>
              </w:rPr>
              <w:t>Joint (all 5)</w:t>
            </w:r>
          </w:p>
        </w:tc>
        <w:tc>
          <w:tcPr>
            <w:tcW w:w="0" w:type="auto"/>
          </w:tcPr>
          <w:p w14:paraId="5D041267" w14:textId="77777777" w:rsidR="00842324" w:rsidRDefault="00000000">
            <w:pPr>
              <w:pStyle w:val="Compact"/>
            </w:pPr>
            <w:r>
              <w:rPr>
                <w:b/>
                <w:bCs/>
              </w:rPr>
              <w:t>63.01%</w:t>
            </w:r>
          </w:p>
        </w:tc>
        <w:tc>
          <w:tcPr>
            <w:tcW w:w="0" w:type="auto"/>
          </w:tcPr>
          <w:p w14:paraId="5D041268" w14:textId="77777777" w:rsidR="00842324" w:rsidRDefault="00000000">
            <w:pPr>
              <w:pStyle w:val="Compact"/>
            </w:pPr>
            <w:r>
              <w:t>—</w:t>
            </w:r>
          </w:p>
        </w:tc>
      </w:tr>
    </w:tbl>
    <w:p w14:paraId="5D04126A" w14:textId="77777777" w:rsidR="00842324" w:rsidRDefault="00000000">
      <w:pPr>
        <w:pStyle w:val="BodyText"/>
      </w:pPr>
      <w:r>
        <w:t>Joint coverage of 63.0% exceeds the independence benchmark of 59.1% (= 0.90⁵), consistent with mild positive cross-series dependence from the correlated DGP structure (ρ_price-temp = 0.5).</w:t>
      </w:r>
    </w:p>
    <w:p w14:paraId="5D04126B" w14:textId="77777777" w:rsidR="00842324" w:rsidRDefault="00000000">
      <w:pPr>
        <w:pStyle w:val="Heading3"/>
      </w:pPr>
      <w:bookmarkStart w:id="125" w:name="b.2-pairwise-co-failure-rates"/>
      <w:bookmarkEnd w:id="124"/>
      <w:r>
        <w:t>6b.2 Pairwise Co-Failure Rates</w:t>
      </w:r>
    </w:p>
    <w:p w14:paraId="5D04126C" w14:textId="77777777" w:rsidR="00842324" w:rsidRDefault="00000000">
      <w:pPr>
        <w:pStyle w:val="FirstParagraph"/>
      </w:pPr>
      <w:r>
        <w:t>Under marginal independence, the expected pairwise co-failure rate is 0.10 × 0.10 = 1.0%. Observed rates:</w:t>
      </w:r>
    </w:p>
    <w:tbl>
      <w:tblPr>
        <w:tblStyle w:val="Table"/>
        <w:tblW w:w="0" w:type="auto"/>
        <w:tblLook w:val="0020" w:firstRow="1" w:lastRow="0" w:firstColumn="0" w:lastColumn="0" w:noHBand="0" w:noVBand="0"/>
      </w:tblPr>
      <w:tblGrid>
        <w:gridCol w:w="2210"/>
        <w:gridCol w:w="1783"/>
        <w:gridCol w:w="1581"/>
      </w:tblGrid>
      <w:tr w:rsidR="00842324" w14:paraId="5D041270"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26D" w14:textId="77777777" w:rsidR="00842324" w:rsidRDefault="00000000">
            <w:pPr>
              <w:pStyle w:val="Compact"/>
            </w:pPr>
            <w:r>
              <w:t>Pair</w:t>
            </w:r>
          </w:p>
        </w:tc>
        <w:tc>
          <w:tcPr>
            <w:tcW w:w="0" w:type="auto"/>
          </w:tcPr>
          <w:p w14:paraId="5D04126E" w14:textId="77777777" w:rsidR="00842324" w:rsidRDefault="00000000">
            <w:pPr>
              <w:pStyle w:val="Compact"/>
            </w:pPr>
            <w:r>
              <w:t>Co-failure Rate</w:t>
            </w:r>
          </w:p>
        </w:tc>
        <w:tc>
          <w:tcPr>
            <w:tcW w:w="0" w:type="auto"/>
          </w:tcPr>
          <w:p w14:paraId="5D04126F" w14:textId="77777777" w:rsidR="00842324" w:rsidRDefault="00000000">
            <w:pPr>
              <w:pStyle w:val="Compact"/>
            </w:pPr>
            <w:r>
              <w:t>vs Expected</w:t>
            </w:r>
          </w:p>
        </w:tc>
      </w:tr>
      <w:tr w:rsidR="00842324" w14:paraId="5D041274" w14:textId="77777777">
        <w:tc>
          <w:tcPr>
            <w:tcW w:w="0" w:type="auto"/>
          </w:tcPr>
          <w:p w14:paraId="5D041271" w14:textId="77777777" w:rsidR="00842324" w:rsidRDefault="00000000">
            <w:pPr>
              <w:pStyle w:val="Compact"/>
            </w:pPr>
            <w:r>
              <w:t>Elec price × nat gas</w:t>
            </w:r>
          </w:p>
        </w:tc>
        <w:tc>
          <w:tcPr>
            <w:tcW w:w="0" w:type="auto"/>
          </w:tcPr>
          <w:p w14:paraId="5D041272" w14:textId="77777777" w:rsidR="00842324" w:rsidRDefault="00000000">
            <w:pPr>
              <w:pStyle w:val="Compact"/>
            </w:pPr>
            <w:r>
              <w:t>1.37%</w:t>
            </w:r>
          </w:p>
        </w:tc>
        <w:tc>
          <w:tcPr>
            <w:tcW w:w="0" w:type="auto"/>
          </w:tcPr>
          <w:p w14:paraId="5D041273" w14:textId="77777777" w:rsidR="00842324" w:rsidRDefault="00000000">
            <w:pPr>
              <w:pStyle w:val="Compact"/>
            </w:pPr>
            <w:r>
              <w:t>+37%</w:t>
            </w:r>
          </w:p>
        </w:tc>
      </w:tr>
      <w:tr w:rsidR="00842324" w14:paraId="5D041278" w14:textId="77777777">
        <w:tc>
          <w:tcPr>
            <w:tcW w:w="0" w:type="auto"/>
          </w:tcPr>
          <w:p w14:paraId="5D041275" w14:textId="77777777" w:rsidR="00842324" w:rsidRDefault="00000000">
            <w:pPr>
              <w:pStyle w:val="Compact"/>
            </w:pPr>
            <w:r>
              <w:t>Elec price × carbon</w:t>
            </w:r>
          </w:p>
        </w:tc>
        <w:tc>
          <w:tcPr>
            <w:tcW w:w="0" w:type="auto"/>
          </w:tcPr>
          <w:p w14:paraId="5D041276" w14:textId="77777777" w:rsidR="00842324" w:rsidRDefault="00000000">
            <w:pPr>
              <w:pStyle w:val="Compact"/>
            </w:pPr>
            <w:r>
              <w:t>1.37%</w:t>
            </w:r>
          </w:p>
        </w:tc>
        <w:tc>
          <w:tcPr>
            <w:tcW w:w="0" w:type="auto"/>
          </w:tcPr>
          <w:p w14:paraId="5D041277" w14:textId="77777777" w:rsidR="00842324" w:rsidRDefault="00000000">
            <w:pPr>
              <w:pStyle w:val="Compact"/>
            </w:pPr>
            <w:r>
              <w:t>+37%</w:t>
            </w:r>
          </w:p>
        </w:tc>
      </w:tr>
      <w:tr w:rsidR="00842324" w14:paraId="5D04127C" w14:textId="77777777">
        <w:tc>
          <w:tcPr>
            <w:tcW w:w="0" w:type="auto"/>
          </w:tcPr>
          <w:p w14:paraId="5D041279" w14:textId="77777777" w:rsidR="00842324" w:rsidRDefault="00000000">
            <w:pPr>
              <w:pStyle w:val="Compact"/>
            </w:pPr>
            <w:r>
              <w:t>Price × temp</w:t>
            </w:r>
          </w:p>
        </w:tc>
        <w:tc>
          <w:tcPr>
            <w:tcW w:w="0" w:type="auto"/>
          </w:tcPr>
          <w:p w14:paraId="5D04127A" w14:textId="77777777" w:rsidR="00842324" w:rsidRDefault="00000000">
            <w:pPr>
              <w:pStyle w:val="Compact"/>
            </w:pPr>
            <w:r>
              <w:rPr>
                <w:b/>
                <w:bCs/>
              </w:rPr>
              <w:t>3.29%</w:t>
            </w:r>
          </w:p>
        </w:tc>
        <w:tc>
          <w:tcPr>
            <w:tcW w:w="0" w:type="auto"/>
          </w:tcPr>
          <w:p w14:paraId="5D04127B" w14:textId="77777777" w:rsidR="00842324" w:rsidRDefault="00000000">
            <w:pPr>
              <w:pStyle w:val="Compact"/>
            </w:pPr>
            <w:r>
              <w:rPr>
                <w:b/>
                <w:bCs/>
              </w:rPr>
              <w:t>+229%</w:t>
            </w:r>
          </w:p>
        </w:tc>
      </w:tr>
      <w:tr w:rsidR="00842324" w14:paraId="5D041280" w14:textId="77777777">
        <w:tc>
          <w:tcPr>
            <w:tcW w:w="0" w:type="auto"/>
          </w:tcPr>
          <w:p w14:paraId="5D04127D" w14:textId="77777777" w:rsidR="00842324" w:rsidRDefault="00000000">
            <w:pPr>
              <w:pStyle w:val="Compact"/>
            </w:pPr>
            <w:r>
              <w:lastRenderedPageBreak/>
              <w:t>All other pairs</w:t>
            </w:r>
          </w:p>
        </w:tc>
        <w:tc>
          <w:tcPr>
            <w:tcW w:w="0" w:type="auto"/>
          </w:tcPr>
          <w:p w14:paraId="5D04127E" w14:textId="77777777" w:rsidR="00842324" w:rsidRDefault="00000000">
            <w:pPr>
              <w:pStyle w:val="Compact"/>
            </w:pPr>
            <w:r>
              <w:t>0.55%–1.37%</w:t>
            </w:r>
          </w:p>
        </w:tc>
        <w:tc>
          <w:tcPr>
            <w:tcW w:w="0" w:type="auto"/>
          </w:tcPr>
          <w:p w14:paraId="5D04127F" w14:textId="77777777" w:rsidR="00842324" w:rsidRDefault="00000000">
            <w:pPr>
              <w:pStyle w:val="Compact"/>
            </w:pPr>
            <w:r>
              <w:t>near nominal</w:t>
            </w:r>
          </w:p>
        </w:tc>
      </w:tr>
    </w:tbl>
    <w:p w14:paraId="5D041281" w14:textId="77777777" w:rsidR="00842324" w:rsidRDefault="00000000">
      <w:pPr>
        <w:pStyle w:val="BodyText"/>
      </w:pPr>
      <w:r>
        <w:t>The price × temperature pair shows the largest co-failure elevation (3.29% vs 1.0% expected), directly reflecting the ρ = 0.5 correlation in the DGP. When the original price simulation breaches, the correlated temperature simulation is meaningfully more likely to also breach. All other pairs remain close to the independence benchmark.</w:t>
      </w:r>
    </w:p>
    <w:p w14:paraId="5D041282" w14:textId="77777777" w:rsidR="00842324" w:rsidRDefault="00000000">
      <w:pPr>
        <w:pStyle w:val="Heading3"/>
      </w:pPr>
      <w:bookmarkStart w:id="126" w:name="b.3-multivariate-independence-test"/>
      <w:bookmarkEnd w:id="125"/>
      <w:r>
        <w:t>6b.3 Multivariate Independence Test</w:t>
      </w:r>
    </w:p>
    <w:tbl>
      <w:tblPr>
        <w:tblStyle w:val="Table"/>
        <w:tblW w:w="0" w:type="auto"/>
        <w:tblLook w:val="0020" w:firstRow="1" w:lastRow="0" w:firstColumn="0" w:lastColumn="0" w:noHBand="0" w:noVBand="0"/>
      </w:tblPr>
      <w:tblGrid>
        <w:gridCol w:w="580"/>
        <w:gridCol w:w="1070"/>
        <w:gridCol w:w="601"/>
        <w:gridCol w:w="992"/>
      </w:tblGrid>
      <w:tr w:rsidR="00842324" w14:paraId="5D041287"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283" w14:textId="77777777" w:rsidR="00842324" w:rsidRDefault="00000000">
            <w:pPr>
              <w:pStyle w:val="Compact"/>
            </w:pPr>
            <w:r>
              <w:t>Lag</w:t>
            </w:r>
          </w:p>
        </w:tc>
        <w:tc>
          <w:tcPr>
            <w:tcW w:w="0" w:type="auto"/>
          </w:tcPr>
          <w:p w14:paraId="5D041284" w14:textId="77777777" w:rsidR="00842324" w:rsidRDefault="00000000">
            <w:pPr>
              <w:pStyle w:val="Compact"/>
            </w:pPr>
            <w:r>
              <w:t>Statistic</w:t>
            </w:r>
          </w:p>
        </w:tc>
        <w:tc>
          <w:tcPr>
            <w:tcW w:w="0" w:type="auto"/>
          </w:tcPr>
          <w:p w14:paraId="5D041285" w14:textId="77777777" w:rsidR="00842324" w:rsidRDefault="00000000">
            <w:pPr>
              <w:pStyle w:val="Compact"/>
            </w:pPr>
            <w:r>
              <w:t>df</w:t>
            </w:r>
          </w:p>
        </w:tc>
        <w:tc>
          <w:tcPr>
            <w:tcW w:w="0" w:type="auto"/>
          </w:tcPr>
          <w:p w14:paraId="5D041286" w14:textId="77777777" w:rsidR="00842324" w:rsidRDefault="00000000">
            <w:pPr>
              <w:pStyle w:val="Compact"/>
            </w:pPr>
            <w:r>
              <w:t>p-value</w:t>
            </w:r>
          </w:p>
        </w:tc>
      </w:tr>
      <w:tr w:rsidR="00842324" w14:paraId="5D04128C" w14:textId="77777777">
        <w:tc>
          <w:tcPr>
            <w:tcW w:w="0" w:type="auto"/>
          </w:tcPr>
          <w:p w14:paraId="5D041288" w14:textId="77777777" w:rsidR="00842324" w:rsidRDefault="00000000">
            <w:pPr>
              <w:pStyle w:val="Compact"/>
            </w:pPr>
            <w:r>
              <w:t>5</w:t>
            </w:r>
          </w:p>
        </w:tc>
        <w:tc>
          <w:tcPr>
            <w:tcW w:w="0" w:type="auto"/>
          </w:tcPr>
          <w:p w14:paraId="5D041289" w14:textId="77777777" w:rsidR="00842324" w:rsidRDefault="00000000">
            <w:pPr>
              <w:pStyle w:val="Compact"/>
            </w:pPr>
            <w:r>
              <w:t>127.3</w:t>
            </w:r>
          </w:p>
        </w:tc>
        <w:tc>
          <w:tcPr>
            <w:tcW w:w="0" w:type="auto"/>
          </w:tcPr>
          <w:p w14:paraId="5D04128A" w14:textId="77777777" w:rsidR="00842324" w:rsidRDefault="00000000">
            <w:pPr>
              <w:pStyle w:val="Compact"/>
            </w:pPr>
            <w:r>
              <w:t>125</w:t>
            </w:r>
          </w:p>
        </w:tc>
        <w:tc>
          <w:tcPr>
            <w:tcW w:w="0" w:type="auto"/>
          </w:tcPr>
          <w:p w14:paraId="5D04128B" w14:textId="77777777" w:rsidR="00842324" w:rsidRDefault="00000000">
            <w:pPr>
              <w:pStyle w:val="Compact"/>
            </w:pPr>
            <w:r>
              <w:t>0.426</w:t>
            </w:r>
          </w:p>
        </w:tc>
      </w:tr>
      <w:tr w:rsidR="00842324" w14:paraId="5D041291" w14:textId="77777777">
        <w:tc>
          <w:tcPr>
            <w:tcW w:w="0" w:type="auto"/>
          </w:tcPr>
          <w:p w14:paraId="5D04128D" w14:textId="77777777" w:rsidR="00842324" w:rsidRDefault="00000000">
            <w:pPr>
              <w:pStyle w:val="Compact"/>
            </w:pPr>
            <w:r>
              <w:t>10</w:t>
            </w:r>
          </w:p>
        </w:tc>
        <w:tc>
          <w:tcPr>
            <w:tcW w:w="0" w:type="auto"/>
          </w:tcPr>
          <w:p w14:paraId="5D04128E" w14:textId="77777777" w:rsidR="00842324" w:rsidRDefault="00000000">
            <w:pPr>
              <w:pStyle w:val="Compact"/>
            </w:pPr>
            <w:r>
              <w:t>266.5</w:t>
            </w:r>
          </w:p>
        </w:tc>
        <w:tc>
          <w:tcPr>
            <w:tcW w:w="0" w:type="auto"/>
          </w:tcPr>
          <w:p w14:paraId="5D04128F" w14:textId="77777777" w:rsidR="00842324" w:rsidRDefault="00000000">
            <w:pPr>
              <w:pStyle w:val="Compact"/>
            </w:pPr>
            <w:r>
              <w:t>250</w:t>
            </w:r>
          </w:p>
        </w:tc>
        <w:tc>
          <w:tcPr>
            <w:tcW w:w="0" w:type="auto"/>
          </w:tcPr>
          <w:p w14:paraId="5D041290" w14:textId="77777777" w:rsidR="00842324" w:rsidRDefault="00000000">
            <w:pPr>
              <w:pStyle w:val="Compact"/>
            </w:pPr>
            <w:r>
              <w:t>0.226</w:t>
            </w:r>
          </w:p>
        </w:tc>
      </w:tr>
      <w:tr w:rsidR="00842324" w14:paraId="5D041296" w14:textId="77777777">
        <w:tc>
          <w:tcPr>
            <w:tcW w:w="0" w:type="auto"/>
          </w:tcPr>
          <w:p w14:paraId="5D041292" w14:textId="77777777" w:rsidR="00842324" w:rsidRDefault="00000000">
            <w:pPr>
              <w:pStyle w:val="Compact"/>
            </w:pPr>
            <w:r>
              <w:t>20</w:t>
            </w:r>
          </w:p>
        </w:tc>
        <w:tc>
          <w:tcPr>
            <w:tcW w:w="0" w:type="auto"/>
          </w:tcPr>
          <w:p w14:paraId="5D041293" w14:textId="77777777" w:rsidR="00842324" w:rsidRDefault="00000000">
            <w:pPr>
              <w:pStyle w:val="Compact"/>
            </w:pPr>
            <w:r>
              <w:t>493.1</w:t>
            </w:r>
          </w:p>
        </w:tc>
        <w:tc>
          <w:tcPr>
            <w:tcW w:w="0" w:type="auto"/>
          </w:tcPr>
          <w:p w14:paraId="5D041294" w14:textId="77777777" w:rsidR="00842324" w:rsidRDefault="00000000">
            <w:pPr>
              <w:pStyle w:val="Compact"/>
            </w:pPr>
            <w:r>
              <w:t>500</w:t>
            </w:r>
          </w:p>
        </w:tc>
        <w:tc>
          <w:tcPr>
            <w:tcW w:w="0" w:type="auto"/>
          </w:tcPr>
          <w:p w14:paraId="5D041295" w14:textId="77777777" w:rsidR="00842324" w:rsidRDefault="00000000">
            <w:pPr>
              <w:pStyle w:val="Compact"/>
            </w:pPr>
            <w:r>
              <w:t>0.579</w:t>
            </w:r>
          </w:p>
        </w:tc>
      </w:tr>
    </w:tbl>
    <w:p w14:paraId="5D041297" w14:textId="77777777" w:rsidR="00842324" w:rsidRDefault="00000000">
      <w:pPr>
        <w:pStyle w:val="BodyText"/>
      </w:pPr>
      <w:r>
        <w:rPr>
          <w:b/>
          <w:bCs/>
        </w:rPr>
        <w:t>FAIL TO REJECT</w:t>
      </w:r>
      <w:r>
        <w:t xml:space="preserve"> — the joint breach indicator process is consistent with white noise at all tested lags. This is the correct positive control result: a well-specified simulation model produces breach events that are not serially correlated across commodities.</w:t>
      </w:r>
    </w:p>
    <w:p w14:paraId="5D041298" w14:textId="77777777" w:rsidR="00842324" w:rsidRDefault="00000000">
      <w:pPr>
        <w:pStyle w:val="Heading3"/>
      </w:pPr>
      <w:bookmarkStart w:id="127" w:name="b.4-interpretation"/>
      <w:bookmarkEnd w:id="126"/>
      <w:r>
        <w:t>6b.4 Interpretation</w:t>
      </w:r>
    </w:p>
    <w:p w14:paraId="5D041299" w14:textId="77777777" w:rsidR="00842324" w:rsidRDefault="00000000">
      <w:pPr>
        <w:pStyle w:val="FirstParagraph"/>
      </w:pPr>
      <w:r>
        <w:t>The multivariate extended simulation confirms three things. First, the framework’s positive control property holds across all five commodity classes — breaches are not serially correlated over time. Second, the correlated DGP structure (ρ_price-temp = 0.5) manifests as elevated contemporaneous co-failure between price and temperature, detectable in the pairwise co-failure statistics. Third, joint coverage exceeds the independence benchmark, indicating that the correlated DGP produces slightly fewer joint breaches than pure independence would predict — consistent with the mild positive correlations pulling commodity intervals in the same direction.</w:t>
      </w:r>
    </w:p>
    <w:p w14:paraId="5D04129A" w14:textId="77777777" w:rsidR="00842324" w:rsidRDefault="00000000">
      <w:pPr>
        <w:pStyle w:val="BodyText"/>
      </w:pPr>
      <w:r>
        <w:t>For portfolio risk management, the price × temperature co-failure elevation means that reserves sized independently for each commodity would underestimate joint tail exposure by approximately 3.3× for that pair. The extended simulation thus provides a reference benchmark for cross-commodity correlation effects under a known, controlled DGP.</w:t>
      </w:r>
    </w:p>
    <w:p w14:paraId="5D04129B" w14:textId="77777777" w:rsidR="00842324" w:rsidRDefault="00000000">
      <w:r>
        <w:pict w14:anchorId="5D041604">
          <v:rect id="_x0000_i1072" style="width:0;height:1.5pt" o:hralign="center" o:hrstd="t" o:hr="t"/>
        </w:pict>
      </w:r>
    </w:p>
    <w:p w14:paraId="5D04129C" w14:textId="77777777" w:rsidR="00842324" w:rsidRDefault="00000000">
      <w:pPr>
        <w:pStyle w:val="Heading2"/>
      </w:pPr>
      <w:bookmarkStart w:id="128" w:name="cross-dataset-synthesis"/>
      <w:bookmarkStart w:id="129" w:name="_Toc225682092"/>
      <w:bookmarkEnd w:id="122"/>
      <w:bookmarkEnd w:id="127"/>
      <w:r>
        <w:t>7. Cross-Dataset Synthesis</w:t>
      </w:r>
      <w:bookmarkEnd w:id="129"/>
    </w:p>
    <w:p w14:paraId="5D04129D" w14:textId="77777777" w:rsidR="00842324" w:rsidRDefault="00000000">
      <w:pPr>
        <w:pStyle w:val="Heading3"/>
      </w:pPr>
      <w:bookmarkStart w:id="130" w:name="summary-table"/>
      <w:r>
        <w:t>7.1 Summary Table</w:t>
      </w:r>
    </w:p>
    <w:tbl>
      <w:tblPr>
        <w:tblStyle w:val="Table"/>
        <w:tblW w:w="5000" w:type="pct"/>
        <w:tblLayout w:type="fixed"/>
        <w:tblLook w:val="0020" w:firstRow="1" w:lastRow="0" w:firstColumn="0" w:lastColumn="0" w:noHBand="0" w:noVBand="0"/>
      </w:tblPr>
      <w:tblGrid>
        <w:gridCol w:w="1897"/>
        <w:gridCol w:w="777"/>
        <w:gridCol w:w="863"/>
        <w:gridCol w:w="1036"/>
        <w:gridCol w:w="1121"/>
        <w:gridCol w:w="777"/>
        <w:gridCol w:w="1121"/>
        <w:gridCol w:w="948"/>
        <w:gridCol w:w="1036"/>
      </w:tblGrid>
      <w:tr w:rsidR="00842324" w14:paraId="5D0412A7"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1569" w:type="dxa"/>
          </w:tcPr>
          <w:p w14:paraId="5D04129E" w14:textId="77777777" w:rsidR="00842324" w:rsidRDefault="00000000">
            <w:pPr>
              <w:pStyle w:val="Compact"/>
            </w:pPr>
            <w:r>
              <w:t>Dataset</w:t>
            </w:r>
          </w:p>
        </w:tc>
        <w:tc>
          <w:tcPr>
            <w:tcW w:w="642" w:type="dxa"/>
          </w:tcPr>
          <w:p w14:paraId="5D04129F" w14:textId="77777777" w:rsidR="00842324" w:rsidRDefault="00000000">
            <w:pPr>
              <w:pStyle w:val="Compact"/>
            </w:pPr>
            <w:r>
              <w:t>n</w:t>
            </w:r>
          </w:p>
        </w:tc>
        <w:tc>
          <w:tcPr>
            <w:tcW w:w="713" w:type="dxa"/>
          </w:tcPr>
          <w:p w14:paraId="5D0412A0" w14:textId="77777777" w:rsidR="00842324" w:rsidRDefault="00000000">
            <w:pPr>
              <w:pStyle w:val="Compact"/>
            </w:pPr>
            <w:r>
              <w:t>Coverage</w:t>
            </w:r>
          </w:p>
        </w:tc>
        <w:tc>
          <w:tcPr>
            <w:tcW w:w="856" w:type="dxa"/>
          </w:tcPr>
          <w:p w14:paraId="5D0412A1" w14:textId="77777777" w:rsidR="00842324" w:rsidRDefault="00000000">
            <w:pPr>
              <w:pStyle w:val="Compact"/>
            </w:pPr>
            <w:r>
              <w:t>Cov. Error</w:t>
            </w:r>
          </w:p>
        </w:tc>
        <w:tc>
          <w:tcPr>
            <w:tcW w:w="927" w:type="dxa"/>
          </w:tcPr>
          <w:p w14:paraId="5D0412A2" w14:textId="77777777" w:rsidR="00842324" w:rsidRDefault="00000000">
            <w:pPr>
              <w:pStyle w:val="Compact"/>
            </w:pPr>
            <w:r>
              <w:t>Anfuso TL</w:t>
            </w:r>
          </w:p>
        </w:tc>
        <w:tc>
          <w:tcPr>
            <w:tcW w:w="642" w:type="dxa"/>
          </w:tcPr>
          <w:p w14:paraId="5D0412A3" w14:textId="77777777" w:rsidR="00842324" w:rsidRDefault="00000000">
            <w:pPr>
              <w:pStyle w:val="Compact"/>
            </w:pPr>
            <w:r>
              <w:t>KS stat</w:t>
            </w:r>
          </w:p>
        </w:tc>
        <w:tc>
          <w:tcPr>
            <w:tcW w:w="927" w:type="dxa"/>
          </w:tcPr>
          <w:p w14:paraId="5D0412A4" w14:textId="77777777" w:rsidR="00842324" w:rsidRDefault="00000000">
            <w:pPr>
              <w:pStyle w:val="Compact"/>
            </w:pPr>
            <w:r>
              <w:t>PIT Uniform</w:t>
            </w:r>
          </w:p>
        </w:tc>
        <w:tc>
          <w:tcPr>
            <w:tcW w:w="784" w:type="dxa"/>
          </w:tcPr>
          <w:p w14:paraId="5D0412A5" w14:textId="77777777" w:rsidR="00842324" w:rsidRDefault="00000000">
            <w:pPr>
              <w:pStyle w:val="Compact"/>
            </w:pPr>
            <w:r>
              <w:t>PIT Indep</w:t>
            </w:r>
          </w:p>
        </w:tc>
        <w:tc>
          <w:tcPr>
            <w:tcW w:w="856" w:type="dxa"/>
          </w:tcPr>
          <w:p w14:paraId="5D0412A6" w14:textId="77777777" w:rsidR="00842324" w:rsidRDefault="00000000">
            <w:pPr>
              <w:pStyle w:val="Compact"/>
            </w:pPr>
            <w:r>
              <w:t>Overall</w:t>
            </w:r>
          </w:p>
        </w:tc>
      </w:tr>
      <w:tr w:rsidR="00842324" w14:paraId="5D0412B1" w14:textId="77777777">
        <w:tc>
          <w:tcPr>
            <w:tcW w:w="1569" w:type="dxa"/>
          </w:tcPr>
          <w:p w14:paraId="5D0412A8" w14:textId="77777777" w:rsidR="00842324" w:rsidRDefault="00000000">
            <w:pPr>
              <w:pStyle w:val="Compact"/>
            </w:pPr>
            <w:r>
              <w:t>ENTSO-E load</w:t>
            </w:r>
          </w:p>
        </w:tc>
        <w:tc>
          <w:tcPr>
            <w:tcW w:w="642" w:type="dxa"/>
          </w:tcPr>
          <w:p w14:paraId="5D0412A9" w14:textId="77777777" w:rsidR="00842324" w:rsidRDefault="00000000">
            <w:pPr>
              <w:pStyle w:val="Compact"/>
            </w:pPr>
            <w:r>
              <w:t>209,555</w:t>
            </w:r>
          </w:p>
        </w:tc>
        <w:tc>
          <w:tcPr>
            <w:tcW w:w="713" w:type="dxa"/>
          </w:tcPr>
          <w:p w14:paraId="5D0412AA" w14:textId="77777777" w:rsidR="00842324" w:rsidRDefault="00000000">
            <w:pPr>
              <w:pStyle w:val="Compact"/>
            </w:pPr>
            <w:r>
              <w:t>87.06%</w:t>
            </w:r>
          </w:p>
        </w:tc>
        <w:tc>
          <w:tcPr>
            <w:tcW w:w="856" w:type="dxa"/>
          </w:tcPr>
          <w:p w14:paraId="5D0412AB" w14:textId="77777777" w:rsidR="00842324" w:rsidRDefault="00000000">
            <w:pPr>
              <w:pStyle w:val="Compact"/>
            </w:pPr>
            <w:r>
              <w:t>−2.94 pp</w:t>
            </w:r>
          </w:p>
        </w:tc>
        <w:tc>
          <w:tcPr>
            <w:tcW w:w="927" w:type="dxa"/>
          </w:tcPr>
          <w:p w14:paraId="5D0412AC" w14:textId="77777777" w:rsidR="00842324" w:rsidRDefault="00000000">
            <w:pPr>
              <w:pStyle w:val="Compact"/>
            </w:pPr>
            <w:r>
              <w:t>RED</w:t>
            </w:r>
          </w:p>
        </w:tc>
        <w:tc>
          <w:tcPr>
            <w:tcW w:w="642" w:type="dxa"/>
          </w:tcPr>
          <w:p w14:paraId="5D0412AD" w14:textId="77777777" w:rsidR="00842324" w:rsidRDefault="00000000">
            <w:pPr>
              <w:pStyle w:val="Compact"/>
            </w:pPr>
            <w:r>
              <w:t>0.1615</w:t>
            </w:r>
          </w:p>
        </w:tc>
        <w:tc>
          <w:tcPr>
            <w:tcW w:w="927" w:type="dxa"/>
          </w:tcPr>
          <w:p w14:paraId="5D0412AE" w14:textId="77777777" w:rsidR="00842324" w:rsidRDefault="00000000">
            <w:pPr>
              <w:pStyle w:val="Compact"/>
            </w:pPr>
            <w:r>
              <w:t>FAIL</w:t>
            </w:r>
          </w:p>
        </w:tc>
        <w:tc>
          <w:tcPr>
            <w:tcW w:w="784" w:type="dxa"/>
          </w:tcPr>
          <w:p w14:paraId="5D0412AF" w14:textId="77777777" w:rsidR="00842324" w:rsidRDefault="00000000">
            <w:pPr>
              <w:pStyle w:val="Compact"/>
            </w:pPr>
            <w:r>
              <w:t>FAIL</w:t>
            </w:r>
          </w:p>
        </w:tc>
        <w:tc>
          <w:tcPr>
            <w:tcW w:w="856" w:type="dxa"/>
          </w:tcPr>
          <w:p w14:paraId="5D0412B0" w14:textId="77777777" w:rsidR="00842324" w:rsidRDefault="00000000">
            <w:pPr>
              <w:pStyle w:val="Compact"/>
            </w:pPr>
            <w:r>
              <w:rPr>
                <w:b/>
                <w:bCs/>
              </w:rPr>
              <w:t>RED</w:t>
            </w:r>
          </w:p>
        </w:tc>
      </w:tr>
      <w:tr w:rsidR="00842324" w14:paraId="5D0412BB" w14:textId="77777777">
        <w:tc>
          <w:tcPr>
            <w:tcW w:w="1569" w:type="dxa"/>
          </w:tcPr>
          <w:p w14:paraId="5D0412B2" w14:textId="77777777" w:rsidR="00842324" w:rsidRDefault="00000000">
            <w:pPr>
              <w:pStyle w:val="Compact"/>
            </w:pPr>
            <w:r>
              <w:t>PV (student)</w:t>
            </w:r>
          </w:p>
        </w:tc>
        <w:tc>
          <w:tcPr>
            <w:tcW w:w="642" w:type="dxa"/>
          </w:tcPr>
          <w:p w14:paraId="5D0412B3" w14:textId="77777777" w:rsidR="00842324" w:rsidRDefault="00000000">
            <w:pPr>
              <w:pStyle w:val="Compact"/>
            </w:pPr>
            <w:r>
              <w:t>4,28</w:t>
            </w:r>
            <w:r>
              <w:lastRenderedPageBreak/>
              <w:t>7</w:t>
            </w:r>
          </w:p>
        </w:tc>
        <w:tc>
          <w:tcPr>
            <w:tcW w:w="713" w:type="dxa"/>
          </w:tcPr>
          <w:p w14:paraId="5D0412B4" w14:textId="77777777" w:rsidR="00842324" w:rsidRDefault="00000000">
            <w:pPr>
              <w:pStyle w:val="Compact"/>
            </w:pPr>
            <w:r>
              <w:lastRenderedPageBreak/>
              <w:t>91.37</w:t>
            </w:r>
            <w:r>
              <w:lastRenderedPageBreak/>
              <w:t>%</w:t>
            </w:r>
          </w:p>
        </w:tc>
        <w:tc>
          <w:tcPr>
            <w:tcW w:w="856" w:type="dxa"/>
          </w:tcPr>
          <w:p w14:paraId="5D0412B5" w14:textId="77777777" w:rsidR="00842324" w:rsidRDefault="00000000">
            <w:pPr>
              <w:pStyle w:val="Compact"/>
            </w:pPr>
            <w:r>
              <w:lastRenderedPageBreak/>
              <w:t xml:space="preserve">+1.37 </w:t>
            </w:r>
            <w:r>
              <w:lastRenderedPageBreak/>
              <w:t>pp</w:t>
            </w:r>
          </w:p>
        </w:tc>
        <w:tc>
          <w:tcPr>
            <w:tcW w:w="927" w:type="dxa"/>
          </w:tcPr>
          <w:p w14:paraId="5D0412B6" w14:textId="77777777" w:rsidR="00842324" w:rsidRDefault="00000000">
            <w:pPr>
              <w:pStyle w:val="Compact"/>
            </w:pPr>
            <w:r>
              <w:lastRenderedPageBreak/>
              <w:t>GREEN</w:t>
            </w:r>
          </w:p>
        </w:tc>
        <w:tc>
          <w:tcPr>
            <w:tcW w:w="642" w:type="dxa"/>
          </w:tcPr>
          <w:p w14:paraId="5D0412B7" w14:textId="77777777" w:rsidR="00842324" w:rsidRDefault="00000000">
            <w:pPr>
              <w:pStyle w:val="Compact"/>
            </w:pPr>
            <w:r>
              <w:t>0.10</w:t>
            </w:r>
            <w:r>
              <w:lastRenderedPageBreak/>
              <w:t>28</w:t>
            </w:r>
          </w:p>
        </w:tc>
        <w:tc>
          <w:tcPr>
            <w:tcW w:w="927" w:type="dxa"/>
          </w:tcPr>
          <w:p w14:paraId="5D0412B8" w14:textId="77777777" w:rsidR="00842324" w:rsidRDefault="00000000">
            <w:pPr>
              <w:pStyle w:val="Compact"/>
            </w:pPr>
            <w:r>
              <w:lastRenderedPageBreak/>
              <w:t>FAIL</w:t>
            </w:r>
          </w:p>
        </w:tc>
        <w:tc>
          <w:tcPr>
            <w:tcW w:w="784" w:type="dxa"/>
          </w:tcPr>
          <w:p w14:paraId="5D0412B9" w14:textId="77777777" w:rsidR="00842324" w:rsidRDefault="00000000">
            <w:pPr>
              <w:pStyle w:val="Compact"/>
            </w:pPr>
            <w:r>
              <w:t>FAIL</w:t>
            </w:r>
          </w:p>
        </w:tc>
        <w:tc>
          <w:tcPr>
            <w:tcW w:w="856" w:type="dxa"/>
          </w:tcPr>
          <w:p w14:paraId="5D0412BA" w14:textId="77777777" w:rsidR="00842324" w:rsidRDefault="00000000">
            <w:pPr>
              <w:pStyle w:val="Compact"/>
            </w:pPr>
            <w:r>
              <w:rPr>
                <w:b/>
                <w:bCs/>
              </w:rPr>
              <w:t>RED</w:t>
            </w:r>
          </w:p>
        </w:tc>
      </w:tr>
      <w:tr w:rsidR="00842324" w14:paraId="5D0412C5" w14:textId="77777777">
        <w:tc>
          <w:tcPr>
            <w:tcW w:w="1569" w:type="dxa"/>
          </w:tcPr>
          <w:p w14:paraId="5D0412BC" w14:textId="77777777" w:rsidR="00842324" w:rsidRDefault="00000000">
            <w:pPr>
              <w:pStyle w:val="Compact"/>
            </w:pPr>
            <w:r>
              <w:t>Wind (student)</w:t>
            </w:r>
          </w:p>
        </w:tc>
        <w:tc>
          <w:tcPr>
            <w:tcW w:w="642" w:type="dxa"/>
          </w:tcPr>
          <w:p w14:paraId="5D0412BD" w14:textId="77777777" w:rsidR="00842324" w:rsidRDefault="00000000">
            <w:pPr>
              <w:pStyle w:val="Compact"/>
            </w:pPr>
            <w:r>
              <w:t>9,000</w:t>
            </w:r>
          </w:p>
        </w:tc>
        <w:tc>
          <w:tcPr>
            <w:tcW w:w="713" w:type="dxa"/>
          </w:tcPr>
          <w:p w14:paraId="5D0412BE" w14:textId="77777777" w:rsidR="00842324" w:rsidRDefault="00000000">
            <w:pPr>
              <w:pStyle w:val="Compact"/>
            </w:pPr>
            <w:r>
              <w:t>88.62%</w:t>
            </w:r>
          </w:p>
        </w:tc>
        <w:tc>
          <w:tcPr>
            <w:tcW w:w="856" w:type="dxa"/>
          </w:tcPr>
          <w:p w14:paraId="5D0412BF" w14:textId="77777777" w:rsidR="00842324" w:rsidRDefault="00000000">
            <w:pPr>
              <w:pStyle w:val="Compact"/>
            </w:pPr>
            <w:r>
              <w:t>−1.38 pp</w:t>
            </w:r>
          </w:p>
        </w:tc>
        <w:tc>
          <w:tcPr>
            <w:tcW w:w="927" w:type="dxa"/>
          </w:tcPr>
          <w:p w14:paraId="5D0412C0" w14:textId="77777777" w:rsidR="00842324" w:rsidRDefault="00000000">
            <w:pPr>
              <w:pStyle w:val="Compact"/>
            </w:pPr>
            <w:r>
              <w:t>RED (lower)</w:t>
            </w:r>
          </w:p>
        </w:tc>
        <w:tc>
          <w:tcPr>
            <w:tcW w:w="642" w:type="dxa"/>
          </w:tcPr>
          <w:p w14:paraId="5D0412C1" w14:textId="77777777" w:rsidR="00842324" w:rsidRDefault="00000000">
            <w:pPr>
              <w:pStyle w:val="Compact"/>
            </w:pPr>
            <w:r>
              <w:t>0.1057</w:t>
            </w:r>
          </w:p>
        </w:tc>
        <w:tc>
          <w:tcPr>
            <w:tcW w:w="927" w:type="dxa"/>
          </w:tcPr>
          <w:p w14:paraId="5D0412C2" w14:textId="77777777" w:rsidR="00842324" w:rsidRDefault="00000000">
            <w:pPr>
              <w:pStyle w:val="Compact"/>
            </w:pPr>
            <w:r>
              <w:t>FAIL</w:t>
            </w:r>
          </w:p>
        </w:tc>
        <w:tc>
          <w:tcPr>
            <w:tcW w:w="784" w:type="dxa"/>
          </w:tcPr>
          <w:p w14:paraId="5D0412C3" w14:textId="77777777" w:rsidR="00842324" w:rsidRDefault="00000000">
            <w:pPr>
              <w:pStyle w:val="Compact"/>
            </w:pPr>
            <w:r>
              <w:t>FAIL</w:t>
            </w:r>
          </w:p>
        </w:tc>
        <w:tc>
          <w:tcPr>
            <w:tcW w:w="856" w:type="dxa"/>
          </w:tcPr>
          <w:p w14:paraId="5D0412C4" w14:textId="77777777" w:rsidR="00842324" w:rsidRDefault="00000000">
            <w:pPr>
              <w:pStyle w:val="Compact"/>
            </w:pPr>
            <w:r>
              <w:rPr>
                <w:b/>
                <w:bCs/>
              </w:rPr>
              <w:t>RED</w:t>
            </w:r>
          </w:p>
        </w:tc>
      </w:tr>
      <w:tr w:rsidR="00842324" w14:paraId="5D0412CF" w14:textId="77777777">
        <w:tc>
          <w:tcPr>
            <w:tcW w:w="1569" w:type="dxa"/>
          </w:tcPr>
          <w:p w14:paraId="5D0412C6" w14:textId="77777777" w:rsidR="00842324" w:rsidRDefault="00000000">
            <w:pPr>
              <w:pStyle w:val="Compact"/>
            </w:pPr>
            <w:r>
              <w:t>Sim (price)</w:t>
            </w:r>
          </w:p>
        </w:tc>
        <w:tc>
          <w:tcPr>
            <w:tcW w:w="642" w:type="dxa"/>
          </w:tcPr>
          <w:p w14:paraId="5D0412C7" w14:textId="77777777" w:rsidR="00842324" w:rsidRDefault="00000000">
            <w:pPr>
              <w:pStyle w:val="Compact"/>
            </w:pPr>
            <w:r>
              <w:t>365</w:t>
            </w:r>
          </w:p>
        </w:tc>
        <w:tc>
          <w:tcPr>
            <w:tcW w:w="713" w:type="dxa"/>
          </w:tcPr>
          <w:p w14:paraId="5D0412C8" w14:textId="77777777" w:rsidR="00842324" w:rsidRDefault="00000000">
            <w:pPr>
              <w:pStyle w:val="Compact"/>
            </w:pPr>
            <w:r>
              <w:t>88.49%</w:t>
            </w:r>
          </w:p>
        </w:tc>
        <w:tc>
          <w:tcPr>
            <w:tcW w:w="856" w:type="dxa"/>
          </w:tcPr>
          <w:p w14:paraId="5D0412C9" w14:textId="77777777" w:rsidR="00842324" w:rsidRDefault="00000000">
            <w:pPr>
              <w:pStyle w:val="Compact"/>
            </w:pPr>
            <w:r>
              <w:t>−1.51 pp</w:t>
            </w:r>
          </w:p>
        </w:tc>
        <w:tc>
          <w:tcPr>
            <w:tcW w:w="927" w:type="dxa"/>
          </w:tcPr>
          <w:p w14:paraId="5D0412CA" w14:textId="77777777" w:rsidR="00842324" w:rsidRDefault="00000000">
            <w:pPr>
              <w:pStyle w:val="Compact"/>
            </w:pPr>
            <w:r>
              <w:t>GREEN</w:t>
            </w:r>
          </w:p>
        </w:tc>
        <w:tc>
          <w:tcPr>
            <w:tcW w:w="642" w:type="dxa"/>
          </w:tcPr>
          <w:p w14:paraId="5D0412CB" w14:textId="77777777" w:rsidR="00842324" w:rsidRDefault="00000000">
            <w:pPr>
              <w:pStyle w:val="Compact"/>
            </w:pPr>
            <w:r>
              <w:t>n/a</w:t>
            </w:r>
          </w:p>
        </w:tc>
        <w:tc>
          <w:tcPr>
            <w:tcW w:w="927" w:type="dxa"/>
          </w:tcPr>
          <w:p w14:paraId="5D0412CC" w14:textId="77777777" w:rsidR="00842324" w:rsidRDefault="00000000">
            <w:pPr>
              <w:pStyle w:val="Compact"/>
            </w:pPr>
            <w:r>
              <w:t>n/a</w:t>
            </w:r>
          </w:p>
        </w:tc>
        <w:tc>
          <w:tcPr>
            <w:tcW w:w="784" w:type="dxa"/>
          </w:tcPr>
          <w:p w14:paraId="5D0412CD" w14:textId="77777777" w:rsidR="00842324" w:rsidRDefault="00000000">
            <w:pPr>
              <w:pStyle w:val="Compact"/>
            </w:pPr>
            <w:r>
              <w:t>n/a</w:t>
            </w:r>
          </w:p>
        </w:tc>
        <w:tc>
          <w:tcPr>
            <w:tcW w:w="856" w:type="dxa"/>
          </w:tcPr>
          <w:p w14:paraId="5D0412CE" w14:textId="77777777" w:rsidR="00842324" w:rsidRDefault="00000000">
            <w:pPr>
              <w:pStyle w:val="Compact"/>
            </w:pPr>
            <w:r>
              <w:rPr>
                <w:b/>
                <w:bCs/>
              </w:rPr>
              <w:t>GREEN</w:t>
            </w:r>
          </w:p>
        </w:tc>
      </w:tr>
      <w:tr w:rsidR="00842324" w14:paraId="5D0412D9" w14:textId="77777777">
        <w:tc>
          <w:tcPr>
            <w:tcW w:w="1569" w:type="dxa"/>
          </w:tcPr>
          <w:p w14:paraId="5D0412D0" w14:textId="77777777" w:rsidR="00842324" w:rsidRDefault="00000000">
            <w:pPr>
              <w:pStyle w:val="Compact"/>
            </w:pPr>
            <w:r>
              <w:t>Sim (temp)</w:t>
            </w:r>
          </w:p>
        </w:tc>
        <w:tc>
          <w:tcPr>
            <w:tcW w:w="642" w:type="dxa"/>
          </w:tcPr>
          <w:p w14:paraId="5D0412D1" w14:textId="77777777" w:rsidR="00842324" w:rsidRDefault="00000000">
            <w:pPr>
              <w:pStyle w:val="Compact"/>
            </w:pPr>
            <w:r>
              <w:t>365</w:t>
            </w:r>
          </w:p>
        </w:tc>
        <w:tc>
          <w:tcPr>
            <w:tcW w:w="713" w:type="dxa"/>
          </w:tcPr>
          <w:p w14:paraId="5D0412D2" w14:textId="77777777" w:rsidR="00842324" w:rsidRDefault="00000000">
            <w:pPr>
              <w:pStyle w:val="Compact"/>
            </w:pPr>
            <w:r>
              <w:t>89.59%</w:t>
            </w:r>
          </w:p>
        </w:tc>
        <w:tc>
          <w:tcPr>
            <w:tcW w:w="856" w:type="dxa"/>
          </w:tcPr>
          <w:p w14:paraId="5D0412D3" w14:textId="77777777" w:rsidR="00842324" w:rsidRDefault="00000000">
            <w:pPr>
              <w:pStyle w:val="Compact"/>
            </w:pPr>
            <w:r>
              <w:t>−0.41 pp</w:t>
            </w:r>
          </w:p>
        </w:tc>
        <w:tc>
          <w:tcPr>
            <w:tcW w:w="927" w:type="dxa"/>
          </w:tcPr>
          <w:p w14:paraId="5D0412D4" w14:textId="77777777" w:rsidR="00842324" w:rsidRDefault="00000000">
            <w:pPr>
              <w:pStyle w:val="Compact"/>
            </w:pPr>
            <w:r>
              <w:t>GREEN</w:t>
            </w:r>
          </w:p>
        </w:tc>
        <w:tc>
          <w:tcPr>
            <w:tcW w:w="642" w:type="dxa"/>
          </w:tcPr>
          <w:p w14:paraId="5D0412D5" w14:textId="77777777" w:rsidR="00842324" w:rsidRDefault="00000000">
            <w:pPr>
              <w:pStyle w:val="Compact"/>
            </w:pPr>
            <w:r>
              <w:t>n/a</w:t>
            </w:r>
          </w:p>
        </w:tc>
        <w:tc>
          <w:tcPr>
            <w:tcW w:w="927" w:type="dxa"/>
          </w:tcPr>
          <w:p w14:paraId="5D0412D6" w14:textId="77777777" w:rsidR="00842324" w:rsidRDefault="00000000">
            <w:pPr>
              <w:pStyle w:val="Compact"/>
            </w:pPr>
            <w:r>
              <w:t>n/a</w:t>
            </w:r>
          </w:p>
        </w:tc>
        <w:tc>
          <w:tcPr>
            <w:tcW w:w="784" w:type="dxa"/>
          </w:tcPr>
          <w:p w14:paraId="5D0412D7" w14:textId="77777777" w:rsidR="00842324" w:rsidRDefault="00000000">
            <w:pPr>
              <w:pStyle w:val="Compact"/>
            </w:pPr>
            <w:r>
              <w:t>n/a</w:t>
            </w:r>
          </w:p>
        </w:tc>
        <w:tc>
          <w:tcPr>
            <w:tcW w:w="856" w:type="dxa"/>
          </w:tcPr>
          <w:p w14:paraId="5D0412D8" w14:textId="77777777" w:rsidR="00842324" w:rsidRDefault="00000000">
            <w:pPr>
              <w:pStyle w:val="Compact"/>
            </w:pPr>
            <w:r>
              <w:rPr>
                <w:b/>
                <w:bCs/>
              </w:rPr>
              <w:t>GREEN</w:t>
            </w:r>
          </w:p>
        </w:tc>
      </w:tr>
      <w:tr w:rsidR="00842324" w14:paraId="5D0412E3" w14:textId="77777777">
        <w:tc>
          <w:tcPr>
            <w:tcW w:w="1569" w:type="dxa"/>
          </w:tcPr>
          <w:p w14:paraId="5D0412DA" w14:textId="77777777" w:rsidR="00842324" w:rsidRDefault="00000000">
            <w:pPr>
              <w:pStyle w:val="Compact"/>
            </w:pPr>
            <w:r>
              <w:t>ENTSO-E Wind (DE)</w:t>
            </w:r>
          </w:p>
        </w:tc>
        <w:tc>
          <w:tcPr>
            <w:tcW w:w="642" w:type="dxa"/>
          </w:tcPr>
          <w:p w14:paraId="5D0412DB" w14:textId="77777777" w:rsidR="00842324" w:rsidRDefault="00000000">
            <w:pPr>
              <w:pStyle w:val="Compact"/>
            </w:pPr>
            <w:r>
              <w:t>51,933</w:t>
            </w:r>
          </w:p>
        </w:tc>
        <w:tc>
          <w:tcPr>
            <w:tcW w:w="713" w:type="dxa"/>
          </w:tcPr>
          <w:p w14:paraId="5D0412DC" w14:textId="77777777" w:rsidR="00842324" w:rsidRDefault="00000000">
            <w:pPr>
              <w:pStyle w:val="Compact"/>
            </w:pPr>
            <w:r>
              <w:t>89.16%</w:t>
            </w:r>
          </w:p>
        </w:tc>
        <w:tc>
          <w:tcPr>
            <w:tcW w:w="856" w:type="dxa"/>
          </w:tcPr>
          <w:p w14:paraId="5D0412DD" w14:textId="77777777" w:rsidR="00842324" w:rsidRDefault="00000000">
            <w:pPr>
              <w:pStyle w:val="Compact"/>
            </w:pPr>
            <w:r>
              <w:t>−0.84 pp</w:t>
            </w:r>
          </w:p>
        </w:tc>
        <w:tc>
          <w:tcPr>
            <w:tcW w:w="927" w:type="dxa"/>
          </w:tcPr>
          <w:p w14:paraId="5D0412DE" w14:textId="77777777" w:rsidR="00842324" w:rsidRDefault="00000000">
            <w:pPr>
              <w:pStyle w:val="Compact"/>
            </w:pPr>
            <w:r>
              <w:t>GREEN</w:t>
            </w:r>
          </w:p>
        </w:tc>
        <w:tc>
          <w:tcPr>
            <w:tcW w:w="642" w:type="dxa"/>
          </w:tcPr>
          <w:p w14:paraId="5D0412DF" w14:textId="77777777" w:rsidR="00842324" w:rsidRDefault="00000000">
            <w:pPr>
              <w:pStyle w:val="Compact"/>
            </w:pPr>
            <w:r>
              <w:t>0.0083</w:t>
            </w:r>
          </w:p>
        </w:tc>
        <w:tc>
          <w:tcPr>
            <w:tcW w:w="927" w:type="dxa"/>
          </w:tcPr>
          <w:p w14:paraId="5D0412E0" w14:textId="77777777" w:rsidR="00842324" w:rsidRDefault="00000000">
            <w:pPr>
              <w:pStyle w:val="Compact"/>
            </w:pPr>
            <w:r>
              <w:t>FAIL†</w:t>
            </w:r>
          </w:p>
        </w:tc>
        <w:tc>
          <w:tcPr>
            <w:tcW w:w="784" w:type="dxa"/>
          </w:tcPr>
          <w:p w14:paraId="5D0412E1" w14:textId="77777777" w:rsidR="00842324" w:rsidRDefault="00000000">
            <w:pPr>
              <w:pStyle w:val="Compact"/>
            </w:pPr>
            <w:r>
              <w:t>FAIL†</w:t>
            </w:r>
          </w:p>
        </w:tc>
        <w:tc>
          <w:tcPr>
            <w:tcW w:w="856" w:type="dxa"/>
          </w:tcPr>
          <w:p w14:paraId="5D0412E2" w14:textId="77777777" w:rsidR="00842324" w:rsidRDefault="00000000">
            <w:pPr>
              <w:pStyle w:val="Compact"/>
            </w:pPr>
            <w:r>
              <w:rPr>
                <w:b/>
                <w:bCs/>
              </w:rPr>
              <w:t>RED†</w:t>
            </w:r>
          </w:p>
        </w:tc>
      </w:tr>
      <w:tr w:rsidR="00842324" w14:paraId="5D0412ED" w14:textId="77777777">
        <w:tc>
          <w:tcPr>
            <w:tcW w:w="1569" w:type="dxa"/>
          </w:tcPr>
          <w:p w14:paraId="5D0412E4" w14:textId="77777777" w:rsidR="00842324" w:rsidRDefault="00000000">
            <w:pPr>
              <w:pStyle w:val="Compact"/>
            </w:pPr>
            <w:r>
              <w:t>ENTSO-E Solar (DE)</w:t>
            </w:r>
          </w:p>
        </w:tc>
        <w:tc>
          <w:tcPr>
            <w:tcW w:w="642" w:type="dxa"/>
          </w:tcPr>
          <w:p w14:paraId="5D0412E5" w14:textId="77777777" w:rsidR="00842324" w:rsidRDefault="00000000">
            <w:pPr>
              <w:pStyle w:val="Compact"/>
            </w:pPr>
            <w:r>
              <w:t>51,933</w:t>
            </w:r>
          </w:p>
        </w:tc>
        <w:tc>
          <w:tcPr>
            <w:tcW w:w="713" w:type="dxa"/>
          </w:tcPr>
          <w:p w14:paraId="5D0412E6" w14:textId="77777777" w:rsidR="00842324" w:rsidRDefault="00000000">
            <w:pPr>
              <w:pStyle w:val="Compact"/>
            </w:pPr>
            <w:r>
              <w:t>89.94%</w:t>
            </w:r>
          </w:p>
        </w:tc>
        <w:tc>
          <w:tcPr>
            <w:tcW w:w="856" w:type="dxa"/>
          </w:tcPr>
          <w:p w14:paraId="5D0412E7" w14:textId="77777777" w:rsidR="00842324" w:rsidRDefault="00000000">
            <w:pPr>
              <w:pStyle w:val="Compact"/>
            </w:pPr>
            <w:r>
              <w:t>−0.06 pp</w:t>
            </w:r>
          </w:p>
        </w:tc>
        <w:tc>
          <w:tcPr>
            <w:tcW w:w="927" w:type="dxa"/>
          </w:tcPr>
          <w:p w14:paraId="5D0412E8" w14:textId="77777777" w:rsidR="00842324" w:rsidRDefault="00000000">
            <w:pPr>
              <w:pStyle w:val="Compact"/>
            </w:pPr>
            <w:r>
              <w:t>GREEN</w:t>
            </w:r>
          </w:p>
        </w:tc>
        <w:tc>
          <w:tcPr>
            <w:tcW w:w="642" w:type="dxa"/>
          </w:tcPr>
          <w:p w14:paraId="5D0412E9" w14:textId="77777777" w:rsidR="00842324" w:rsidRDefault="00000000">
            <w:pPr>
              <w:pStyle w:val="Compact"/>
            </w:pPr>
            <w:r>
              <w:t>0.0258</w:t>
            </w:r>
          </w:p>
        </w:tc>
        <w:tc>
          <w:tcPr>
            <w:tcW w:w="927" w:type="dxa"/>
          </w:tcPr>
          <w:p w14:paraId="5D0412EA" w14:textId="77777777" w:rsidR="00842324" w:rsidRDefault="00000000">
            <w:pPr>
              <w:pStyle w:val="Compact"/>
            </w:pPr>
            <w:r>
              <w:t>FAIL†</w:t>
            </w:r>
          </w:p>
        </w:tc>
        <w:tc>
          <w:tcPr>
            <w:tcW w:w="784" w:type="dxa"/>
          </w:tcPr>
          <w:p w14:paraId="5D0412EB" w14:textId="77777777" w:rsidR="00842324" w:rsidRDefault="00000000">
            <w:pPr>
              <w:pStyle w:val="Compact"/>
            </w:pPr>
            <w:r>
              <w:t>FAIL†</w:t>
            </w:r>
          </w:p>
        </w:tc>
        <w:tc>
          <w:tcPr>
            <w:tcW w:w="856" w:type="dxa"/>
          </w:tcPr>
          <w:p w14:paraId="5D0412EC" w14:textId="77777777" w:rsidR="00842324" w:rsidRDefault="00000000">
            <w:pPr>
              <w:pStyle w:val="Compact"/>
            </w:pPr>
            <w:r>
              <w:rPr>
                <w:b/>
                <w:bCs/>
              </w:rPr>
              <w:t>RED†</w:t>
            </w:r>
          </w:p>
        </w:tc>
      </w:tr>
    </w:tbl>
    <w:p w14:paraId="5D0412EE" w14:textId="77777777" w:rsidR="00842324" w:rsidRDefault="00000000">
      <w:pPr>
        <w:pStyle w:val="BodyText"/>
      </w:pPr>
      <w:r>
        <w:t>† See Section 7.3 — RED classification driven by large-n test sensitivity, not substantive distributional failure. KS statistics of 0.0083 and 0.0258 indicate practically negligible deviations from uniformity relative to the student datasets (KS &gt; 0.10).</w:t>
      </w:r>
    </w:p>
    <w:p w14:paraId="5D0412EF" w14:textId="77777777" w:rsidR="00842324" w:rsidRDefault="00000000">
      <w:pPr>
        <w:pStyle w:val="Heading3"/>
      </w:pPr>
      <w:bookmarkStart w:id="131" w:name="key-cross-dataset-findings"/>
      <w:bookmarkEnd w:id="130"/>
      <w:r>
        <w:t>7.2 Key Cross-Dataset Findings</w:t>
      </w:r>
    </w:p>
    <w:p w14:paraId="5D0412F0" w14:textId="77777777" w:rsidR="00842324" w:rsidRDefault="00000000">
      <w:pPr>
        <w:pStyle w:val="FirstParagraph"/>
      </w:pPr>
      <w:r>
        <w:rPr>
          <w:b/>
          <w:bCs/>
        </w:rPr>
        <w:t>1. PIT diagnostics fail universally on real data, regardless of coverage.</w:t>
      </w:r>
      <w:r>
        <w:t xml:space="preserve"> All three real-data models (ENTSO-E, PV, wind) strongly reject PIT uniformity and serial independence. This result is consistent with industry evaluations of probabilistic load forecasts finding systematic PIT non-uniformity even in operationally deployed models (Chen et al., 2024). This holds even for PV, which passes interval backtesting. The implication is that interval-coverage metrics alone are insufficient for governance classification — a model can appear calibrated at the interval level while being systematically misspecified at the distributional level.</w:t>
      </w:r>
    </w:p>
    <w:p w14:paraId="5D0412F1" w14:textId="77777777" w:rsidR="00842324" w:rsidRDefault="00000000">
      <w:pPr>
        <w:pStyle w:val="BodyText"/>
      </w:pPr>
      <w:r>
        <w:rPr>
          <w:b/>
          <w:bCs/>
        </w:rPr>
        <w:t>2. The positive control confirms framework discriminative validity across commodity classes.</w:t>
      </w:r>
      <w:r>
        <w:t xml:space="preserve"> The well-specified simulation model returns GREEN across five of the six positive control series (original price, temp; extended nat_gas, carbon) and YELLOW on electricity price — the latter attributable to sampling noise at n = 365 given the higher volatility of that series (σ = 12). The framework correctly distinguishes correctly specified models from miscalibrated ones across heterogeneous commodity types with different volatility structures and correlation regimes.</w:t>
      </w:r>
    </w:p>
    <w:p w14:paraId="5D0412F2" w14:textId="77777777" w:rsidR="00842324" w:rsidRDefault="00000000">
      <w:pPr>
        <w:pStyle w:val="BodyText"/>
      </w:pPr>
      <w:r>
        <w:rPr>
          <w:b/>
          <w:bCs/>
        </w:rPr>
        <w:t>3. Misspecification scenarios demonstrate targeted failure mode detection.</w:t>
      </w:r>
      <w:r>
        <w:t xml:space="preserve"> Variance inflation and mean bias are detected strongly and their character (bilateral vs. unilateral) is correctly identified by the traffic-light tail decomposition. Heavy-tail misspecification is not detected at n = 365, exposing a power boundary of the Anfuso interval test at small evaluation sample sizes.</w:t>
      </w:r>
    </w:p>
    <w:p w14:paraId="5D0412F3" w14:textId="77777777" w:rsidR="00842324" w:rsidRDefault="00000000">
      <w:pPr>
        <w:pStyle w:val="BodyText"/>
      </w:pPr>
      <w:r>
        <w:rPr>
          <w:b/>
          <w:bCs/>
        </w:rPr>
        <w:lastRenderedPageBreak/>
        <w:t>4. Tail asymmetry is dataset-specific and physically interpretable.</w:t>
      </w:r>
      <w:r>
        <w:t xml:space="preserve"> ENTSO-E shows bilateral over-breaching; wind shows lower-tail dominance (bounded-below generation); PV passes the interval test entirely. Each pattern is physically motivated by the underlying generation or forecasting process.</w:t>
      </w:r>
    </w:p>
    <w:p w14:paraId="5D0412F4" w14:textId="77777777" w:rsidR="00842324" w:rsidRDefault="00000000">
      <w:pPr>
        <w:pStyle w:val="BodyText"/>
      </w:pPr>
      <w:r>
        <w:rPr>
          <w:b/>
          <w:bCs/>
        </w:rPr>
        <w:t>5. Joint dependence between PV and wind is modest but present.</w:t>
      </w:r>
      <w:r>
        <w:t xml:space="preserve"> Cross-asset PIT residuals show weak contemporaneous negative correlation and meaningful lag-24 positive correlation. For portfolio risk aggregation, ignoring this structure would be conservative in some regimes and non-conservative in others.</w:t>
      </w:r>
    </w:p>
    <w:p w14:paraId="5D0412F5" w14:textId="77777777" w:rsidR="00842324" w:rsidRDefault="00000000">
      <w:pPr>
        <w:pStyle w:val="BodyText"/>
      </w:pPr>
      <w:r>
        <w:rPr>
          <w:b/>
          <w:bCs/>
        </w:rPr>
        <w:t>6. Conformal augmentation is motivated by the coverage shortfalls.</w:t>
      </w:r>
      <w:r>
        <w:t xml:space="preserve"> ENTSO-E (−2.94 pp) and wind (−1.38 pp) both show systematic under-coverage in the base reconstruction. The conformal augmentation layer (Section 5 of this chapter, and 04_conformal_wrapping.ipynb) addresses this by expanding base intervals to restore near-nominal coverage guarantees, as demonstrated on the ENTSO-E development sample.</w:t>
      </w:r>
    </w:p>
    <w:p w14:paraId="5D0412F6" w14:textId="77777777" w:rsidR="00842324" w:rsidRDefault="00000000">
      <w:pPr>
        <w:pStyle w:val="BodyText"/>
      </w:pPr>
      <w:r>
        <w:rPr>
          <w:b/>
          <w:bCs/>
        </w:rPr>
        <w:t>7. ENTSO-E official forecasts are near-nominally calibrated at the interval level.</w:t>
      </w:r>
      <w:r>
        <w:t xml:space="preserve"> The German wind and solar day-ahead forecasts from the ENTSO-E Transparency Platform (run_009, run_010) achieve near-nominal interval coverage (89.2% and 89.9% respectively) against a 90% target, with both Anfuso tests returning GREEN. This contrasts with the student datasets which exhibit meaningful interval failures. The result is consistent with professionally produced operational forecasts incorporating better uncertainty quantification than the academic benchmark datasets.</w:t>
      </w:r>
    </w:p>
    <w:p w14:paraId="5D0412F7" w14:textId="77777777" w:rsidR="00842324" w:rsidRDefault="00000000">
      <w:pPr>
        <w:pStyle w:val="BodyText"/>
      </w:pPr>
      <w:r>
        <w:rPr>
          <w:b/>
          <w:bCs/>
        </w:rPr>
        <w:t>8. Large-n statistical power inflates rejection rates on well-calibrated models.</w:t>
      </w:r>
      <w:r>
        <w:t xml:space="preserve"> At n = 51,933, PIT uniformity and independence tests achieve near-infinite power, formally rejecting even negligible deviations. The ENTSO-E wind KS statistic of 0.0083 represents a maximum 0.83 percentage-point departure from uniform — orders of magnitude smaller than the student datasets (KS &gt; 0.10). The RED classification for run_009 and run_010 is technically correct under the fixed-threshold policy but reflects residual weather-driven temporal structure rather than substantive model failure. Practitioners should complement p-value thresholds with effect-size thresholds at large n (Diebold, 2015).</w:t>
      </w:r>
    </w:p>
    <w:p w14:paraId="5D0412F8" w14:textId="77777777" w:rsidR="00842324" w:rsidRDefault="00000000">
      <w:pPr>
        <w:pStyle w:val="Heading3"/>
      </w:pPr>
      <w:bookmarkStart w:id="132" w:name="X07dd5f8ec8798c818e4ccecfd55d6bf9a82e766"/>
      <w:bookmarkEnd w:id="131"/>
      <w:r>
        <w:t>7.3 Large-n Sensitivity — Effect-Size Floor and Dual-Criterion Rule</w:t>
      </w:r>
    </w:p>
    <w:p w14:paraId="5D0412F9" w14:textId="77777777" w:rsidR="00842324" w:rsidRDefault="00000000">
      <w:pPr>
        <w:pStyle w:val="FirstParagraph"/>
      </w:pPr>
      <w:r>
        <w:t>The RED classifications for run_009 and run_010 are driven by two distinct mechanisms that the dual-criterion rule separates explicitly. PIT uniformity rejection is downgraded to WARN for both datasets (KS = 0.0083 and 0.0258 respectively, both below the 0.05 effect-size floor), confirming that the distributional departure is practically negligible at hourly resolution. Serial independence rejection remains FAIL for both (ACF lag-1 = 0.861 and 0.787, both well above the 0.05 floor), indicating genuine structural autocorrelation. The overall RED classification is therefore driven by real serial dependence, not statistical over-rejection from large n.</w:t>
      </w:r>
    </w:p>
    <w:p w14:paraId="5D0412FA" w14:textId="77777777" w:rsidR="00842324" w:rsidRDefault="00000000">
      <w:pPr>
        <w:pStyle w:val="CaptionedFigure"/>
      </w:pPr>
      <w:r>
        <w:rPr>
          <w:noProof/>
        </w:rPr>
        <w:lastRenderedPageBreak/>
        <w:drawing>
          <wp:inline distT="0" distB="0" distL="0" distR="0" wp14:anchorId="5D041605" wp14:editId="5D041606">
            <wp:extent cx="5334000" cy="2638303"/>
            <wp:effectExtent l="0" t="0" r="0" b="0"/>
            <wp:docPr id="120" name="Picture" descr="Diagnostic positioning of all model classes. Left: KS statistic vs sample size. Right: |ACF lag-1| vs sample size. The effect-size floor (dashed) separates AMBER (large-n sensitivity, run_009/010) from RED (genuine miscalibration, run_001/002/003). GREEN positive control sits at bottom-left."/>
            <wp:cNvGraphicFramePr/>
            <a:graphic xmlns:a="http://schemas.openxmlformats.org/drawingml/2006/main">
              <a:graphicData uri="http://schemas.openxmlformats.org/drawingml/2006/picture">
                <pic:pic xmlns:pic="http://schemas.openxmlformats.org/drawingml/2006/picture">
                  <pic:nvPicPr>
                    <pic:cNvPr id="121" name="Picture" descr="figures/model_diagnostic_positioning.png"/>
                    <pic:cNvPicPr>
                      <a:picLocks noChangeAspect="1" noChangeArrowheads="1"/>
                    </pic:cNvPicPr>
                  </pic:nvPicPr>
                  <pic:blipFill>
                    <a:blip r:embed="rId9"/>
                    <a:stretch>
                      <a:fillRect/>
                    </a:stretch>
                  </pic:blipFill>
                  <pic:spPr bwMode="auto">
                    <a:xfrm>
                      <a:off x="0" y="0"/>
                      <a:ext cx="5334000" cy="2638303"/>
                    </a:xfrm>
                    <a:prstGeom prst="rect">
                      <a:avLst/>
                    </a:prstGeom>
                    <a:noFill/>
                    <a:ln w="9525">
                      <a:noFill/>
                      <a:headEnd/>
                      <a:tailEnd/>
                    </a:ln>
                  </pic:spPr>
                </pic:pic>
              </a:graphicData>
            </a:graphic>
          </wp:inline>
        </w:drawing>
      </w:r>
    </w:p>
    <w:p w14:paraId="5D0412FB" w14:textId="77777777" w:rsidR="00842324" w:rsidRDefault="00000000">
      <w:pPr>
        <w:pStyle w:val="ImageCaption"/>
      </w:pPr>
      <w:r>
        <w:t>Diagnostic positioning of all model classes. Left: KS statistic vs sample size. Right: |ACF lag-1| vs sample size. The effect-size floor (dashed) separates AMBER (large-n sensitivity, run_009/010) from RED (genuine miscalibration, run_001/002/003). GREEN positive control sits at bottom-left.</w:t>
      </w:r>
    </w:p>
    <w:p w14:paraId="5D0412FC" w14:textId="77777777" w:rsidR="00842324" w:rsidRDefault="00000000">
      <w:pPr>
        <w:pStyle w:val="Heading3"/>
      </w:pPr>
      <w:bookmarkStart w:id="133" w:name="X7cacd916099bba4135e4790d4c7aed603515ebb"/>
      <w:bookmarkEnd w:id="132"/>
      <w:r>
        <w:t>7.4 Daily Aggregation Robustness — run_009b and run_010b</w:t>
      </w:r>
    </w:p>
    <w:p w14:paraId="5D0412FD" w14:textId="77777777" w:rsidR="00842324" w:rsidRDefault="00000000">
      <w:pPr>
        <w:pStyle w:val="FirstParagraph"/>
      </w:pPr>
      <w:r>
        <w:t>Daily-aggregated variants (n = 2,164, approximately 6 years of daily means) were run as optional robustness checks to test whether the hourly serial dependence is purely a within-day reconstruction artefact.</w:t>
      </w:r>
    </w:p>
    <w:tbl>
      <w:tblPr>
        <w:tblStyle w:val="Table"/>
        <w:tblW w:w="5000" w:type="pct"/>
        <w:tblLayout w:type="fixed"/>
        <w:tblLook w:val="0020" w:firstRow="1" w:lastRow="0" w:firstColumn="0" w:lastColumn="0" w:noHBand="0" w:noVBand="0"/>
      </w:tblPr>
      <w:tblGrid>
        <w:gridCol w:w="2463"/>
        <w:gridCol w:w="1778"/>
        <w:gridCol w:w="1641"/>
        <w:gridCol w:w="1916"/>
        <w:gridCol w:w="1778"/>
      </w:tblGrid>
      <w:tr w:rsidR="00842324" w14:paraId="5D041303"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2036" w:type="dxa"/>
          </w:tcPr>
          <w:p w14:paraId="5D0412FE" w14:textId="77777777" w:rsidR="00842324" w:rsidRDefault="00000000">
            <w:pPr>
              <w:pStyle w:val="Compact"/>
            </w:pPr>
            <w:r>
              <w:t>Metric</w:t>
            </w:r>
          </w:p>
        </w:tc>
        <w:tc>
          <w:tcPr>
            <w:tcW w:w="1470" w:type="dxa"/>
          </w:tcPr>
          <w:p w14:paraId="5D0412FF" w14:textId="77777777" w:rsidR="00842324" w:rsidRDefault="00000000">
            <w:pPr>
              <w:pStyle w:val="Compact"/>
            </w:pPr>
            <w:r>
              <w:t>Wind hourly</w:t>
            </w:r>
          </w:p>
        </w:tc>
        <w:tc>
          <w:tcPr>
            <w:tcW w:w="1357" w:type="dxa"/>
          </w:tcPr>
          <w:p w14:paraId="5D041300" w14:textId="77777777" w:rsidR="00842324" w:rsidRDefault="00000000">
            <w:pPr>
              <w:pStyle w:val="Compact"/>
            </w:pPr>
            <w:r>
              <w:t>Wind daily</w:t>
            </w:r>
          </w:p>
        </w:tc>
        <w:tc>
          <w:tcPr>
            <w:tcW w:w="1584" w:type="dxa"/>
          </w:tcPr>
          <w:p w14:paraId="5D041301" w14:textId="77777777" w:rsidR="00842324" w:rsidRDefault="00000000">
            <w:pPr>
              <w:pStyle w:val="Compact"/>
            </w:pPr>
            <w:r>
              <w:t>Solar hourly</w:t>
            </w:r>
          </w:p>
        </w:tc>
        <w:tc>
          <w:tcPr>
            <w:tcW w:w="1470" w:type="dxa"/>
          </w:tcPr>
          <w:p w14:paraId="5D041302" w14:textId="77777777" w:rsidR="00842324" w:rsidRDefault="00000000">
            <w:pPr>
              <w:pStyle w:val="Compact"/>
            </w:pPr>
            <w:r>
              <w:t>Solar daily</w:t>
            </w:r>
          </w:p>
        </w:tc>
      </w:tr>
      <w:tr w:rsidR="00842324" w14:paraId="5D041309" w14:textId="77777777">
        <w:tc>
          <w:tcPr>
            <w:tcW w:w="2036" w:type="dxa"/>
          </w:tcPr>
          <w:p w14:paraId="5D041304" w14:textId="77777777" w:rsidR="00842324" w:rsidRDefault="00000000">
            <w:pPr>
              <w:pStyle w:val="Compact"/>
            </w:pPr>
            <w:r>
              <w:t>n (eval)</w:t>
            </w:r>
          </w:p>
        </w:tc>
        <w:tc>
          <w:tcPr>
            <w:tcW w:w="1470" w:type="dxa"/>
          </w:tcPr>
          <w:p w14:paraId="5D041305" w14:textId="77777777" w:rsidR="00842324" w:rsidRDefault="00000000">
            <w:pPr>
              <w:pStyle w:val="Compact"/>
            </w:pPr>
            <w:r>
              <w:t>51,933</w:t>
            </w:r>
          </w:p>
        </w:tc>
        <w:tc>
          <w:tcPr>
            <w:tcW w:w="1357" w:type="dxa"/>
          </w:tcPr>
          <w:p w14:paraId="5D041306" w14:textId="77777777" w:rsidR="00842324" w:rsidRDefault="00000000">
            <w:pPr>
              <w:pStyle w:val="Compact"/>
            </w:pPr>
            <w:r>
              <w:t>2,164</w:t>
            </w:r>
          </w:p>
        </w:tc>
        <w:tc>
          <w:tcPr>
            <w:tcW w:w="1584" w:type="dxa"/>
          </w:tcPr>
          <w:p w14:paraId="5D041307" w14:textId="77777777" w:rsidR="00842324" w:rsidRDefault="00000000">
            <w:pPr>
              <w:pStyle w:val="Compact"/>
            </w:pPr>
            <w:r>
              <w:t>51,933</w:t>
            </w:r>
          </w:p>
        </w:tc>
        <w:tc>
          <w:tcPr>
            <w:tcW w:w="1470" w:type="dxa"/>
          </w:tcPr>
          <w:p w14:paraId="5D041308" w14:textId="77777777" w:rsidR="00842324" w:rsidRDefault="00000000">
            <w:pPr>
              <w:pStyle w:val="Compact"/>
            </w:pPr>
            <w:r>
              <w:t>2,164</w:t>
            </w:r>
          </w:p>
        </w:tc>
      </w:tr>
      <w:tr w:rsidR="00842324" w14:paraId="5D04130F" w14:textId="77777777">
        <w:tc>
          <w:tcPr>
            <w:tcW w:w="2036" w:type="dxa"/>
          </w:tcPr>
          <w:p w14:paraId="5D04130A" w14:textId="77777777" w:rsidR="00842324" w:rsidRDefault="00000000">
            <w:pPr>
              <w:pStyle w:val="Compact"/>
            </w:pPr>
            <w:r>
              <w:t>Coverage</w:t>
            </w:r>
          </w:p>
        </w:tc>
        <w:tc>
          <w:tcPr>
            <w:tcW w:w="1470" w:type="dxa"/>
          </w:tcPr>
          <w:p w14:paraId="5D04130B" w14:textId="77777777" w:rsidR="00842324" w:rsidRDefault="00000000">
            <w:pPr>
              <w:pStyle w:val="Compact"/>
            </w:pPr>
            <w:r>
              <w:t>89.16%</w:t>
            </w:r>
          </w:p>
        </w:tc>
        <w:tc>
          <w:tcPr>
            <w:tcW w:w="1357" w:type="dxa"/>
          </w:tcPr>
          <w:p w14:paraId="5D04130C" w14:textId="77777777" w:rsidR="00842324" w:rsidRDefault="00000000">
            <w:pPr>
              <w:pStyle w:val="Compact"/>
            </w:pPr>
            <w:r>
              <w:t>96.58%</w:t>
            </w:r>
          </w:p>
        </w:tc>
        <w:tc>
          <w:tcPr>
            <w:tcW w:w="1584" w:type="dxa"/>
          </w:tcPr>
          <w:p w14:paraId="5D04130D" w14:textId="77777777" w:rsidR="00842324" w:rsidRDefault="00000000">
            <w:pPr>
              <w:pStyle w:val="Compact"/>
            </w:pPr>
            <w:r>
              <w:t>89.94%</w:t>
            </w:r>
          </w:p>
        </w:tc>
        <w:tc>
          <w:tcPr>
            <w:tcW w:w="1470" w:type="dxa"/>
          </w:tcPr>
          <w:p w14:paraId="5D04130E" w14:textId="77777777" w:rsidR="00842324" w:rsidRDefault="00000000">
            <w:pPr>
              <w:pStyle w:val="Compact"/>
            </w:pPr>
            <w:r>
              <w:t>98.20%</w:t>
            </w:r>
          </w:p>
        </w:tc>
      </w:tr>
      <w:tr w:rsidR="00842324" w14:paraId="5D041315" w14:textId="77777777">
        <w:tc>
          <w:tcPr>
            <w:tcW w:w="2036" w:type="dxa"/>
          </w:tcPr>
          <w:p w14:paraId="5D041310" w14:textId="77777777" w:rsidR="00842324" w:rsidRDefault="00000000">
            <w:pPr>
              <w:pStyle w:val="Compact"/>
            </w:pPr>
            <w:r>
              <w:t>KS statistic</w:t>
            </w:r>
          </w:p>
        </w:tc>
        <w:tc>
          <w:tcPr>
            <w:tcW w:w="1470" w:type="dxa"/>
          </w:tcPr>
          <w:p w14:paraId="5D041311" w14:textId="77777777" w:rsidR="00842324" w:rsidRDefault="00000000">
            <w:pPr>
              <w:pStyle w:val="Compact"/>
            </w:pPr>
            <w:r>
              <w:t>0.0083</w:t>
            </w:r>
          </w:p>
        </w:tc>
        <w:tc>
          <w:tcPr>
            <w:tcW w:w="1357" w:type="dxa"/>
          </w:tcPr>
          <w:p w14:paraId="5D041312" w14:textId="77777777" w:rsidR="00842324" w:rsidRDefault="00000000">
            <w:pPr>
              <w:pStyle w:val="Compact"/>
            </w:pPr>
            <w:r>
              <w:t>0.246</w:t>
            </w:r>
          </w:p>
        </w:tc>
        <w:tc>
          <w:tcPr>
            <w:tcW w:w="1584" w:type="dxa"/>
          </w:tcPr>
          <w:p w14:paraId="5D041313" w14:textId="77777777" w:rsidR="00842324" w:rsidRDefault="00000000">
            <w:pPr>
              <w:pStyle w:val="Compact"/>
            </w:pPr>
            <w:r>
              <w:t>0.0258</w:t>
            </w:r>
          </w:p>
        </w:tc>
        <w:tc>
          <w:tcPr>
            <w:tcW w:w="1470" w:type="dxa"/>
          </w:tcPr>
          <w:p w14:paraId="5D041314" w14:textId="77777777" w:rsidR="00842324" w:rsidRDefault="00000000">
            <w:pPr>
              <w:pStyle w:val="Compact"/>
            </w:pPr>
            <w:r>
              <w:t>0.224</w:t>
            </w:r>
          </w:p>
        </w:tc>
      </w:tr>
      <w:tr w:rsidR="00842324" w14:paraId="5D04131B" w14:textId="77777777">
        <w:tc>
          <w:tcPr>
            <w:tcW w:w="2036" w:type="dxa"/>
          </w:tcPr>
          <w:p w14:paraId="5D041316" w14:textId="77777777" w:rsidR="00842324" w:rsidRDefault="00000000">
            <w:pPr>
              <w:pStyle w:val="Compact"/>
            </w:pPr>
            <w:r>
              <w:t>ACF lag-1</w:t>
            </w:r>
          </w:p>
        </w:tc>
        <w:tc>
          <w:tcPr>
            <w:tcW w:w="1470" w:type="dxa"/>
          </w:tcPr>
          <w:p w14:paraId="5D041317" w14:textId="77777777" w:rsidR="00842324" w:rsidRDefault="00000000">
            <w:pPr>
              <w:pStyle w:val="Compact"/>
            </w:pPr>
            <w:r>
              <w:t>0.861</w:t>
            </w:r>
          </w:p>
        </w:tc>
        <w:tc>
          <w:tcPr>
            <w:tcW w:w="1357" w:type="dxa"/>
          </w:tcPr>
          <w:p w14:paraId="5D041318" w14:textId="77777777" w:rsidR="00842324" w:rsidRDefault="00000000">
            <w:pPr>
              <w:pStyle w:val="Compact"/>
            </w:pPr>
            <w:r>
              <w:t>0.204</w:t>
            </w:r>
          </w:p>
        </w:tc>
        <w:tc>
          <w:tcPr>
            <w:tcW w:w="1584" w:type="dxa"/>
          </w:tcPr>
          <w:p w14:paraId="5D041319" w14:textId="77777777" w:rsidR="00842324" w:rsidRDefault="00000000">
            <w:pPr>
              <w:pStyle w:val="Compact"/>
            </w:pPr>
            <w:r>
              <w:t>0.787</w:t>
            </w:r>
          </w:p>
        </w:tc>
        <w:tc>
          <w:tcPr>
            <w:tcW w:w="1470" w:type="dxa"/>
          </w:tcPr>
          <w:p w14:paraId="5D04131A" w14:textId="77777777" w:rsidR="00842324" w:rsidRDefault="00000000">
            <w:pPr>
              <w:pStyle w:val="Compact"/>
            </w:pPr>
            <w:r>
              <w:t>0.270</w:t>
            </w:r>
          </w:p>
        </w:tc>
      </w:tr>
      <w:tr w:rsidR="00842324" w14:paraId="5D041321" w14:textId="77777777">
        <w:tc>
          <w:tcPr>
            <w:tcW w:w="2036" w:type="dxa"/>
          </w:tcPr>
          <w:p w14:paraId="5D04131C" w14:textId="77777777" w:rsidR="00842324" w:rsidRDefault="00000000">
            <w:pPr>
              <w:pStyle w:val="Compact"/>
            </w:pPr>
            <w:r>
              <w:t>LB p-value (lag 5)</w:t>
            </w:r>
          </w:p>
        </w:tc>
        <w:tc>
          <w:tcPr>
            <w:tcW w:w="1470" w:type="dxa"/>
          </w:tcPr>
          <w:p w14:paraId="5D04131D" w14:textId="77777777" w:rsidR="00842324" w:rsidRDefault="00000000">
            <w:pPr>
              <w:pStyle w:val="Compact"/>
            </w:pPr>
            <w:r>
              <w:t>≈0</w:t>
            </w:r>
          </w:p>
        </w:tc>
        <w:tc>
          <w:tcPr>
            <w:tcW w:w="1357" w:type="dxa"/>
          </w:tcPr>
          <w:p w14:paraId="5D04131E" w14:textId="77777777" w:rsidR="00842324" w:rsidRDefault="00000000">
            <w:pPr>
              <w:pStyle w:val="Compact"/>
            </w:pPr>
            <w:r>
              <w:t>≈0</w:t>
            </w:r>
          </w:p>
        </w:tc>
        <w:tc>
          <w:tcPr>
            <w:tcW w:w="1584" w:type="dxa"/>
          </w:tcPr>
          <w:p w14:paraId="5D04131F" w14:textId="77777777" w:rsidR="00842324" w:rsidRDefault="00000000">
            <w:pPr>
              <w:pStyle w:val="Compact"/>
            </w:pPr>
            <w:r>
              <w:t>≈0</w:t>
            </w:r>
          </w:p>
        </w:tc>
        <w:tc>
          <w:tcPr>
            <w:tcW w:w="1470" w:type="dxa"/>
          </w:tcPr>
          <w:p w14:paraId="5D041320" w14:textId="77777777" w:rsidR="00842324" w:rsidRDefault="00000000">
            <w:pPr>
              <w:pStyle w:val="Compact"/>
            </w:pPr>
            <w:r>
              <w:t>≈0</w:t>
            </w:r>
          </w:p>
        </w:tc>
      </w:tr>
      <w:tr w:rsidR="00842324" w14:paraId="5D041327" w14:textId="77777777">
        <w:tc>
          <w:tcPr>
            <w:tcW w:w="2036" w:type="dxa"/>
          </w:tcPr>
          <w:p w14:paraId="5D041322" w14:textId="77777777" w:rsidR="00842324" w:rsidRDefault="00000000">
            <w:pPr>
              <w:pStyle w:val="Compact"/>
            </w:pPr>
            <w:r>
              <w:t>Governance label</w:t>
            </w:r>
          </w:p>
        </w:tc>
        <w:tc>
          <w:tcPr>
            <w:tcW w:w="1470" w:type="dxa"/>
          </w:tcPr>
          <w:p w14:paraId="5D041323" w14:textId="77777777" w:rsidR="00842324" w:rsidRDefault="00000000">
            <w:pPr>
              <w:pStyle w:val="Compact"/>
            </w:pPr>
            <w:r>
              <w:t>RED</w:t>
            </w:r>
          </w:p>
        </w:tc>
        <w:tc>
          <w:tcPr>
            <w:tcW w:w="1357" w:type="dxa"/>
          </w:tcPr>
          <w:p w14:paraId="5D041324" w14:textId="77777777" w:rsidR="00842324" w:rsidRDefault="00000000">
            <w:pPr>
              <w:pStyle w:val="Compact"/>
            </w:pPr>
            <w:r>
              <w:t>RED</w:t>
            </w:r>
          </w:p>
        </w:tc>
        <w:tc>
          <w:tcPr>
            <w:tcW w:w="1584" w:type="dxa"/>
          </w:tcPr>
          <w:p w14:paraId="5D041325" w14:textId="77777777" w:rsidR="00842324" w:rsidRDefault="00000000">
            <w:pPr>
              <w:pStyle w:val="Compact"/>
            </w:pPr>
            <w:r>
              <w:t>RED</w:t>
            </w:r>
          </w:p>
        </w:tc>
        <w:tc>
          <w:tcPr>
            <w:tcW w:w="1470" w:type="dxa"/>
          </w:tcPr>
          <w:p w14:paraId="5D041326" w14:textId="77777777" w:rsidR="00842324" w:rsidRDefault="00000000">
            <w:pPr>
              <w:pStyle w:val="Compact"/>
            </w:pPr>
            <w:r>
              <w:t>RED</w:t>
            </w:r>
          </w:p>
        </w:tc>
      </w:tr>
    </w:tbl>
    <w:p w14:paraId="5D041328" w14:textId="77777777" w:rsidR="00842324" w:rsidRDefault="00000000">
      <w:pPr>
        <w:pStyle w:val="BodyText"/>
      </w:pPr>
      <w:r>
        <w:t xml:space="preserve">Two effects operate simultaneously. First, coverage inflates from near-nominal to 97–98% at the daily level. The hourly-calibrated rolling quantile intervals are too wide for daily mean targets because averaging 24 hourly residuals compresses variance relative to the point-in-time spread the intervals were designed to cover. The KS statistic rises sharply (0.0083 → 0.246 for wind) as PIT values concentrate in the centre of [0,1] due to overcoverage rather than genuine distributional improvement. This establishes that the reconstruction is </w:t>
      </w:r>
      <w:r>
        <w:rPr>
          <w:b/>
          <w:bCs/>
        </w:rPr>
        <w:t>horizon-specific</w:t>
      </w:r>
      <w:r>
        <w:t>: intervals calibrated at the hourly level are not valid for daily aggregates without re-calibration at the target horizon.</w:t>
      </w:r>
    </w:p>
    <w:p w14:paraId="5D041329" w14:textId="77777777" w:rsidR="00842324" w:rsidRDefault="00000000">
      <w:pPr>
        <w:pStyle w:val="BodyText"/>
      </w:pPr>
      <w:r>
        <w:lastRenderedPageBreak/>
        <w:t xml:space="preserve">Second, ACF lag-1 decreases substantially after daily aggregation (0.861 → 0.204 for wind; 0.787 → 0.270 for solar), confirming that a significant portion of the hourly serial dependence is within-day structure. However, ACF values remain above the 0.05 effect-size floor and Ljung–Box rejects at all lags, demonstrating that </w:t>
      </w:r>
      <w:r>
        <w:rPr>
          <w:b/>
          <w:bCs/>
        </w:rPr>
        <w:t>multi-day meteorological persistence is genuine</w:t>
      </w:r>
      <w:r>
        <w:t xml:space="preserve"> — wind fronts and extended irradiance patterns produce cross-day autocorrelation that is not an artefact of the reconstruction. The daily robustness runs therefore do not weaken the RED classification; they replace one failure mode (hourly serial dependence dominated by within-day structure) with two others (daily overcoverage from horizon mismatch and persistent cross-day dependence). The finding that the reconstruction is horizon-specific is an operationally important result for production deployment.</w:t>
      </w:r>
    </w:p>
    <w:p w14:paraId="5D04132A" w14:textId="77777777" w:rsidR="00842324" w:rsidRDefault="00000000">
      <w:r>
        <w:pict w14:anchorId="5D041607">
          <v:rect id="_x0000_i1073" style="width:0;height:1.5pt" o:hralign="center" o:hrstd="t" o:hr="t"/>
        </w:pict>
      </w:r>
    </w:p>
    <w:p w14:paraId="5D04132B" w14:textId="77777777" w:rsidR="00842324" w:rsidRDefault="00000000">
      <w:pPr>
        <w:pStyle w:val="Heading2"/>
      </w:pPr>
      <w:bookmarkStart w:id="134" w:name="conformal-augmentation-results-reference"/>
      <w:bookmarkStart w:id="135" w:name="_Toc225682093"/>
      <w:bookmarkEnd w:id="128"/>
      <w:bookmarkEnd w:id="133"/>
      <w:r>
        <w:t>8. Conformal Augmentation Results (Reference)</w:t>
      </w:r>
      <w:bookmarkEnd w:id="135"/>
    </w:p>
    <w:p w14:paraId="5D04132C" w14:textId="77777777" w:rsidR="00842324" w:rsidRDefault="00000000">
      <w:pPr>
        <w:pStyle w:val="FirstParagraph"/>
      </w:pPr>
      <w:r>
        <w:rPr>
          <w:i/>
          <w:iCs/>
        </w:rPr>
        <w:t>Full conformal results are reported in 04_conformal_wrapping.ipynb. Key finding: base interval + conformal expansion achieves 89.9% empirical coverage against a 90% nominal target on the ENTSO-E development sample (n = 2,544 test observations), with a 12% width increase over the base interval — the best calibration–sharpness trade-off of all methods evaluated. See the notebook for full method comparison at α = 0.1 and α = 0.2.</w:t>
      </w:r>
    </w:p>
    <w:p w14:paraId="5D04132D" w14:textId="77777777" w:rsidR="00842324" w:rsidRDefault="00000000">
      <w:r>
        <w:pict w14:anchorId="5D041608">
          <v:rect id="_x0000_i1074" style="width:0;height:1.5pt" o:hralign="center" o:hrstd="t" o:hr="t"/>
        </w:pict>
      </w:r>
    </w:p>
    <w:p w14:paraId="5D04132E" w14:textId="77777777" w:rsidR="00842324" w:rsidRDefault="00000000">
      <w:pPr>
        <w:pStyle w:val="Heading2"/>
      </w:pPr>
      <w:bookmarkStart w:id="136" w:name="var-sensitivity-analysis-run_006"/>
      <w:bookmarkStart w:id="137" w:name="_Toc225682094"/>
      <w:bookmarkEnd w:id="134"/>
      <w:r>
        <w:t>9. VaR Sensitivity Analysis (run_006)</w:t>
      </w:r>
      <w:bookmarkEnd w:id="137"/>
    </w:p>
    <w:p w14:paraId="5D04132F" w14:textId="77777777" w:rsidR="00842324" w:rsidRDefault="00000000">
      <w:pPr>
        <w:pStyle w:val="FirstParagraph"/>
      </w:pPr>
      <w:r>
        <w:t>Two complementary economic distortion analyses are computed across all model classes and misspecification scenarios, quantifying the practical consequences of miscalibration in terms of regulatory capital and operational reserve sizing.</w:t>
      </w:r>
    </w:p>
    <w:p w14:paraId="5D041330" w14:textId="77777777" w:rsidR="00842324" w:rsidRDefault="00000000">
      <w:pPr>
        <w:pStyle w:val="Heading3"/>
      </w:pPr>
      <w:bookmarkStart w:id="138" w:name="capital-multiplier-distortion"/>
      <w:r>
        <w:t>9.1 Capital Multiplier Distortion</w:t>
      </w:r>
    </w:p>
    <w:p w14:paraId="5D041331" w14:textId="77777777" w:rsidR="00842324" w:rsidRDefault="00000000">
      <w:pPr>
        <w:pStyle w:val="FirstParagraph"/>
      </w:pPr>
      <w:r>
        <w:t xml:space="preserve">The Basel Committee (1996) traffic-light framework maps exception counts in a 250-day evaluation window to capital multiplier zones. Applying this framework at 90% coverage (10% nominal breach rate) requires an adaptation: a perfectly calibrated model already produces 250 × 0.10 = 25 exceptions, far above Basel’s raw RED threshold of 10. The adapted mapping therefore operates on </w:t>
      </w:r>
      <w:r>
        <w:rPr>
          <w:i/>
          <w:iCs/>
        </w:rPr>
        <w:t>excess exceptions</w:t>
      </w:r>
      <w:r>
        <w:t xml:space="preserve"> above the nominal expectation of 25, with GREEN defined as ±2 excess, YELLOW as +3 to +8, and RED above +8 — an adaptation of the original Basel zones (Basel Committee, 1996; McNeil, Frey and Embrechts, 2005) to the probabilistic forecasting context.</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842324" w14:paraId="5D041339"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1131" w:type="dxa"/>
          </w:tcPr>
          <w:p w14:paraId="5D041332" w14:textId="77777777" w:rsidR="00842324" w:rsidRDefault="00000000">
            <w:pPr>
              <w:pStyle w:val="Compact"/>
            </w:pPr>
            <w:r>
              <w:t>Dataset</w:t>
            </w:r>
          </w:p>
        </w:tc>
        <w:tc>
          <w:tcPr>
            <w:tcW w:w="1131" w:type="dxa"/>
          </w:tcPr>
          <w:p w14:paraId="5D041333" w14:textId="77777777" w:rsidR="00842324" w:rsidRDefault="00000000">
            <w:pPr>
              <w:pStyle w:val="Compact"/>
            </w:pPr>
            <w:r>
              <w:t>Gov Label</w:t>
            </w:r>
          </w:p>
        </w:tc>
        <w:tc>
          <w:tcPr>
            <w:tcW w:w="1131" w:type="dxa"/>
          </w:tcPr>
          <w:p w14:paraId="5D041334" w14:textId="77777777" w:rsidR="00842324" w:rsidRDefault="00000000">
            <w:pPr>
              <w:pStyle w:val="Compact"/>
            </w:pPr>
            <w:r>
              <w:t>Adapted Zone</w:t>
            </w:r>
          </w:p>
        </w:tc>
        <w:tc>
          <w:tcPr>
            <w:tcW w:w="1131" w:type="dxa"/>
          </w:tcPr>
          <w:p w14:paraId="5D041335" w14:textId="77777777" w:rsidR="00842324" w:rsidRDefault="00000000">
            <w:pPr>
              <w:pStyle w:val="Compact"/>
            </w:pPr>
            <w:r>
              <w:t>Actual Exc</w:t>
            </w:r>
          </w:p>
        </w:tc>
        <w:tc>
          <w:tcPr>
            <w:tcW w:w="1131" w:type="dxa"/>
          </w:tcPr>
          <w:p w14:paraId="5D041336" w14:textId="77777777" w:rsidR="00842324" w:rsidRDefault="00000000">
            <w:pPr>
              <w:pStyle w:val="Compact"/>
            </w:pPr>
            <w:r>
              <w:t>Excess</w:t>
            </w:r>
          </w:p>
        </w:tc>
        <w:tc>
          <w:tcPr>
            <w:tcW w:w="1131" w:type="dxa"/>
          </w:tcPr>
          <w:p w14:paraId="5D041337" w14:textId="77777777" w:rsidR="00842324" w:rsidRDefault="00000000">
            <w:pPr>
              <w:pStyle w:val="Compact"/>
            </w:pPr>
            <w:r>
              <w:t>Multiplier</w:t>
            </w:r>
          </w:p>
        </w:tc>
        <w:tc>
          <w:tcPr>
            <w:tcW w:w="1131" w:type="dxa"/>
          </w:tcPr>
          <w:p w14:paraId="5D041338" w14:textId="77777777" w:rsidR="00842324" w:rsidRDefault="00000000">
            <w:pPr>
              <w:pStyle w:val="Compact"/>
            </w:pPr>
            <w:r>
              <w:t>Distortion</w:t>
            </w:r>
          </w:p>
        </w:tc>
      </w:tr>
      <w:tr w:rsidR="00842324" w14:paraId="5D041341" w14:textId="77777777">
        <w:tc>
          <w:tcPr>
            <w:tcW w:w="1131" w:type="dxa"/>
          </w:tcPr>
          <w:p w14:paraId="5D04133A" w14:textId="77777777" w:rsidR="00842324" w:rsidRDefault="00000000">
            <w:pPr>
              <w:pStyle w:val="Compact"/>
            </w:pPr>
            <w:r>
              <w:t>ENTSO-E</w:t>
            </w:r>
          </w:p>
        </w:tc>
        <w:tc>
          <w:tcPr>
            <w:tcW w:w="1131" w:type="dxa"/>
          </w:tcPr>
          <w:p w14:paraId="5D04133B" w14:textId="77777777" w:rsidR="00842324" w:rsidRDefault="00000000">
            <w:pPr>
              <w:pStyle w:val="Compact"/>
            </w:pPr>
            <w:r>
              <w:t>RED</w:t>
            </w:r>
          </w:p>
        </w:tc>
        <w:tc>
          <w:tcPr>
            <w:tcW w:w="1131" w:type="dxa"/>
          </w:tcPr>
          <w:p w14:paraId="5D04133C" w14:textId="77777777" w:rsidR="00842324" w:rsidRDefault="00000000">
            <w:pPr>
              <w:pStyle w:val="Compact"/>
            </w:pPr>
            <w:r>
              <w:t>YELLOW</w:t>
            </w:r>
          </w:p>
        </w:tc>
        <w:tc>
          <w:tcPr>
            <w:tcW w:w="1131" w:type="dxa"/>
          </w:tcPr>
          <w:p w14:paraId="5D04133D" w14:textId="77777777" w:rsidR="00842324" w:rsidRDefault="00000000">
            <w:pPr>
              <w:pStyle w:val="Compact"/>
            </w:pPr>
            <w:r>
              <w:t>32.3</w:t>
            </w:r>
          </w:p>
        </w:tc>
        <w:tc>
          <w:tcPr>
            <w:tcW w:w="1131" w:type="dxa"/>
          </w:tcPr>
          <w:p w14:paraId="5D04133E" w14:textId="77777777" w:rsidR="00842324" w:rsidRDefault="00000000">
            <w:pPr>
              <w:pStyle w:val="Compact"/>
            </w:pPr>
            <w:r>
              <w:t>+7.3</w:t>
            </w:r>
          </w:p>
        </w:tc>
        <w:tc>
          <w:tcPr>
            <w:tcW w:w="1131" w:type="dxa"/>
          </w:tcPr>
          <w:p w14:paraId="5D04133F" w14:textId="77777777" w:rsidR="00842324" w:rsidRDefault="00000000">
            <w:pPr>
              <w:pStyle w:val="Compact"/>
            </w:pPr>
            <w:r>
              <w:t>3.40</w:t>
            </w:r>
          </w:p>
        </w:tc>
        <w:tc>
          <w:tcPr>
            <w:tcW w:w="1131" w:type="dxa"/>
          </w:tcPr>
          <w:p w14:paraId="5D041340" w14:textId="77777777" w:rsidR="00842324" w:rsidRDefault="00000000">
            <w:pPr>
              <w:pStyle w:val="Compact"/>
            </w:pPr>
            <w:r>
              <w:t>+13.3%</w:t>
            </w:r>
          </w:p>
        </w:tc>
      </w:tr>
      <w:tr w:rsidR="00842324" w14:paraId="5D041349" w14:textId="77777777">
        <w:tc>
          <w:tcPr>
            <w:tcW w:w="1131" w:type="dxa"/>
          </w:tcPr>
          <w:p w14:paraId="5D041342" w14:textId="77777777" w:rsidR="00842324" w:rsidRDefault="00000000">
            <w:pPr>
              <w:pStyle w:val="Compact"/>
            </w:pPr>
            <w:r>
              <w:t>PV Solar</w:t>
            </w:r>
          </w:p>
        </w:tc>
        <w:tc>
          <w:tcPr>
            <w:tcW w:w="1131" w:type="dxa"/>
          </w:tcPr>
          <w:p w14:paraId="5D041343" w14:textId="77777777" w:rsidR="00842324" w:rsidRDefault="00000000">
            <w:pPr>
              <w:pStyle w:val="Compact"/>
            </w:pPr>
            <w:r>
              <w:t>RED</w:t>
            </w:r>
          </w:p>
        </w:tc>
        <w:tc>
          <w:tcPr>
            <w:tcW w:w="1131" w:type="dxa"/>
          </w:tcPr>
          <w:p w14:paraId="5D041344" w14:textId="77777777" w:rsidR="00842324" w:rsidRDefault="00000000">
            <w:pPr>
              <w:pStyle w:val="Compact"/>
            </w:pPr>
            <w:r>
              <w:t>CONSERVATIVE</w:t>
            </w:r>
          </w:p>
        </w:tc>
        <w:tc>
          <w:tcPr>
            <w:tcW w:w="1131" w:type="dxa"/>
          </w:tcPr>
          <w:p w14:paraId="5D041345" w14:textId="77777777" w:rsidR="00842324" w:rsidRDefault="00000000">
            <w:pPr>
              <w:pStyle w:val="Compact"/>
            </w:pPr>
            <w:r>
              <w:t>21.6</w:t>
            </w:r>
          </w:p>
        </w:tc>
        <w:tc>
          <w:tcPr>
            <w:tcW w:w="1131" w:type="dxa"/>
          </w:tcPr>
          <w:p w14:paraId="5D041346" w14:textId="77777777" w:rsidR="00842324" w:rsidRDefault="00000000">
            <w:pPr>
              <w:pStyle w:val="Compact"/>
            </w:pPr>
            <w:r>
              <w:t>−3.4</w:t>
            </w:r>
          </w:p>
        </w:tc>
        <w:tc>
          <w:tcPr>
            <w:tcW w:w="1131" w:type="dxa"/>
          </w:tcPr>
          <w:p w14:paraId="5D041347" w14:textId="77777777" w:rsidR="00842324" w:rsidRDefault="00000000">
            <w:pPr>
              <w:pStyle w:val="Compact"/>
            </w:pPr>
            <w:r>
              <w:t>2.80</w:t>
            </w:r>
          </w:p>
        </w:tc>
        <w:tc>
          <w:tcPr>
            <w:tcW w:w="1131" w:type="dxa"/>
          </w:tcPr>
          <w:p w14:paraId="5D041348" w14:textId="77777777" w:rsidR="00842324" w:rsidRDefault="00000000">
            <w:pPr>
              <w:pStyle w:val="Compact"/>
            </w:pPr>
            <w:r>
              <w:t>−6.7%</w:t>
            </w:r>
          </w:p>
        </w:tc>
      </w:tr>
      <w:tr w:rsidR="00842324" w14:paraId="5D041351" w14:textId="77777777">
        <w:tc>
          <w:tcPr>
            <w:tcW w:w="1131" w:type="dxa"/>
          </w:tcPr>
          <w:p w14:paraId="5D04134A" w14:textId="77777777" w:rsidR="00842324" w:rsidRDefault="00000000">
            <w:pPr>
              <w:pStyle w:val="Compact"/>
            </w:pPr>
            <w:r>
              <w:lastRenderedPageBreak/>
              <w:t>Wind</w:t>
            </w:r>
          </w:p>
        </w:tc>
        <w:tc>
          <w:tcPr>
            <w:tcW w:w="1131" w:type="dxa"/>
          </w:tcPr>
          <w:p w14:paraId="5D04134B" w14:textId="77777777" w:rsidR="00842324" w:rsidRDefault="00000000">
            <w:pPr>
              <w:pStyle w:val="Compact"/>
            </w:pPr>
            <w:r>
              <w:t>RED</w:t>
            </w:r>
          </w:p>
        </w:tc>
        <w:tc>
          <w:tcPr>
            <w:tcW w:w="1131" w:type="dxa"/>
          </w:tcPr>
          <w:p w14:paraId="5D04134C" w14:textId="77777777" w:rsidR="00842324" w:rsidRDefault="00000000">
            <w:pPr>
              <w:pStyle w:val="Compact"/>
            </w:pPr>
            <w:r>
              <w:t>YELLOW</w:t>
            </w:r>
          </w:p>
        </w:tc>
        <w:tc>
          <w:tcPr>
            <w:tcW w:w="1131" w:type="dxa"/>
          </w:tcPr>
          <w:p w14:paraId="5D04134D" w14:textId="77777777" w:rsidR="00842324" w:rsidRDefault="00000000">
            <w:pPr>
              <w:pStyle w:val="Compact"/>
            </w:pPr>
            <w:r>
              <w:t>28.4</w:t>
            </w:r>
          </w:p>
        </w:tc>
        <w:tc>
          <w:tcPr>
            <w:tcW w:w="1131" w:type="dxa"/>
          </w:tcPr>
          <w:p w14:paraId="5D04134E" w14:textId="77777777" w:rsidR="00842324" w:rsidRDefault="00000000">
            <w:pPr>
              <w:pStyle w:val="Compact"/>
            </w:pPr>
            <w:r>
              <w:t>+3.4</w:t>
            </w:r>
          </w:p>
        </w:tc>
        <w:tc>
          <w:tcPr>
            <w:tcW w:w="1131" w:type="dxa"/>
          </w:tcPr>
          <w:p w14:paraId="5D04134F" w14:textId="77777777" w:rsidR="00842324" w:rsidRDefault="00000000">
            <w:pPr>
              <w:pStyle w:val="Compact"/>
            </w:pPr>
            <w:r>
              <w:t>3.40</w:t>
            </w:r>
          </w:p>
        </w:tc>
        <w:tc>
          <w:tcPr>
            <w:tcW w:w="1131" w:type="dxa"/>
          </w:tcPr>
          <w:p w14:paraId="5D041350" w14:textId="77777777" w:rsidR="00842324" w:rsidRDefault="00000000">
            <w:pPr>
              <w:pStyle w:val="Compact"/>
            </w:pPr>
            <w:r>
              <w:t>+13.3%</w:t>
            </w:r>
          </w:p>
        </w:tc>
      </w:tr>
      <w:tr w:rsidR="00842324" w14:paraId="5D041359" w14:textId="77777777">
        <w:tc>
          <w:tcPr>
            <w:tcW w:w="1131" w:type="dxa"/>
          </w:tcPr>
          <w:p w14:paraId="5D041352" w14:textId="77777777" w:rsidR="00842324" w:rsidRDefault="00000000">
            <w:pPr>
              <w:pStyle w:val="Compact"/>
            </w:pPr>
            <w:r>
              <w:t>Sim Price (well-spec)</w:t>
            </w:r>
          </w:p>
        </w:tc>
        <w:tc>
          <w:tcPr>
            <w:tcW w:w="1131" w:type="dxa"/>
          </w:tcPr>
          <w:p w14:paraId="5D041353" w14:textId="77777777" w:rsidR="00842324" w:rsidRDefault="00000000">
            <w:pPr>
              <w:pStyle w:val="Compact"/>
            </w:pPr>
            <w:r>
              <w:t>GREEN</w:t>
            </w:r>
          </w:p>
        </w:tc>
        <w:tc>
          <w:tcPr>
            <w:tcW w:w="1131" w:type="dxa"/>
          </w:tcPr>
          <w:p w14:paraId="5D041354" w14:textId="77777777" w:rsidR="00842324" w:rsidRDefault="00000000">
            <w:pPr>
              <w:pStyle w:val="Compact"/>
            </w:pPr>
            <w:r>
              <w:t>YELLOW</w:t>
            </w:r>
          </w:p>
        </w:tc>
        <w:tc>
          <w:tcPr>
            <w:tcW w:w="1131" w:type="dxa"/>
          </w:tcPr>
          <w:p w14:paraId="5D041355" w14:textId="77777777" w:rsidR="00842324" w:rsidRDefault="00000000">
            <w:pPr>
              <w:pStyle w:val="Compact"/>
            </w:pPr>
            <w:r>
              <w:t>28.8</w:t>
            </w:r>
          </w:p>
        </w:tc>
        <w:tc>
          <w:tcPr>
            <w:tcW w:w="1131" w:type="dxa"/>
          </w:tcPr>
          <w:p w14:paraId="5D041356" w14:textId="77777777" w:rsidR="00842324" w:rsidRDefault="00000000">
            <w:pPr>
              <w:pStyle w:val="Compact"/>
            </w:pPr>
            <w:r>
              <w:t>+3.8</w:t>
            </w:r>
          </w:p>
        </w:tc>
        <w:tc>
          <w:tcPr>
            <w:tcW w:w="1131" w:type="dxa"/>
          </w:tcPr>
          <w:p w14:paraId="5D041357" w14:textId="77777777" w:rsidR="00842324" w:rsidRDefault="00000000">
            <w:pPr>
              <w:pStyle w:val="Compact"/>
            </w:pPr>
            <w:r>
              <w:t>3.40</w:t>
            </w:r>
          </w:p>
        </w:tc>
        <w:tc>
          <w:tcPr>
            <w:tcW w:w="1131" w:type="dxa"/>
          </w:tcPr>
          <w:p w14:paraId="5D041358" w14:textId="77777777" w:rsidR="00842324" w:rsidRDefault="00000000">
            <w:pPr>
              <w:pStyle w:val="Compact"/>
            </w:pPr>
            <w:r>
              <w:t>+13.3%</w:t>
            </w:r>
          </w:p>
        </w:tc>
      </w:tr>
      <w:tr w:rsidR="00842324" w14:paraId="5D041361" w14:textId="77777777">
        <w:tc>
          <w:tcPr>
            <w:tcW w:w="1131" w:type="dxa"/>
          </w:tcPr>
          <w:p w14:paraId="5D04135A" w14:textId="77777777" w:rsidR="00842324" w:rsidRDefault="00000000">
            <w:pPr>
              <w:pStyle w:val="Compact"/>
            </w:pPr>
            <w:r>
              <w:t>Sim Temp (well-spec)</w:t>
            </w:r>
          </w:p>
        </w:tc>
        <w:tc>
          <w:tcPr>
            <w:tcW w:w="1131" w:type="dxa"/>
          </w:tcPr>
          <w:p w14:paraId="5D04135B" w14:textId="77777777" w:rsidR="00842324" w:rsidRDefault="00000000">
            <w:pPr>
              <w:pStyle w:val="Compact"/>
            </w:pPr>
            <w:r>
              <w:t>GREEN</w:t>
            </w:r>
          </w:p>
        </w:tc>
        <w:tc>
          <w:tcPr>
            <w:tcW w:w="1131" w:type="dxa"/>
          </w:tcPr>
          <w:p w14:paraId="5D04135C" w14:textId="77777777" w:rsidR="00842324" w:rsidRDefault="00000000">
            <w:pPr>
              <w:pStyle w:val="Compact"/>
            </w:pPr>
            <w:r>
              <w:t>GREEN</w:t>
            </w:r>
          </w:p>
        </w:tc>
        <w:tc>
          <w:tcPr>
            <w:tcW w:w="1131" w:type="dxa"/>
          </w:tcPr>
          <w:p w14:paraId="5D04135D" w14:textId="77777777" w:rsidR="00842324" w:rsidRDefault="00000000">
            <w:pPr>
              <w:pStyle w:val="Compact"/>
            </w:pPr>
            <w:r>
              <w:t>26.0</w:t>
            </w:r>
          </w:p>
        </w:tc>
        <w:tc>
          <w:tcPr>
            <w:tcW w:w="1131" w:type="dxa"/>
          </w:tcPr>
          <w:p w14:paraId="5D04135E" w14:textId="77777777" w:rsidR="00842324" w:rsidRDefault="00000000">
            <w:pPr>
              <w:pStyle w:val="Compact"/>
            </w:pPr>
            <w:r>
              <w:t>+1.0</w:t>
            </w:r>
          </w:p>
        </w:tc>
        <w:tc>
          <w:tcPr>
            <w:tcW w:w="1131" w:type="dxa"/>
          </w:tcPr>
          <w:p w14:paraId="5D04135F" w14:textId="77777777" w:rsidR="00842324" w:rsidRDefault="00000000">
            <w:pPr>
              <w:pStyle w:val="Compact"/>
            </w:pPr>
            <w:r>
              <w:t>3.00</w:t>
            </w:r>
          </w:p>
        </w:tc>
        <w:tc>
          <w:tcPr>
            <w:tcW w:w="1131" w:type="dxa"/>
          </w:tcPr>
          <w:p w14:paraId="5D041360" w14:textId="77777777" w:rsidR="00842324" w:rsidRDefault="00000000">
            <w:pPr>
              <w:pStyle w:val="Compact"/>
            </w:pPr>
            <w:r>
              <w:t>0.0%</w:t>
            </w:r>
          </w:p>
        </w:tc>
      </w:tr>
      <w:tr w:rsidR="00842324" w14:paraId="5D041369" w14:textId="77777777">
        <w:tc>
          <w:tcPr>
            <w:tcW w:w="1131" w:type="dxa"/>
          </w:tcPr>
          <w:p w14:paraId="5D041362" w14:textId="77777777" w:rsidR="00842324" w:rsidRDefault="00000000">
            <w:pPr>
              <w:pStyle w:val="Compact"/>
            </w:pPr>
            <w:r>
              <w:t>Sim Price — Var Inflation</w:t>
            </w:r>
          </w:p>
        </w:tc>
        <w:tc>
          <w:tcPr>
            <w:tcW w:w="1131" w:type="dxa"/>
          </w:tcPr>
          <w:p w14:paraId="5D041363" w14:textId="77777777" w:rsidR="00842324" w:rsidRDefault="00000000">
            <w:pPr>
              <w:pStyle w:val="Compact"/>
            </w:pPr>
            <w:r>
              <w:t>RED</w:t>
            </w:r>
          </w:p>
        </w:tc>
        <w:tc>
          <w:tcPr>
            <w:tcW w:w="1131" w:type="dxa"/>
          </w:tcPr>
          <w:p w14:paraId="5D041364" w14:textId="77777777" w:rsidR="00842324" w:rsidRDefault="00000000">
            <w:pPr>
              <w:pStyle w:val="Compact"/>
            </w:pPr>
            <w:r>
              <w:t>RED</w:t>
            </w:r>
          </w:p>
        </w:tc>
        <w:tc>
          <w:tcPr>
            <w:tcW w:w="1131" w:type="dxa"/>
          </w:tcPr>
          <w:p w14:paraId="5D041365" w14:textId="77777777" w:rsidR="00842324" w:rsidRDefault="00000000">
            <w:pPr>
              <w:pStyle w:val="Compact"/>
            </w:pPr>
            <w:r>
              <w:t>111.6</w:t>
            </w:r>
          </w:p>
        </w:tc>
        <w:tc>
          <w:tcPr>
            <w:tcW w:w="1131" w:type="dxa"/>
          </w:tcPr>
          <w:p w14:paraId="5D041366" w14:textId="77777777" w:rsidR="00842324" w:rsidRDefault="00000000">
            <w:pPr>
              <w:pStyle w:val="Compact"/>
            </w:pPr>
            <w:r>
              <w:t>+86.6</w:t>
            </w:r>
          </w:p>
        </w:tc>
        <w:tc>
          <w:tcPr>
            <w:tcW w:w="1131" w:type="dxa"/>
          </w:tcPr>
          <w:p w14:paraId="5D041367" w14:textId="77777777" w:rsidR="00842324" w:rsidRDefault="00000000">
            <w:pPr>
              <w:pStyle w:val="Compact"/>
            </w:pPr>
            <w:r>
              <w:t>4.00</w:t>
            </w:r>
          </w:p>
        </w:tc>
        <w:tc>
          <w:tcPr>
            <w:tcW w:w="1131" w:type="dxa"/>
          </w:tcPr>
          <w:p w14:paraId="5D041368" w14:textId="77777777" w:rsidR="00842324" w:rsidRDefault="00000000">
            <w:pPr>
              <w:pStyle w:val="Compact"/>
            </w:pPr>
            <w:r>
              <w:t>+33.3%</w:t>
            </w:r>
          </w:p>
        </w:tc>
      </w:tr>
      <w:tr w:rsidR="00842324" w14:paraId="5D041371" w14:textId="77777777">
        <w:tc>
          <w:tcPr>
            <w:tcW w:w="1131" w:type="dxa"/>
          </w:tcPr>
          <w:p w14:paraId="5D04136A" w14:textId="77777777" w:rsidR="00842324" w:rsidRDefault="00000000">
            <w:pPr>
              <w:pStyle w:val="Compact"/>
            </w:pPr>
            <w:r>
              <w:t>Sim Price — Mean Bias</w:t>
            </w:r>
          </w:p>
        </w:tc>
        <w:tc>
          <w:tcPr>
            <w:tcW w:w="1131" w:type="dxa"/>
          </w:tcPr>
          <w:p w14:paraId="5D04136B" w14:textId="77777777" w:rsidR="00842324" w:rsidRDefault="00000000">
            <w:pPr>
              <w:pStyle w:val="Compact"/>
            </w:pPr>
            <w:r>
              <w:t>RED</w:t>
            </w:r>
          </w:p>
        </w:tc>
        <w:tc>
          <w:tcPr>
            <w:tcW w:w="1131" w:type="dxa"/>
          </w:tcPr>
          <w:p w14:paraId="5D04136C" w14:textId="77777777" w:rsidR="00842324" w:rsidRDefault="00000000">
            <w:pPr>
              <w:pStyle w:val="Compact"/>
            </w:pPr>
            <w:r>
              <w:t>RED</w:t>
            </w:r>
          </w:p>
        </w:tc>
        <w:tc>
          <w:tcPr>
            <w:tcW w:w="1131" w:type="dxa"/>
          </w:tcPr>
          <w:p w14:paraId="5D04136D" w14:textId="77777777" w:rsidR="00842324" w:rsidRDefault="00000000">
            <w:pPr>
              <w:pStyle w:val="Compact"/>
            </w:pPr>
            <w:r>
              <w:t>74.0</w:t>
            </w:r>
          </w:p>
        </w:tc>
        <w:tc>
          <w:tcPr>
            <w:tcW w:w="1131" w:type="dxa"/>
          </w:tcPr>
          <w:p w14:paraId="5D04136E" w14:textId="77777777" w:rsidR="00842324" w:rsidRDefault="00000000">
            <w:pPr>
              <w:pStyle w:val="Compact"/>
            </w:pPr>
            <w:r>
              <w:t>+49.0</w:t>
            </w:r>
          </w:p>
        </w:tc>
        <w:tc>
          <w:tcPr>
            <w:tcW w:w="1131" w:type="dxa"/>
          </w:tcPr>
          <w:p w14:paraId="5D04136F" w14:textId="77777777" w:rsidR="00842324" w:rsidRDefault="00000000">
            <w:pPr>
              <w:pStyle w:val="Compact"/>
            </w:pPr>
            <w:r>
              <w:t>4.00</w:t>
            </w:r>
          </w:p>
        </w:tc>
        <w:tc>
          <w:tcPr>
            <w:tcW w:w="1131" w:type="dxa"/>
          </w:tcPr>
          <w:p w14:paraId="5D041370" w14:textId="77777777" w:rsidR="00842324" w:rsidRDefault="00000000">
            <w:pPr>
              <w:pStyle w:val="Compact"/>
            </w:pPr>
            <w:r>
              <w:t>+33.3%</w:t>
            </w:r>
          </w:p>
        </w:tc>
      </w:tr>
      <w:tr w:rsidR="00842324" w14:paraId="5D041379" w14:textId="77777777">
        <w:tc>
          <w:tcPr>
            <w:tcW w:w="1131" w:type="dxa"/>
          </w:tcPr>
          <w:p w14:paraId="5D041372" w14:textId="77777777" w:rsidR="00842324" w:rsidRDefault="00000000">
            <w:pPr>
              <w:pStyle w:val="Compact"/>
            </w:pPr>
            <w:r>
              <w:t>Sim Price — Heavy Tails</w:t>
            </w:r>
          </w:p>
        </w:tc>
        <w:tc>
          <w:tcPr>
            <w:tcW w:w="1131" w:type="dxa"/>
          </w:tcPr>
          <w:p w14:paraId="5D041373" w14:textId="77777777" w:rsidR="00842324" w:rsidRDefault="00000000">
            <w:pPr>
              <w:pStyle w:val="Compact"/>
            </w:pPr>
            <w:r>
              <w:t>GREEN</w:t>
            </w:r>
          </w:p>
        </w:tc>
        <w:tc>
          <w:tcPr>
            <w:tcW w:w="1131" w:type="dxa"/>
          </w:tcPr>
          <w:p w14:paraId="5D041374" w14:textId="77777777" w:rsidR="00842324" w:rsidRDefault="00000000">
            <w:pPr>
              <w:pStyle w:val="Compact"/>
            </w:pPr>
            <w:r>
              <w:t>GREEN</w:t>
            </w:r>
          </w:p>
        </w:tc>
        <w:tc>
          <w:tcPr>
            <w:tcW w:w="1131" w:type="dxa"/>
          </w:tcPr>
          <w:p w14:paraId="5D041375" w14:textId="77777777" w:rsidR="00842324" w:rsidRDefault="00000000">
            <w:pPr>
              <w:pStyle w:val="Compact"/>
            </w:pPr>
            <w:r>
              <w:t>24.7</w:t>
            </w:r>
          </w:p>
        </w:tc>
        <w:tc>
          <w:tcPr>
            <w:tcW w:w="1131" w:type="dxa"/>
          </w:tcPr>
          <w:p w14:paraId="5D041376" w14:textId="77777777" w:rsidR="00842324" w:rsidRDefault="00000000">
            <w:pPr>
              <w:pStyle w:val="Compact"/>
            </w:pPr>
            <w:r>
              <w:t>−0.3</w:t>
            </w:r>
          </w:p>
        </w:tc>
        <w:tc>
          <w:tcPr>
            <w:tcW w:w="1131" w:type="dxa"/>
          </w:tcPr>
          <w:p w14:paraId="5D041377" w14:textId="77777777" w:rsidR="00842324" w:rsidRDefault="00000000">
            <w:pPr>
              <w:pStyle w:val="Compact"/>
            </w:pPr>
            <w:r>
              <w:t>3.00</w:t>
            </w:r>
          </w:p>
        </w:tc>
        <w:tc>
          <w:tcPr>
            <w:tcW w:w="1131" w:type="dxa"/>
          </w:tcPr>
          <w:p w14:paraId="5D041378" w14:textId="77777777" w:rsidR="00842324" w:rsidRDefault="00000000">
            <w:pPr>
              <w:pStyle w:val="Compact"/>
            </w:pPr>
            <w:r>
              <w:t>0.0%</w:t>
            </w:r>
          </w:p>
        </w:tc>
      </w:tr>
      <w:tr w:rsidR="00842324" w14:paraId="5D041381" w14:textId="77777777">
        <w:tc>
          <w:tcPr>
            <w:tcW w:w="1131" w:type="dxa"/>
          </w:tcPr>
          <w:p w14:paraId="5D04137A" w14:textId="77777777" w:rsidR="00842324" w:rsidRDefault="00000000">
            <w:pPr>
              <w:pStyle w:val="Compact"/>
            </w:pPr>
            <w:r>
              <w:t>Sim Temp — Var Inflation</w:t>
            </w:r>
          </w:p>
        </w:tc>
        <w:tc>
          <w:tcPr>
            <w:tcW w:w="1131" w:type="dxa"/>
          </w:tcPr>
          <w:p w14:paraId="5D04137B" w14:textId="77777777" w:rsidR="00842324" w:rsidRDefault="00000000">
            <w:pPr>
              <w:pStyle w:val="Compact"/>
            </w:pPr>
            <w:r>
              <w:t>RED</w:t>
            </w:r>
          </w:p>
        </w:tc>
        <w:tc>
          <w:tcPr>
            <w:tcW w:w="1131" w:type="dxa"/>
          </w:tcPr>
          <w:p w14:paraId="5D04137C" w14:textId="77777777" w:rsidR="00842324" w:rsidRDefault="00000000">
            <w:pPr>
              <w:pStyle w:val="Compact"/>
            </w:pPr>
            <w:r>
              <w:t>RED</w:t>
            </w:r>
          </w:p>
        </w:tc>
        <w:tc>
          <w:tcPr>
            <w:tcW w:w="1131" w:type="dxa"/>
          </w:tcPr>
          <w:p w14:paraId="5D04137D" w14:textId="77777777" w:rsidR="00842324" w:rsidRDefault="00000000">
            <w:pPr>
              <w:pStyle w:val="Compact"/>
            </w:pPr>
            <w:r>
              <w:t>93.8</w:t>
            </w:r>
          </w:p>
        </w:tc>
        <w:tc>
          <w:tcPr>
            <w:tcW w:w="1131" w:type="dxa"/>
          </w:tcPr>
          <w:p w14:paraId="5D04137E" w14:textId="77777777" w:rsidR="00842324" w:rsidRDefault="00000000">
            <w:pPr>
              <w:pStyle w:val="Compact"/>
            </w:pPr>
            <w:r>
              <w:t>+68.8</w:t>
            </w:r>
          </w:p>
        </w:tc>
        <w:tc>
          <w:tcPr>
            <w:tcW w:w="1131" w:type="dxa"/>
          </w:tcPr>
          <w:p w14:paraId="5D04137F" w14:textId="77777777" w:rsidR="00842324" w:rsidRDefault="00000000">
            <w:pPr>
              <w:pStyle w:val="Compact"/>
            </w:pPr>
            <w:r>
              <w:t>4.00</w:t>
            </w:r>
          </w:p>
        </w:tc>
        <w:tc>
          <w:tcPr>
            <w:tcW w:w="1131" w:type="dxa"/>
          </w:tcPr>
          <w:p w14:paraId="5D041380" w14:textId="77777777" w:rsidR="00842324" w:rsidRDefault="00000000">
            <w:pPr>
              <w:pStyle w:val="Compact"/>
            </w:pPr>
            <w:r>
              <w:t>+33.3%</w:t>
            </w:r>
          </w:p>
        </w:tc>
      </w:tr>
      <w:tr w:rsidR="00842324" w14:paraId="5D041389" w14:textId="77777777">
        <w:tc>
          <w:tcPr>
            <w:tcW w:w="1131" w:type="dxa"/>
          </w:tcPr>
          <w:p w14:paraId="5D041382" w14:textId="77777777" w:rsidR="00842324" w:rsidRDefault="00000000">
            <w:pPr>
              <w:pStyle w:val="Compact"/>
            </w:pPr>
            <w:r>
              <w:t>Sim Temp — Mean Bias</w:t>
            </w:r>
          </w:p>
        </w:tc>
        <w:tc>
          <w:tcPr>
            <w:tcW w:w="1131" w:type="dxa"/>
          </w:tcPr>
          <w:p w14:paraId="5D041383" w14:textId="77777777" w:rsidR="00842324" w:rsidRDefault="00000000">
            <w:pPr>
              <w:pStyle w:val="Compact"/>
            </w:pPr>
            <w:r>
              <w:t>RED</w:t>
            </w:r>
          </w:p>
        </w:tc>
        <w:tc>
          <w:tcPr>
            <w:tcW w:w="1131" w:type="dxa"/>
          </w:tcPr>
          <w:p w14:paraId="5D041384" w14:textId="77777777" w:rsidR="00842324" w:rsidRDefault="00000000">
            <w:pPr>
              <w:pStyle w:val="Compact"/>
            </w:pPr>
            <w:r>
              <w:t>RED</w:t>
            </w:r>
          </w:p>
        </w:tc>
        <w:tc>
          <w:tcPr>
            <w:tcW w:w="1131" w:type="dxa"/>
          </w:tcPr>
          <w:p w14:paraId="5D041385" w14:textId="77777777" w:rsidR="00842324" w:rsidRDefault="00000000">
            <w:pPr>
              <w:pStyle w:val="Compact"/>
            </w:pPr>
            <w:r>
              <w:t>74.0</w:t>
            </w:r>
          </w:p>
        </w:tc>
        <w:tc>
          <w:tcPr>
            <w:tcW w:w="1131" w:type="dxa"/>
          </w:tcPr>
          <w:p w14:paraId="5D041386" w14:textId="77777777" w:rsidR="00842324" w:rsidRDefault="00000000">
            <w:pPr>
              <w:pStyle w:val="Compact"/>
            </w:pPr>
            <w:r>
              <w:t>+49.0</w:t>
            </w:r>
          </w:p>
        </w:tc>
        <w:tc>
          <w:tcPr>
            <w:tcW w:w="1131" w:type="dxa"/>
          </w:tcPr>
          <w:p w14:paraId="5D041387" w14:textId="77777777" w:rsidR="00842324" w:rsidRDefault="00000000">
            <w:pPr>
              <w:pStyle w:val="Compact"/>
            </w:pPr>
            <w:r>
              <w:t>4.00</w:t>
            </w:r>
          </w:p>
        </w:tc>
        <w:tc>
          <w:tcPr>
            <w:tcW w:w="1131" w:type="dxa"/>
          </w:tcPr>
          <w:p w14:paraId="5D041388" w14:textId="77777777" w:rsidR="00842324" w:rsidRDefault="00000000">
            <w:pPr>
              <w:pStyle w:val="Compact"/>
            </w:pPr>
            <w:r>
              <w:t>+33.3%</w:t>
            </w:r>
          </w:p>
        </w:tc>
      </w:tr>
      <w:tr w:rsidR="00842324" w14:paraId="5D041391" w14:textId="77777777">
        <w:tc>
          <w:tcPr>
            <w:tcW w:w="1131" w:type="dxa"/>
          </w:tcPr>
          <w:p w14:paraId="5D04138A" w14:textId="77777777" w:rsidR="00842324" w:rsidRDefault="00000000">
            <w:pPr>
              <w:pStyle w:val="Compact"/>
            </w:pPr>
            <w:r>
              <w:t>Sim Temp — Heavy Tails</w:t>
            </w:r>
          </w:p>
        </w:tc>
        <w:tc>
          <w:tcPr>
            <w:tcW w:w="1131" w:type="dxa"/>
          </w:tcPr>
          <w:p w14:paraId="5D04138B" w14:textId="77777777" w:rsidR="00842324" w:rsidRDefault="00000000">
            <w:pPr>
              <w:pStyle w:val="Compact"/>
            </w:pPr>
            <w:r>
              <w:t>YELLOW</w:t>
            </w:r>
          </w:p>
        </w:tc>
        <w:tc>
          <w:tcPr>
            <w:tcW w:w="1131" w:type="dxa"/>
          </w:tcPr>
          <w:p w14:paraId="5D04138C" w14:textId="77777777" w:rsidR="00842324" w:rsidRDefault="00000000">
            <w:pPr>
              <w:pStyle w:val="Compact"/>
            </w:pPr>
            <w:r>
              <w:t>CONSERVATIVE</w:t>
            </w:r>
          </w:p>
        </w:tc>
        <w:tc>
          <w:tcPr>
            <w:tcW w:w="1131" w:type="dxa"/>
          </w:tcPr>
          <w:p w14:paraId="5D04138D" w14:textId="77777777" w:rsidR="00842324" w:rsidRDefault="00000000">
            <w:pPr>
              <w:pStyle w:val="Compact"/>
            </w:pPr>
            <w:r>
              <w:t>19.2</w:t>
            </w:r>
          </w:p>
        </w:tc>
        <w:tc>
          <w:tcPr>
            <w:tcW w:w="1131" w:type="dxa"/>
          </w:tcPr>
          <w:p w14:paraId="5D04138E" w14:textId="77777777" w:rsidR="00842324" w:rsidRDefault="00000000">
            <w:pPr>
              <w:pStyle w:val="Compact"/>
            </w:pPr>
            <w:r>
              <w:t>−5.8</w:t>
            </w:r>
          </w:p>
        </w:tc>
        <w:tc>
          <w:tcPr>
            <w:tcW w:w="1131" w:type="dxa"/>
          </w:tcPr>
          <w:p w14:paraId="5D04138F" w14:textId="77777777" w:rsidR="00842324" w:rsidRDefault="00000000">
            <w:pPr>
              <w:pStyle w:val="Compact"/>
            </w:pPr>
            <w:r>
              <w:t>2.80</w:t>
            </w:r>
          </w:p>
        </w:tc>
        <w:tc>
          <w:tcPr>
            <w:tcW w:w="1131" w:type="dxa"/>
          </w:tcPr>
          <w:p w14:paraId="5D041390" w14:textId="77777777" w:rsidR="00842324" w:rsidRDefault="00000000">
            <w:pPr>
              <w:pStyle w:val="Compact"/>
            </w:pPr>
            <w:r>
              <w:t>−6.7%</w:t>
            </w:r>
          </w:p>
        </w:tc>
      </w:tr>
    </w:tbl>
    <w:p w14:paraId="5D041392" w14:textId="77777777" w:rsidR="00842324" w:rsidRDefault="00000000">
      <w:pPr>
        <w:pStyle w:val="BodyText"/>
      </w:pPr>
      <w:r>
        <w:rPr>
          <w:b/>
          <w:bCs/>
        </w:rPr>
        <w:t>Key finding — PV divergence.</w:t>
      </w:r>
      <w:r>
        <w:t xml:space="preserve"> PV Solar receives a governance RED classification under the full diagnostic framework but maps to CONSERVATIVE under the capital multiplier analysis (−6.7% distortion). This divergence arises because PV’s empirical coverage is 91.4% — above nominal — making it appear over-conservative to a coverage-only regulatory framework. A pure coverage-based regime would reduce capital requirements for PV, while the full diagnostic framework correctly identifies systematic distributional misspecification and serial dependence. This is the clearest empirical demonstration that coverage metrics alone are insufficient for governance classification.</w:t>
      </w:r>
    </w:p>
    <w:p w14:paraId="5D041393" w14:textId="77777777" w:rsidR="00842324" w:rsidRDefault="00000000">
      <w:pPr>
        <w:pStyle w:val="BodyText"/>
      </w:pPr>
      <w:r>
        <w:rPr>
          <w:b/>
          <w:bCs/>
        </w:rPr>
        <w:t>Sampling noise at small n.</w:t>
      </w:r>
      <w:r>
        <w:t xml:space="preserve"> The well-specified simulation price series (governance GREEN) lands in the YELLOW capital zone (+3.8 excess) due to sampling noise at n = 365. The temperature series (GREEN, +1.0 excess) correctly maps to GREEN. This confirms that capital zone stability is sensitive to evaluation sample size at the margins — a governance policy implication for short evaluation horizons.</w:t>
      </w:r>
    </w:p>
    <w:p w14:paraId="5D041394" w14:textId="77777777" w:rsidR="00842324" w:rsidRDefault="00000000">
      <w:pPr>
        <w:pStyle w:val="BodyText"/>
      </w:pPr>
      <w:r>
        <w:rPr>
          <w:b/>
          <w:bCs/>
        </w:rPr>
        <w:lastRenderedPageBreak/>
        <w:t>Misspecification severity is proportional.</w:t>
      </w:r>
      <w:r>
        <w:t xml:space="preserve"> Variance inflation produces excess exceptions of +86.6 / +68.8 (price / temp), approximately 1.8× worse than mean bias (+49.0 for both). This ordering is consistent with the reserve sizing error results below.</w:t>
      </w:r>
    </w:p>
    <w:p w14:paraId="5D041395" w14:textId="77777777" w:rsidR="00842324" w:rsidRDefault="00000000">
      <w:r>
        <w:pict w14:anchorId="5D041609">
          <v:rect id="_x0000_i1075" style="width:0;height:1.5pt" o:hralign="center" o:hrstd="t" o:hr="t"/>
        </w:pict>
      </w:r>
    </w:p>
    <w:p w14:paraId="5D041396" w14:textId="77777777" w:rsidR="00842324" w:rsidRDefault="00000000">
      <w:pPr>
        <w:pStyle w:val="Heading3"/>
      </w:pPr>
      <w:bookmarkStart w:id="139" w:name="operational-reserve-sizing-error"/>
      <w:bookmarkEnd w:id="138"/>
      <w:r>
        <w:t>9.2 Operational Reserve Sizing Error</w:t>
      </w:r>
    </w:p>
    <w:tbl>
      <w:tblPr>
        <w:tblStyle w:val="Table"/>
        <w:tblW w:w="0" w:type="auto"/>
        <w:tblLook w:val="0020" w:firstRow="1" w:lastRow="0" w:firstColumn="0" w:lastColumn="0" w:noHBand="0" w:noVBand="0"/>
      </w:tblPr>
      <w:tblGrid>
        <w:gridCol w:w="2816"/>
        <w:gridCol w:w="1247"/>
        <w:gridCol w:w="1756"/>
        <w:gridCol w:w="2050"/>
      </w:tblGrid>
      <w:tr w:rsidR="00842324" w14:paraId="5D04139B"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397" w14:textId="77777777" w:rsidR="00842324" w:rsidRDefault="00000000">
            <w:pPr>
              <w:pStyle w:val="Compact"/>
            </w:pPr>
            <w:r>
              <w:t>Dataset</w:t>
            </w:r>
          </w:p>
        </w:tc>
        <w:tc>
          <w:tcPr>
            <w:tcW w:w="0" w:type="auto"/>
          </w:tcPr>
          <w:p w14:paraId="5D041398" w14:textId="77777777" w:rsidR="00842324" w:rsidRDefault="00000000">
            <w:pPr>
              <w:pStyle w:val="Compact"/>
            </w:pPr>
            <w:r>
              <w:t>Gov Label</w:t>
            </w:r>
          </w:p>
        </w:tc>
        <w:tc>
          <w:tcPr>
            <w:tcW w:w="0" w:type="auto"/>
          </w:tcPr>
          <w:p w14:paraId="5D041399" w14:textId="77777777" w:rsidR="00842324" w:rsidRDefault="00000000">
            <w:pPr>
              <w:pStyle w:val="Compact"/>
            </w:pPr>
            <w:r>
              <w:t>Coverage Error</w:t>
            </w:r>
          </w:p>
        </w:tc>
        <w:tc>
          <w:tcPr>
            <w:tcW w:w="0" w:type="auto"/>
          </w:tcPr>
          <w:p w14:paraId="5D04139A" w14:textId="77777777" w:rsidR="00842324" w:rsidRDefault="00000000">
            <w:pPr>
              <w:pStyle w:val="Compact"/>
            </w:pPr>
            <w:r>
              <w:t>Reserve Direction</w:t>
            </w:r>
          </w:p>
        </w:tc>
      </w:tr>
      <w:tr w:rsidR="00842324" w14:paraId="5D0413A0" w14:textId="77777777">
        <w:tc>
          <w:tcPr>
            <w:tcW w:w="0" w:type="auto"/>
          </w:tcPr>
          <w:p w14:paraId="5D04139C" w14:textId="77777777" w:rsidR="00842324" w:rsidRDefault="00000000">
            <w:pPr>
              <w:pStyle w:val="Compact"/>
            </w:pPr>
            <w:r>
              <w:t>ENTSO-E</w:t>
            </w:r>
          </w:p>
        </w:tc>
        <w:tc>
          <w:tcPr>
            <w:tcW w:w="0" w:type="auto"/>
          </w:tcPr>
          <w:p w14:paraId="5D04139D" w14:textId="77777777" w:rsidR="00842324" w:rsidRDefault="00000000">
            <w:pPr>
              <w:pStyle w:val="Compact"/>
            </w:pPr>
            <w:r>
              <w:t>RED</w:t>
            </w:r>
          </w:p>
        </w:tc>
        <w:tc>
          <w:tcPr>
            <w:tcW w:w="0" w:type="auto"/>
          </w:tcPr>
          <w:p w14:paraId="5D04139E" w14:textId="77777777" w:rsidR="00842324" w:rsidRDefault="00000000">
            <w:pPr>
              <w:pStyle w:val="Compact"/>
            </w:pPr>
            <w:r>
              <w:t>−2.94 pp</w:t>
            </w:r>
          </w:p>
        </w:tc>
        <w:tc>
          <w:tcPr>
            <w:tcW w:w="0" w:type="auto"/>
          </w:tcPr>
          <w:p w14:paraId="5D04139F" w14:textId="77777777" w:rsidR="00842324" w:rsidRDefault="00000000">
            <w:pPr>
              <w:pStyle w:val="Compact"/>
            </w:pPr>
            <w:r>
              <w:t>Undersized</w:t>
            </w:r>
          </w:p>
        </w:tc>
      </w:tr>
      <w:tr w:rsidR="00842324" w14:paraId="5D0413A5" w14:textId="77777777">
        <w:tc>
          <w:tcPr>
            <w:tcW w:w="0" w:type="auto"/>
          </w:tcPr>
          <w:p w14:paraId="5D0413A1" w14:textId="77777777" w:rsidR="00842324" w:rsidRDefault="00000000">
            <w:pPr>
              <w:pStyle w:val="Compact"/>
            </w:pPr>
            <w:r>
              <w:t>PV Solar</w:t>
            </w:r>
          </w:p>
        </w:tc>
        <w:tc>
          <w:tcPr>
            <w:tcW w:w="0" w:type="auto"/>
          </w:tcPr>
          <w:p w14:paraId="5D0413A2" w14:textId="77777777" w:rsidR="00842324" w:rsidRDefault="00000000">
            <w:pPr>
              <w:pStyle w:val="Compact"/>
            </w:pPr>
            <w:r>
              <w:t>RED</w:t>
            </w:r>
          </w:p>
        </w:tc>
        <w:tc>
          <w:tcPr>
            <w:tcW w:w="0" w:type="auto"/>
          </w:tcPr>
          <w:p w14:paraId="5D0413A3" w14:textId="77777777" w:rsidR="00842324" w:rsidRDefault="00000000">
            <w:pPr>
              <w:pStyle w:val="Compact"/>
            </w:pPr>
            <w:r>
              <w:t>+1.37 pp</w:t>
            </w:r>
          </w:p>
        </w:tc>
        <w:tc>
          <w:tcPr>
            <w:tcW w:w="0" w:type="auto"/>
          </w:tcPr>
          <w:p w14:paraId="5D0413A4" w14:textId="77777777" w:rsidR="00842324" w:rsidRDefault="00000000">
            <w:pPr>
              <w:pStyle w:val="Compact"/>
            </w:pPr>
            <w:r>
              <w:t>Oversized</w:t>
            </w:r>
          </w:p>
        </w:tc>
      </w:tr>
      <w:tr w:rsidR="00842324" w14:paraId="5D0413AA" w14:textId="77777777">
        <w:tc>
          <w:tcPr>
            <w:tcW w:w="0" w:type="auto"/>
          </w:tcPr>
          <w:p w14:paraId="5D0413A6" w14:textId="77777777" w:rsidR="00842324" w:rsidRDefault="00000000">
            <w:pPr>
              <w:pStyle w:val="Compact"/>
            </w:pPr>
            <w:r>
              <w:t>Wind</w:t>
            </w:r>
          </w:p>
        </w:tc>
        <w:tc>
          <w:tcPr>
            <w:tcW w:w="0" w:type="auto"/>
          </w:tcPr>
          <w:p w14:paraId="5D0413A7" w14:textId="77777777" w:rsidR="00842324" w:rsidRDefault="00000000">
            <w:pPr>
              <w:pStyle w:val="Compact"/>
            </w:pPr>
            <w:r>
              <w:t>RED</w:t>
            </w:r>
          </w:p>
        </w:tc>
        <w:tc>
          <w:tcPr>
            <w:tcW w:w="0" w:type="auto"/>
          </w:tcPr>
          <w:p w14:paraId="5D0413A8" w14:textId="77777777" w:rsidR="00842324" w:rsidRDefault="00000000">
            <w:pPr>
              <w:pStyle w:val="Compact"/>
            </w:pPr>
            <w:r>
              <w:t>−1.38 pp</w:t>
            </w:r>
          </w:p>
        </w:tc>
        <w:tc>
          <w:tcPr>
            <w:tcW w:w="0" w:type="auto"/>
          </w:tcPr>
          <w:p w14:paraId="5D0413A9" w14:textId="77777777" w:rsidR="00842324" w:rsidRDefault="00000000">
            <w:pPr>
              <w:pStyle w:val="Compact"/>
            </w:pPr>
            <w:r>
              <w:t>Undersized</w:t>
            </w:r>
          </w:p>
        </w:tc>
      </w:tr>
      <w:tr w:rsidR="00842324" w14:paraId="5D0413AF" w14:textId="77777777">
        <w:tc>
          <w:tcPr>
            <w:tcW w:w="0" w:type="auto"/>
          </w:tcPr>
          <w:p w14:paraId="5D0413AB" w14:textId="77777777" w:rsidR="00842324" w:rsidRDefault="00000000">
            <w:pPr>
              <w:pStyle w:val="Compact"/>
            </w:pPr>
            <w:r>
              <w:t>Sim Price (well-spec)</w:t>
            </w:r>
          </w:p>
        </w:tc>
        <w:tc>
          <w:tcPr>
            <w:tcW w:w="0" w:type="auto"/>
          </w:tcPr>
          <w:p w14:paraId="5D0413AC" w14:textId="77777777" w:rsidR="00842324" w:rsidRDefault="00000000">
            <w:pPr>
              <w:pStyle w:val="Compact"/>
            </w:pPr>
            <w:r>
              <w:t>GREEN</w:t>
            </w:r>
          </w:p>
        </w:tc>
        <w:tc>
          <w:tcPr>
            <w:tcW w:w="0" w:type="auto"/>
          </w:tcPr>
          <w:p w14:paraId="5D0413AD" w14:textId="77777777" w:rsidR="00842324" w:rsidRDefault="00000000">
            <w:pPr>
              <w:pStyle w:val="Compact"/>
            </w:pPr>
            <w:r>
              <w:t>−1.51 pp</w:t>
            </w:r>
          </w:p>
        </w:tc>
        <w:tc>
          <w:tcPr>
            <w:tcW w:w="0" w:type="auto"/>
          </w:tcPr>
          <w:p w14:paraId="5D0413AE" w14:textId="77777777" w:rsidR="00842324" w:rsidRDefault="00000000">
            <w:pPr>
              <w:pStyle w:val="Compact"/>
            </w:pPr>
            <w:r>
              <w:t>Undersized</w:t>
            </w:r>
          </w:p>
        </w:tc>
      </w:tr>
      <w:tr w:rsidR="00842324" w14:paraId="5D0413B4" w14:textId="77777777">
        <w:tc>
          <w:tcPr>
            <w:tcW w:w="0" w:type="auto"/>
          </w:tcPr>
          <w:p w14:paraId="5D0413B0" w14:textId="77777777" w:rsidR="00842324" w:rsidRDefault="00000000">
            <w:pPr>
              <w:pStyle w:val="Compact"/>
            </w:pPr>
            <w:r>
              <w:t>Sim Temp (well-spec)</w:t>
            </w:r>
          </w:p>
        </w:tc>
        <w:tc>
          <w:tcPr>
            <w:tcW w:w="0" w:type="auto"/>
          </w:tcPr>
          <w:p w14:paraId="5D0413B1" w14:textId="77777777" w:rsidR="00842324" w:rsidRDefault="00000000">
            <w:pPr>
              <w:pStyle w:val="Compact"/>
            </w:pPr>
            <w:r>
              <w:t>GREEN</w:t>
            </w:r>
          </w:p>
        </w:tc>
        <w:tc>
          <w:tcPr>
            <w:tcW w:w="0" w:type="auto"/>
          </w:tcPr>
          <w:p w14:paraId="5D0413B2" w14:textId="77777777" w:rsidR="00842324" w:rsidRDefault="00000000">
            <w:pPr>
              <w:pStyle w:val="Compact"/>
            </w:pPr>
            <w:r>
              <w:t>−0.41 pp</w:t>
            </w:r>
          </w:p>
        </w:tc>
        <w:tc>
          <w:tcPr>
            <w:tcW w:w="0" w:type="auto"/>
          </w:tcPr>
          <w:p w14:paraId="5D0413B3" w14:textId="77777777" w:rsidR="00842324" w:rsidRDefault="00000000">
            <w:pPr>
              <w:pStyle w:val="Compact"/>
            </w:pPr>
            <w:r>
              <w:t>Undersized</w:t>
            </w:r>
          </w:p>
        </w:tc>
      </w:tr>
      <w:tr w:rsidR="00842324" w14:paraId="5D0413B9" w14:textId="77777777">
        <w:tc>
          <w:tcPr>
            <w:tcW w:w="0" w:type="auto"/>
          </w:tcPr>
          <w:p w14:paraId="5D0413B5" w14:textId="77777777" w:rsidR="00842324" w:rsidRDefault="00000000">
            <w:pPr>
              <w:pStyle w:val="Compact"/>
            </w:pPr>
            <w:r>
              <w:t>Sim Price — Var Inflation</w:t>
            </w:r>
          </w:p>
        </w:tc>
        <w:tc>
          <w:tcPr>
            <w:tcW w:w="0" w:type="auto"/>
          </w:tcPr>
          <w:p w14:paraId="5D0413B6" w14:textId="77777777" w:rsidR="00842324" w:rsidRDefault="00000000">
            <w:pPr>
              <w:pStyle w:val="Compact"/>
            </w:pPr>
            <w:r>
              <w:t>RED</w:t>
            </w:r>
          </w:p>
        </w:tc>
        <w:tc>
          <w:tcPr>
            <w:tcW w:w="0" w:type="auto"/>
          </w:tcPr>
          <w:p w14:paraId="5D0413B7" w14:textId="77777777" w:rsidR="00842324" w:rsidRDefault="00000000">
            <w:pPr>
              <w:pStyle w:val="Compact"/>
            </w:pPr>
            <w:r>
              <w:t>−34.66 pp</w:t>
            </w:r>
          </w:p>
        </w:tc>
        <w:tc>
          <w:tcPr>
            <w:tcW w:w="0" w:type="auto"/>
          </w:tcPr>
          <w:p w14:paraId="5D0413B8" w14:textId="77777777" w:rsidR="00842324" w:rsidRDefault="00000000">
            <w:pPr>
              <w:pStyle w:val="Compact"/>
            </w:pPr>
            <w:r>
              <w:t>Undersized</w:t>
            </w:r>
          </w:p>
        </w:tc>
      </w:tr>
      <w:tr w:rsidR="00842324" w14:paraId="5D0413BE" w14:textId="77777777">
        <w:tc>
          <w:tcPr>
            <w:tcW w:w="0" w:type="auto"/>
          </w:tcPr>
          <w:p w14:paraId="5D0413BA" w14:textId="77777777" w:rsidR="00842324" w:rsidRDefault="00000000">
            <w:pPr>
              <w:pStyle w:val="Compact"/>
            </w:pPr>
            <w:r>
              <w:t>Sim Price — Mean Bias</w:t>
            </w:r>
          </w:p>
        </w:tc>
        <w:tc>
          <w:tcPr>
            <w:tcW w:w="0" w:type="auto"/>
          </w:tcPr>
          <w:p w14:paraId="5D0413BB" w14:textId="77777777" w:rsidR="00842324" w:rsidRDefault="00000000">
            <w:pPr>
              <w:pStyle w:val="Compact"/>
            </w:pPr>
            <w:r>
              <w:t>RED</w:t>
            </w:r>
          </w:p>
        </w:tc>
        <w:tc>
          <w:tcPr>
            <w:tcW w:w="0" w:type="auto"/>
          </w:tcPr>
          <w:p w14:paraId="5D0413BC" w14:textId="77777777" w:rsidR="00842324" w:rsidRDefault="00000000">
            <w:pPr>
              <w:pStyle w:val="Compact"/>
            </w:pPr>
            <w:r>
              <w:t>−19.59 pp</w:t>
            </w:r>
          </w:p>
        </w:tc>
        <w:tc>
          <w:tcPr>
            <w:tcW w:w="0" w:type="auto"/>
          </w:tcPr>
          <w:p w14:paraId="5D0413BD" w14:textId="77777777" w:rsidR="00842324" w:rsidRDefault="00000000">
            <w:pPr>
              <w:pStyle w:val="Compact"/>
            </w:pPr>
            <w:r>
              <w:t>Undersized</w:t>
            </w:r>
          </w:p>
        </w:tc>
      </w:tr>
      <w:tr w:rsidR="00842324" w14:paraId="5D0413C3" w14:textId="77777777">
        <w:tc>
          <w:tcPr>
            <w:tcW w:w="0" w:type="auto"/>
          </w:tcPr>
          <w:p w14:paraId="5D0413BF" w14:textId="77777777" w:rsidR="00842324" w:rsidRDefault="00000000">
            <w:pPr>
              <w:pStyle w:val="Compact"/>
            </w:pPr>
            <w:r>
              <w:t>Sim Price — Heavy Tails</w:t>
            </w:r>
          </w:p>
        </w:tc>
        <w:tc>
          <w:tcPr>
            <w:tcW w:w="0" w:type="auto"/>
          </w:tcPr>
          <w:p w14:paraId="5D0413C0" w14:textId="77777777" w:rsidR="00842324" w:rsidRDefault="00000000">
            <w:pPr>
              <w:pStyle w:val="Compact"/>
            </w:pPr>
            <w:r>
              <w:t>GREEN</w:t>
            </w:r>
          </w:p>
        </w:tc>
        <w:tc>
          <w:tcPr>
            <w:tcW w:w="0" w:type="auto"/>
          </w:tcPr>
          <w:p w14:paraId="5D0413C1" w14:textId="77777777" w:rsidR="00842324" w:rsidRDefault="00000000">
            <w:pPr>
              <w:pStyle w:val="Compact"/>
            </w:pPr>
            <w:r>
              <w:t>+0.14 pp</w:t>
            </w:r>
          </w:p>
        </w:tc>
        <w:tc>
          <w:tcPr>
            <w:tcW w:w="0" w:type="auto"/>
          </w:tcPr>
          <w:p w14:paraId="5D0413C2" w14:textId="77777777" w:rsidR="00842324" w:rsidRDefault="00000000">
            <w:pPr>
              <w:pStyle w:val="Compact"/>
            </w:pPr>
            <w:r>
              <w:t>Oversized</w:t>
            </w:r>
          </w:p>
        </w:tc>
      </w:tr>
      <w:tr w:rsidR="00842324" w14:paraId="5D0413C8" w14:textId="77777777">
        <w:tc>
          <w:tcPr>
            <w:tcW w:w="0" w:type="auto"/>
          </w:tcPr>
          <w:p w14:paraId="5D0413C4" w14:textId="77777777" w:rsidR="00842324" w:rsidRDefault="00000000">
            <w:pPr>
              <w:pStyle w:val="Compact"/>
            </w:pPr>
            <w:r>
              <w:t>Sim Temp — Var Inflation</w:t>
            </w:r>
          </w:p>
        </w:tc>
        <w:tc>
          <w:tcPr>
            <w:tcW w:w="0" w:type="auto"/>
          </w:tcPr>
          <w:p w14:paraId="5D0413C5" w14:textId="77777777" w:rsidR="00842324" w:rsidRDefault="00000000">
            <w:pPr>
              <w:pStyle w:val="Compact"/>
            </w:pPr>
            <w:r>
              <w:t>RED</w:t>
            </w:r>
          </w:p>
        </w:tc>
        <w:tc>
          <w:tcPr>
            <w:tcW w:w="0" w:type="auto"/>
          </w:tcPr>
          <w:p w14:paraId="5D0413C6" w14:textId="77777777" w:rsidR="00842324" w:rsidRDefault="00000000">
            <w:pPr>
              <w:pStyle w:val="Compact"/>
            </w:pPr>
            <w:r>
              <w:t>−27.53 pp</w:t>
            </w:r>
          </w:p>
        </w:tc>
        <w:tc>
          <w:tcPr>
            <w:tcW w:w="0" w:type="auto"/>
          </w:tcPr>
          <w:p w14:paraId="5D0413C7" w14:textId="77777777" w:rsidR="00842324" w:rsidRDefault="00000000">
            <w:pPr>
              <w:pStyle w:val="Compact"/>
            </w:pPr>
            <w:r>
              <w:t>Undersized</w:t>
            </w:r>
          </w:p>
        </w:tc>
      </w:tr>
      <w:tr w:rsidR="00842324" w14:paraId="5D0413CD" w14:textId="77777777">
        <w:tc>
          <w:tcPr>
            <w:tcW w:w="0" w:type="auto"/>
          </w:tcPr>
          <w:p w14:paraId="5D0413C9" w14:textId="77777777" w:rsidR="00842324" w:rsidRDefault="00000000">
            <w:pPr>
              <w:pStyle w:val="Compact"/>
            </w:pPr>
            <w:r>
              <w:t>Sim Temp — Mean Bias</w:t>
            </w:r>
          </w:p>
        </w:tc>
        <w:tc>
          <w:tcPr>
            <w:tcW w:w="0" w:type="auto"/>
          </w:tcPr>
          <w:p w14:paraId="5D0413CA" w14:textId="77777777" w:rsidR="00842324" w:rsidRDefault="00000000">
            <w:pPr>
              <w:pStyle w:val="Compact"/>
            </w:pPr>
            <w:r>
              <w:t>RED</w:t>
            </w:r>
          </w:p>
        </w:tc>
        <w:tc>
          <w:tcPr>
            <w:tcW w:w="0" w:type="auto"/>
          </w:tcPr>
          <w:p w14:paraId="5D0413CB" w14:textId="77777777" w:rsidR="00842324" w:rsidRDefault="00000000">
            <w:pPr>
              <w:pStyle w:val="Compact"/>
            </w:pPr>
            <w:r>
              <w:t>−19.59 pp</w:t>
            </w:r>
          </w:p>
        </w:tc>
        <w:tc>
          <w:tcPr>
            <w:tcW w:w="0" w:type="auto"/>
          </w:tcPr>
          <w:p w14:paraId="5D0413CC" w14:textId="77777777" w:rsidR="00842324" w:rsidRDefault="00000000">
            <w:pPr>
              <w:pStyle w:val="Compact"/>
            </w:pPr>
            <w:r>
              <w:t>Undersized</w:t>
            </w:r>
          </w:p>
        </w:tc>
      </w:tr>
      <w:tr w:rsidR="00842324" w14:paraId="5D0413D2" w14:textId="77777777">
        <w:tc>
          <w:tcPr>
            <w:tcW w:w="0" w:type="auto"/>
          </w:tcPr>
          <w:p w14:paraId="5D0413CE" w14:textId="77777777" w:rsidR="00842324" w:rsidRDefault="00000000">
            <w:pPr>
              <w:pStyle w:val="Compact"/>
            </w:pPr>
            <w:r>
              <w:t>Sim Temp — Heavy Tails</w:t>
            </w:r>
          </w:p>
        </w:tc>
        <w:tc>
          <w:tcPr>
            <w:tcW w:w="0" w:type="auto"/>
          </w:tcPr>
          <w:p w14:paraId="5D0413CF" w14:textId="77777777" w:rsidR="00842324" w:rsidRDefault="00000000">
            <w:pPr>
              <w:pStyle w:val="Compact"/>
            </w:pPr>
            <w:r>
              <w:t>YELLOW</w:t>
            </w:r>
          </w:p>
        </w:tc>
        <w:tc>
          <w:tcPr>
            <w:tcW w:w="0" w:type="auto"/>
          </w:tcPr>
          <w:p w14:paraId="5D0413D0" w14:textId="77777777" w:rsidR="00842324" w:rsidRDefault="00000000">
            <w:pPr>
              <w:pStyle w:val="Compact"/>
            </w:pPr>
            <w:r>
              <w:t>+2.33 pp</w:t>
            </w:r>
          </w:p>
        </w:tc>
        <w:tc>
          <w:tcPr>
            <w:tcW w:w="0" w:type="auto"/>
          </w:tcPr>
          <w:p w14:paraId="5D0413D1" w14:textId="77777777" w:rsidR="00842324" w:rsidRDefault="00000000">
            <w:pPr>
              <w:pStyle w:val="Compact"/>
            </w:pPr>
            <w:r>
              <w:t>Oversized</w:t>
            </w:r>
          </w:p>
        </w:tc>
      </w:tr>
    </w:tbl>
    <w:p w14:paraId="5D0413D3" w14:textId="77777777" w:rsidR="00842324" w:rsidRDefault="00000000">
      <w:pPr>
        <w:pStyle w:val="BodyText"/>
      </w:pPr>
      <w:r>
        <w:t>ENTSO-E and wind produce undersized reserves (−2.94 pp and −1.38 pp respectively), meaning that operational reserves sized from these models’ 90% intervals would be systematically insufficient. For a grid operator relying on wind generation intervals to size balancing reserves, a −1.38 pp shortfall corresponds to roughly 1 in 7 hours being outside the reserved range rather than the intended 1 in 10.</w:t>
      </w:r>
    </w:p>
    <w:p w14:paraId="5D0413D4" w14:textId="77777777" w:rsidR="00842324" w:rsidRDefault="00000000">
      <w:pPr>
        <w:pStyle w:val="BodyText"/>
      </w:pPr>
      <w:r>
        <w:t>PV produces oversized reserves (+1.37 pp) — a conservative error that wastes reserve capacity but does not create shortfall risk. The governance RED classification for PV therefore reflects distributional shape failure rather than operational risk in the conventional reserve-sizing sense.</w:t>
      </w:r>
    </w:p>
    <w:p w14:paraId="5D0413D5" w14:textId="77777777" w:rsidR="00842324" w:rsidRDefault="00000000">
      <w:pPr>
        <w:pStyle w:val="BodyText"/>
      </w:pPr>
      <w:r>
        <w:t>The misspecification scenarios illustrate the magnitude of economic distortion under severe miscalibration: variance inflation produces reserve undersizing of 27–35 pp, meaning reserves would need to be 2.7–3.5× larger than modelled to achieve the intended coverage. Mean bias produces undersizing of ~20 pp, with the entire shortfall concentrated on one tail.</w:t>
      </w:r>
    </w:p>
    <w:p w14:paraId="5D0413D6" w14:textId="77777777" w:rsidR="00842324" w:rsidRDefault="00000000">
      <w:r>
        <w:pict w14:anchorId="5D04160A">
          <v:rect id="_x0000_i1076" style="width:0;height:1.5pt" o:hralign="center" o:hrstd="t" o:hr="t"/>
        </w:pict>
      </w:r>
    </w:p>
    <w:p w14:paraId="5D0413D7" w14:textId="77777777" w:rsidR="00842324" w:rsidRDefault="00000000">
      <w:pPr>
        <w:pStyle w:val="Heading2"/>
      </w:pPr>
      <w:bookmarkStart w:id="140" w:name="traffic-light-stability-analysis-run_007"/>
      <w:bookmarkStart w:id="141" w:name="_Toc225682095"/>
      <w:bookmarkEnd w:id="136"/>
      <w:bookmarkEnd w:id="139"/>
      <w:r>
        <w:lastRenderedPageBreak/>
        <w:t>10. Traffic-Light Stability Analysis (run_007)</w:t>
      </w:r>
      <w:bookmarkEnd w:id="141"/>
    </w:p>
    <w:p w14:paraId="5D0413D8" w14:textId="77777777" w:rsidR="00842324" w:rsidRDefault="00000000">
      <w:pPr>
        <w:pStyle w:val="Heading3"/>
      </w:pPr>
      <w:bookmarkStart w:id="142" w:name="real-data-models-absorbing-red-states"/>
      <w:r>
        <w:t>10.1 Real-Data Models — Absorbing RED States</w:t>
      </w:r>
    </w:p>
    <w:tbl>
      <w:tblPr>
        <w:tblStyle w:val="Table"/>
        <w:tblW w:w="0" w:type="auto"/>
        <w:tblLook w:val="0020" w:firstRow="1" w:lastRow="0" w:firstColumn="0" w:lastColumn="0" w:noHBand="0" w:noVBand="0"/>
      </w:tblPr>
      <w:tblGrid>
        <w:gridCol w:w="1161"/>
        <w:gridCol w:w="1945"/>
        <w:gridCol w:w="1358"/>
        <w:gridCol w:w="907"/>
        <w:gridCol w:w="798"/>
        <w:gridCol w:w="962"/>
        <w:gridCol w:w="1055"/>
      </w:tblGrid>
      <w:tr w:rsidR="00842324" w14:paraId="5D0413E0"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0" w:type="auto"/>
          </w:tcPr>
          <w:p w14:paraId="5D0413D9" w14:textId="77777777" w:rsidR="00842324" w:rsidRDefault="00000000">
            <w:pPr>
              <w:pStyle w:val="Compact"/>
            </w:pPr>
            <w:r>
              <w:t>Dataset</w:t>
            </w:r>
          </w:p>
        </w:tc>
        <w:tc>
          <w:tcPr>
            <w:tcW w:w="0" w:type="auto"/>
          </w:tcPr>
          <w:p w14:paraId="5D0413DA" w14:textId="77777777" w:rsidR="00842324" w:rsidRDefault="00000000">
            <w:pPr>
              <w:pStyle w:val="Compact"/>
            </w:pPr>
            <w:r>
              <w:t>Scheme</w:t>
            </w:r>
          </w:p>
        </w:tc>
        <w:tc>
          <w:tcPr>
            <w:tcW w:w="0" w:type="auto"/>
          </w:tcPr>
          <w:p w14:paraId="5D0413DB" w14:textId="77777777" w:rsidR="00842324" w:rsidRDefault="00000000">
            <w:pPr>
              <w:pStyle w:val="Compact"/>
            </w:pPr>
            <w:r>
              <w:t>n Windows</w:t>
            </w:r>
          </w:p>
        </w:tc>
        <w:tc>
          <w:tcPr>
            <w:tcW w:w="0" w:type="auto"/>
          </w:tcPr>
          <w:p w14:paraId="5D0413DC" w14:textId="77777777" w:rsidR="00842324" w:rsidRDefault="00000000">
            <w:pPr>
              <w:pStyle w:val="Compact"/>
            </w:pPr>
            <w:r>
              <w:t>% RED</w:t>
            </w:r>
          </w:p>
        </w:tc>
        <w:tc>
          <w:tcPr>
            <w:tcW w:w="0" w:type="auto"/>
          </w:tcPr>
          <w:p w14:paraId="5D0413DD" w14:textId="77777777" w:rsidR="00842324" w:rsidRDefault="00000000">
            <w:pPr>
              <w:pStyle w:val="Compact"/>
            </w:pPr>
            <w:r>
              <w:t>T_RR</w:t>
            </w:r>
          </w:p>
        </w:tc>
        <w:tc>
          <w:tcPr>
            <w:tcW w:w="0" w:type="auto"/>
          </w:tcPr>
          <w:p w14:paraId="5D0413DE" w14:textId="77777777" w:rsidR="00842324" w:rsidRDefault="00000000">
            <w:pPr>
              <w:pStyle w:val="Compact"/>
            </w:pPr>
            <w:r>
              <w:t>H (bits)</w:t>
            </w:r>
          </w:p>
        </w:tc>
        <w:tc>
          <w:tcPr>
            <w:tcW w:w="0" w:type="auto"/>
          </w:tcPr>
          <w:p w14:paraId="5D0413DF" w14:textId="77777777" w:rsidR="00842324" w:rsidRDefault="00000000">
            <w:pPr>
              <w:pStyle w:val="Compact"/>
            </w:pPr>
            <w:r>
              <w:t>Stability</w:t>
            </w:r>
          </w:p>
        </w:tc>
      </w:tr>
      <w:tr w:rsidR="00842324" w14:paraId="5D0413E8" w14:textId="77777777">
        <w:tc>
          <w:tcPr>
            <w:tcW w:w="0" w:type="auto"/>
          </w:tcPr>
          <w:p w14:paraId="5D0413E1" w14:textId="77777777" w:rsidR="00842324" w:rsidRDefault="00000000">
            <w:pPr>
              <w:pStyle w:val="Compact"/>
            </w:pPr>
            <w:r>
              <w:t>ENTSO-E</w:t>
            </w:r>
          </w:p>
        </w:tc>
        <w:tc>
          <w:tcPr>
            <w:tcW w:w="0" w:type="auto"/>
          </w:tcPr>
          <w:p w14:paraId="5D0413E2" w14:textId="77777777" w:rsidR="00842324" w:rsidRDefault="00000000">
            <w:pPr>
              <w:pStyle w:val="Compact"/>
            </w:pPr>
            <w:r>
              <w:t>Non-overlapping</w:t>
            </w:r>
          </w:p>
        </w:tc>
        <w:tc>
          <w:tcPr>
            <w:tcW w:w="0" w:type="auto"/>
          </w:tcPr>
          <w:p w14:paraId="5D0413E3" w14:textId="77777777" w:rsidR="00842324" w:rsidRDefault="00000000">
            <w:pPr>
              <w:pStyle w:val="Compact"/>
            </w:pPr>
            <w:r>
              <w:t>838</w:t>
            </w:r>
          </w:p>
        </w:tc>
        <w:tc>
          <w:tcPr>
            <w:tcW w:w="0" w:type="auto"/>
          </w:tcPr>
          <w:p w14:paraId="5D0413E4" w14:textId="77777777" w:rsidR="00842324" w:rsidRDefault="00000000">
            <w:pPr>
              <w:pStyle w:val="Compact"/>
            </w:pPr>
            <w:r>
              <w:t>100%</w:t>
            </w:r>
          </w:p>
        </w:tc>
        <w:tc>
          <w:tcPr>
            <w:tcW w:w="0" w:type="auto"/>
          </w:tcPr>
          <w:p w14:paraId="5D0413E5" w14:textId="77777777" w:rsidR="00842324" w:rsidRDefault="00000000">
            <w:pPr>
              <w:pStyle w:val="Compact"/>
            </w:pPr>
            <w:r>
              <w:t>1.000</w:t>
            </w:r>
          </w:p>
        </w:tc>
        <w:tc>
          <w:tcPr>
            <w:tcW w:w="0" w:type="auto"/>
          </w:tcPr>
          <w:p w14:paraId="5D0413E6" w14:textId="77777777" w:rsidR="00842324" w:rsidRDefault="00000000">
            <w:pPr>
              <w:pStyle w:val="Compact"/>
            </w:pPr>
            <w:r>
              <w:t>0.000</w:t>
            </w:r>
          </w:p>
        </w:tc>
        <w:tc>
          <w:tcPr>
            <w:tcW w:w="0" w:type="auto"/>
          </w:tcPr>
          <w:p w14:paraId="5D0413E7" w14:textId="77777777" w:rsidR="00842324" w:rsidRDefault="00000000">
            <w:pPr>
              <w:pStyle w:val="Compact"/>
            </w:pPr>
            <w:r>
              <w:t>Stable</w:t>
            </w:r>
          </w:p>
        </w:tc>
      </w:tr>
      <w:tr w:rsidR="00842324" w14:paraId="5D0413F0" w14:textId="77777777">
        <w:tc>
          <w:tcPr>
            <w:tcW w:w="0" w:type="auto"/>
          </w:tcPr>
          <w:p w14:paraId="5D0413E9" w14:textId="77777777" w:rsidR="00842324" w:rsidRDefault="00000000">
            <w:pPr>
              <w:pStyle w:val="Compact"/>
            </w:pPr>
            <w:r>
              <w:t>ENTSO-E</w:t>
            </w:r>
          </w:p>
        </w:tc>
        <w:tc>
          <w:tcPr>
            <w:tcW w:w="0" w:type="auto"/>
          </w:tcPr>
          <w:p w14:paraId="5D0413EA" w14:textId="77777777" w:rsidR="00842324" w:rsidRDefault="00000000">
            <w:pPr>
              <w:pStyle w:val="Compact"/>
            </w:pPr>
            <w:r>
              <w:t>Overlapping</w:t>
            </w:r>
          </w:p>
        </w:tc>
        <w:tc>
          <w:tcPr>
            <w:tcW w:w="0" w:type="auto"/>
          </w:tcPr>
          <w:p w14:paraId="5D0413EB" w14:textId="77777777" w:rsidR="00842324" w:rsidRDefault="00000000">
            <w:pPr>
              <w:pStyle w:val="Compact"/>
            </w:pPr>
            <w:r>
              <w:t>4,187</w:t>
            </w:r>
          </w:p>
        </w:tc>
        <w:tc>
          <w:tcPr>
            <w:tcW w:w="0" w:type="auto"/>
          </w:tcPr>
          <w:p w14:paraId="5D0413EC" w14:textId="77777777" w:rsidR="00842324" w:rsidRDefault="00000000">
            <w:pPr>
              <w:pStyle w:val="Compact"/>
            </w:pPr>
            <w:r>
              <w:t>100%</w:t>
            </w:r>
          </w:p>
        </w:tc>
        <w:tc>
          <w:tcPr>
            <w:tcW w:w="0" w:type="auto"/>
          </w:tcPr>
          <w:p w14:paraId="5D0413ED" w14:textId="77777777" w:rsidR="00842324" w:rsidRDefault="00000000">
            <w:pPr>
              <w:pStyle w:val="Compact"/>
            </w:pPr>
            <w:r>
              <w:t>1.000</w:t>
            </w:r>
          </w:p>
        </w:tc>
        <w:tc>
          <w:tcPr>
            <w:tcW w:w="0" w:type="auto"/>
          </w:tcPr>
          <w:p w14:paraId="5D0413EE" w14:textId="77777777" w:rsidR="00842324" w:rsidRDefault="00000000">
            <w:pPr>
              <w:pStyle w:val="Compact"/>
            </w:pPr>
            <w:r>
              <w:t>0.000</w:t>
            </w:r>
          </w:p>
        </w:tc>
        <w:tc>
          <w:tcPr>
            <w:tcW w:w="0" w:type="auto"/>
          </w:tcPr>
          <w:p w14:paraId="5D0413EF" w14:textId="77777777" w:rsidR="00842324" w:rsidRDefault="00000000">
            <w:pPr>
              <w:pStyle w:val="Compact"/>
            </w:pPr>
            <w:r>
              <w:t>Stable</w:t>
            </w:r>
          </w:p>
        </w:tc>
      </w:tr>
      <w:tr w:rsidR="00842324" w14:paraId="5D0413F8" w14:textId="77777777">
        <w:tc>
          <w:tcPr>
            <w:tcW w:w="0" w:type="auto"/>
          </w:tcPr>
          <w:p w14:paraId="5D0413F1" w14:textId="77777777" w:rsidR="00842324" w:rsidRDefault="00000000">
            <w:pPr>
              <w:pStyle w:val="Compact"/>
            </w:pPr>
            <w:r>
              <w:t>PV Solar</w:t>
            </w:r>
          </w:p>
        </w:tc>
        <w:tc>
          <w:tcPr>
            <w:tcW w:w="0" w:type="auto"/>
          </w:tcPr>
          <w:p w14:paraId="5D0413F2" w14:textId="77777777" w:rsidR="00842324" w:rsidRDefault="00000000">
            <w:pPr>
              <w:pStyle w:val="Compact"/>
            </w:pPr>
            <w:r>
              <w:t>Non-overlapping</w:t>
            </w:r>
          </w:p>
        </w:tc>
        <w:tc>
          <w:tcPr>
            <w:tcW w:w="0" w:type="auto"/>
          </w:tcPr>
          <w:p w14:paraId="5D0413F3" w14:textId="77777777" w:rsidR="00842324" w:rsidRDefault="00000000">
            <w:pPr>
              <w:pStyle w:val="Compact"/>
            </w:pPr>
            <w:r>
              <w:t>5</w:t>
            </w:r>
          </w:p>
        </w:tc>
        <w:tc>
          <w:tcPr>
            <w:tcW w:w="0" w:type="auto"/>
          </w:tcPr>
          <w:p w14:paraId="5D0413F4" w14:textId="77777777" w:rsidR="00842324" w:rsidRDefault="00000000">
            <w:pPr>
              <w:pStyle w:val="Compact"/>
            </w:pPr>
            <w:r>
              <w:t>100%</w:t>
            </w:r>
          </w:p>
        </w:tc>
        <w:tc>
          <w:tcPr>
            <w:tcW w:w="0" w:type="auto"/>
          </w:tcPr>
          <w:p w14:paraId="5D0413F5" w14:textId="77777777" w:rsidR="00842324" w:rsidRDefault="00000000">
            <w:pPr>
              <w:pStyle w:val="Compact"/>
            </w:pPr>
            <w:r>
              <w:t>1.000</w:t>
            </w:r>
          </w:p>
        </w:tc>
        <w:tc>
          <w:tcPr>
            <w:tcW w:w="0" w:type="auto"/>
          </w:tcPr>
          <w:p w14:paraId="5D0413F6" w14:textId="77777777" w:rsidR="00842324" w:rsidRDefault="00000000">
            <w:pPr>
              <w:pStyle w:val="Compact"/>
            </w:pPr>
            <w:r>
              <w:t>0.000</w:t>
            </w:r>
          </w:p>
        </w:tc>
        <w:tc>
          <w:tcPr>
            <w:tcW w:w="0" w:type="auto"/>
          </w:tcPr>
          <w:p w14:paraId="5D0413F7" w14:textId="77777777" w:rsidR="00842324" w:rsidRDefault="00000000">
            <w:pPr>
              <w:pStyle w:val="Compact"/>
            </w:pPr>
            <w:r>
              <w:t>Stable</w:t>
            </w:r>
          </w:p>
        </w:tc>
      </w:tr>
      <w:tr w:rsidR="00842324" w14:paraId="5D041400" w14:textId="77777777">
        <w:tc>
          <w:tcPr>
            <w:tcW w:w="0" w:type="auto"/>
          </w:tcPr>
          <w:p w14:paraId="5D0413F9" w14:textId="77777777" w:rsidR="00842324" w:rsidRDefault="00000000">
            <w:pPr>
              <w:pStyle w:val="Compact"/>
            </w:pPr>
            <w:r>
              <w:t>Wind</w:t>
            </w:r>
          </w:p>
        </w:tc>
        <w:tc>
          <w:tcPr>
            <w:tcW w:w="0" w:type="auto"/>
          </w:tcPr>
          <w:p w14:paraId="5D0413FA" w14:textId="77777777" w:rsidR="00842324" w:rsidRDefault="00000000">
            <w:pPr>
              <w:pStyle w:val="Compact"/>
            </w:pPr>
            <w:r>
              <w:t>Non-overlapping</w:t>
            </w:r>
          </w:p>
        </w:tc>
        <w:tc>
          <w:tcPr>
            <w:tcW w:w="0" w:type="auto"/>
          </w:tcPr>
          <w:p w14:paraId="5D0413FB" w14:textId="77777777" w:rsidR="00842324" w:rsidRDefault="00000000">
            <w:pPr>
              <w:pStyle w:val="Compact"/>
            </w:pPr>
            <w:r>
              <w:t>12</w:t>
            </w:r>
          </w:p>
        </w:tc>
        <w:tc>
          <w:tcPr>
            <w:tcW w:w="0" w:type="auto"/>
          </w:tcPr>
          <w:p w14:paraId="5D0413FC" w14:textId="77777777" w:rsidR="00842324" w:rsidRDefault="00000000">
            <w:pPr>
              <w:pStyle w:val="Compact"/>
            </w:pPr>
            <w:r>
              <w:t>100%</w:t>
            </w:r>
          </w:p>
        </w:tc>
        <w:tc>
          <w:tcPr>
            <w:tcW w:w="0" w:type="auto"/>
          </w:tcPr>
          <w:p w14:paraId="5D0413FD" w14:textId="77777777" w:rsidR="00842324" w:rsidRDefault="00000000">
            <w:pPr>
              <w:pStyle w:val="Compact"/>
            </w:pPr>
            <w:r>
              <w:t>1.000</w:t>
            </w:r>
          </w:p>
        </w:tc>
        <w:tc>
          <w:tcPr>
            <w:tcW w:w="0" w:type="auto"/>
          </w:tcPr>
          <w:p w14:paraId="5D0413FE" w14:textId="77777777" w:rsidR="00842324" w:rsidRDefault="00000000">
            <w:pPr>
              <w:pStyle w:val="Compact"/>
            </w:pPr>
            <w:r>
              <w:t>0.000</w:t>
            </w:r>
          </w:p>
        </w:tc>
        <w:tc>
          <w:tcPr>
            <w:tcW w:w="0" w:type="auto"/>
          </w:tcPr>
          <w:p w14:paraId="5D0413FF" w14:textId="77777777" w:rsidR="00842324" w:rsidRDefault="00000000">
            <w:pPr>
              <w:pStyle w:val="Compact"/>
            </w:pPr>
            <w:r>
              <w:t>Stable</w:t>
            </w:r>
          </w:p>
        </w:tc>
      </w:tr>
    </w:tbl>
    <w:p w14:paraId="5D041401" w14:textId="77777777" w:rsidR="00842324" w:rsidRDefault="00000000">
      <w:pPr>
        <w:pStyle w:val="BodyText"/>
      </w:pPr>
      <w:r>
        <w:t>All three real-data models show T_RR = 1.0 across both rolling schemes — once a window enters RED it never leaves. Stationary entropy H = 0 bits confirms a degenerate absorbing state: the RED classification is not a transient regime localised to specific subperiods but a persistent structural property of the model’s miscalibration. For ENTSO-E this is confirmed across 838 non-overlapping windows and 4,187 overlapping windows, leaving no ambiguity. The finding strengthens the governance implication: these models require structural intervention, not routine monitoring.</w:t>
      </w:r>
    </w:p>
    <w:p w14:paraId="5D041402" w14:textId="77777777" w:rsidR="00842324" w:rsidRDefault="00000000">
      <w:pPr>
        <w:pStyle w:val="Heading3"/>
      </w:pPr>
      <w:bookmarkStart w:id="143" w:name="Xa6237cbeb271b5d4b6b6dab479a8f5a51859998"/>
      <w:bookmarkEnd w:id="142"/>
      <w:r>
        <w:t>10.2 Simulation Well-Specified — Expected Instability at Small n</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842324" w14:paraId="5D04140B"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990" w:type="dxa"/>
          </w:tcPr>
          <w:p w14:paraId="5D041403" w14:textId="77777777" w:rsidR="00842324" w:rsidRDefault="00000000">
            <w:pPr>
              <w:pStyle w:val="Compact"/>
            </w:pPr>
            <w:r>
              <w:t>Dataset</w:t>
            </w:r>
          </w:p>
        </w:tc>
        <w:tc>
          <w:tcPr>
            <w:tcW w:w="990" w:type="dxa"/>
          </w:tcPr>
          <w:p w14:paraId="5D041404" w14:textId="77777777" w:rsidR="00842324" w:rsidRDefault="00000000">
            <w:pPr>
              <w:pStyle w:val="Compact"/>
            </w:pPr>
            <w:r>
              <w:t>Scheme</w:t>
            </w:r>
          </w:p>
        </w:tc>
        <w:tc>
          <w:tcPr>
            <w:tcW w:w="990" w:type="dxa"/>
          </w:tcPr>
          <w:p w14:paraId="5D041405" w14:textId="77777777" w:rsidR="00842324" w:rsidRDefault="00000000">
            <w:pPr>
              <w:pStyle w:val="Compact"/>
            </w:pPr>
            <w:r>
              <w:t>n Windows</w:t>
            </w:r>
          </w:p>
        </w:tc>
        <w:tc>
          <w:tcPr>
            <w:tcW w:w="990" w:type="dxa"/>
          </w:tcPr>
          <w:p w14:paraId="5D041406" w14:textId="77777777" w:rsidR="00842324" w:rsidRDefault="00000000">
            <w:pPr>
              <w:pStyle w:val="Compact"/>
            </w:pPr>
            <w:r>
              <w:t>% GREEN</w:t>
            </w:r>
          </w:p>
        </w:tc>
        <w:tc>
          <w:tcPr>
            <w:tcW w:w="990" w:type="dxa"/>
          </w:tcPr>
          <w:p w14:paraId="5D041407" w14:textId="77777777" w:rsidR="00842324" w:rsidRDefault="00000000">
            <w:pPr>
              <w:pStyle w:val="Compact"/>
            </w:pPr>
            <w:r>
              <w:t>% YELLOW</w:t>
            </w:r>
          </w:p>
        </w:tc>
        <w:tc>
          <w:tcPr>
            <w:tcW w:w="990" w:type="dxa"/>
          </w:tcPr>
          <w:p w14:paraId="5D041408" w14:textId="77777777" w:rsidR="00842324" w:rsidRDefault="00000000">
            <w:pPr>
              <w:pStyle w:val="Compact"/>
            </w:pPr>
            <w:r>
              <w:t>% RED</w:t>
            </w:r>
          </w:p>
        </w:tc>
        <w:tc>
          <w:tcPr>
            <w:tcW w:w="990" w:type="dxa"/>
          </w:tcPr>
          <w:p w14:paraId="5D041409" w14:textId="77777777" w:rsidR="00842324" w:rsidRDefault="00000000">
            <w:pPr>
              <w:pStyle w:val="Compact"/>
            </w:pPr>
            <w:r>
              <w:t>H (bits)</w:t>
            </w:r>
          </w:p>
        </w:tc>
        <w:tc>
          <w:tcPr>
            <w:tcW w:w="990" w:type="dxa"/>
          </w:tcPr>
          <w:p w14:paraId="5D04140A" w14:textId="77777777" w:rsidR="00842324" w:rsidRDefault="00000000">
            <w:pPr>
              <w:pStyle w:val="Compact"/>
            </w:pPr>
            <w:r>
              <w:t>Stability</w:t>
            </w:r>
          </w:p>
        </w:tc>
      </w:tr>
      <w:tr w:rsidR="00842324" w14:paraId="5D041414" w14:textId="77777777">
        <w:tc>
          <w:tcPr>
            <w:tcW w:w="990" w:type="dxa"/>
          </w:tcPr>
          <w:p w14:paraId="5D04140C" w14:textId="77777777" w:rsidR="00842324" w:rsidRDefault="00000000">
            <w:pPr>
              <w:pStyle w:val="Compact"/>
            </w:pPr>
            <w:r>
              <w:t>Sim Price (well-spec)</w:t>
            </w:r>
          </w:p>
        </w:tc>
        <w:tc>
          <w:tcPr>
            <w:tcW w:w="990" w:type="dxa"/>
          </w:tcPr>
          <w:p w14:paraId="5D04140D" w14:textId="77777777" w:rsidR="00842324" w:rsidRDefault="00000000">
            <w:pPr>
              <w:pStyle w:val="Compact"/>
            </w:pPr>
            <w:r>
              <w:t>Non-overlapping</w:t>
            </w:r>
          </w:p>
        </w:tc>
        <w:tc>
          <w:tcPr>
            <w:tcW w:w="990" w:type="dxa"/>
          </w:tcPr>
          <w:p w14:paraId="5D04140E" w14:textId="77777777" w:rsidR="00842324" w:rsidRDefault="00000000">
            <w:pPr>
              <w:pStyle w:val="Compact"/>
            </w:pPr>
            <w:r>
              <w:t>7</w:t>
            </w:r>
          </w:p>
        </w:tc>
        <w:tc>
          <w:tcPr>
            <w:tcW w:w="990" w:type="dxa"/>
          </w:tcPr>
          <w:p w14:paraId="5D04140F" w14:textId="77777777" w:rsidR="00842324" w:rsidRDefault="00000000">
            <w:pPr>
              <w:pStyle w:val="Compact"/>
            </w:pPr>
            <w:r>
              <w:t>28.6%</w:t>
            </w:r>
          </w:p>
        </w:tc>
        <w:tc>
          <w:tcPr>
            <w:tcW w:w="990" w:type="dxa"/>
          </w:tcPr>
          <w:p w14:paraId="5D041410" w14:textId="77777777" w:rsidR="00842324" w:rsidRDefault="00000000">
            <w:pPr>
              <w:pStyle w:val="Compact"/>
            </w:pPr>
            <w:r>
              <w:t>42.9%</w:t>
            </w:r>
          </w:p>
        </w:tc>
        <w:tc>
          <w:tcPr>
            <w:tcW w:w="990" w:type="dxa"/>
          </w:tcPr>
          <w:p w14:paraId="5D041411" w14:textId="77777777" w:rsidR="00842324" w:rsidRDefault="00000000">
            <w:pPr>
              <w:pStyle w:val="Compact"/>
            </w:pPr>
            <w:r>
              <w:t>28.6%</w:t>
            </w:r>
          </w:p>
        </w:tc>
        <w:tc>
          <w:tcPr>
            <w:tcW w:w="990" w:type="dxa"/>
          </w:tcPr>
          <w:p w14:paraId="5D041412" w14:textId="77777777" w:rsidR="00842324" w:rsidRDefault="00000000">
            <w:pPr>
              <w:pStyle w:val="Compact"/>
            </w:pPr>
            <w:r>
              <w:t>1.571</w:t>
            </w:r>
          </w:p>
        </w:tc>
        <w:tc>
          <w:tcPr>
            <w:tcW w:w="990" w:type="dxa"/>
          </w:tcPr>
          <w:p w14:paraId="5D041413" w14:textId="77777777" w:rsidR="00842324" w:rsidRDefault="00000000">
            <w:pPr>
              <w:pStyle w:val="Compact"/>
            </w:pPr>
            <w:r>
              <w:t>Unstable</w:t>
            </w:r>
          </w:p>
        </w:tc>
      </w:tr>
      <w:tr w:rsidR="00842324" w14:paraId="5D04141D" w14:textId="77777777">
        <w:tc>
          <w:tcPr>
            <w:tcW w:w="990" w:type="dxa"/>
          </w:tcPr>
          <w:p w14:paraId="5D041415" w14:textId="77777777" w:rsidR="00842324" w:rsidRDefault="00000000">
            <w:pPr>
              <w:pStyle w:val="Compact"/>
            </w:pPr>
            <w:r>
              <w:t>Sim Temp (well-spec)</w:t>
            </w:r>
          </w:p>
        </w:tc>
        <w:tc>
          <w:tcPr>
            <w:tcW w:w="990" w:type="dxa"/>
          </w:tcPr>
          <w:p w14:paraId="5D041416" w14:textId="77777777" w:rsidR="00842324" w:rsidRDefault="00000000">
            <w:pPr>
              <w:pStyle w:val="Compact"/>
            </w:pPr>
            <w:r>
              <w:t>Non-overlapping</w:t>
            </w:r>
          </w:p>
        </w:tc>
        <w:tc>
          <w:tcPr>
            <w:tcW w:w="990" w:type="dxa"/>
          </w:tcPr>
          <w:p w14:paraId="5D041417" w14:textId="77777777" w:rsidR="00842324" w:rsidRDefault="00000000">
            <w:pPr>
              <w:pStyle w:val="Compact"/>
            </w:pPr>
            <w:r>
              <w:t>7</w:t>
            </w:r>
          </w:p>
        </w:tc>
        <w:tc>
          <w:tcPr>
            <w:tcW w:w="990" w:type="dxa"/>
          </w:tcPr>
          <w:p w14:paraId="5D041418" w14:textId="77777777" w:rsidR="00842324" w:rsidRDefault="00000000">
            <w:pPr>
              <w:pStyle w:val="Compact"/>
            </w:pPr>
            <w:r>
              <w:t>14.3%</w:t>
            </w:r>
          </w:p>
        </w:tc>
        <w:tc>
          <w:tcPr>
            <w:tcW w:w="990" w:type="dxa"/>
          </w:tcPr>
          <w:p w14:paraId="5D041419" w14:textId="77777777" w:rsidR="00842324" w:rsidRDefault="00000000">
            <w:pPr>
              <w:pStyle w:val="Compact"/>
            </w:pPr>
            <w:r>
              <w:t>85.7%</w:t>
            </w:r>
          </w:p>
        </w:tc>
        <w:tc>
          <w:tcPr>
            <w:tcW w:w="990" w:type="dxa"/>
          </w:tcPr>
          <w:p w14:paraId="5D04141A" w14:textId="77777777" w:rsidR="00842324" w:rsidRDefault="00000000">
            <w:pPr>
              <w:pStyle w:val="Compact"/>
            </w:pPr>
            <w:r>
              <w:t>0.0%</w:t>
            </w:r>
          </w:p>
        </w:tc>
        <w:tc>
          <w:tcPr>
            <w:tcW w:w="990" w:type="dxa"/>
          </w:tcPr>
          <w:p w14:paraId="5D04141B" w14:textId="77777777" w:rsidR="00842324" w:rsidRDefault="00000000">
            <w:pPr>
              <w:pStyle w:val="Compact"/>
            </w:pPr>
            <w:r>
              <w:t>0.650</w:t>
            </w:r>
          </w:p>
        </w:tc>
        <w:tc>
          <w:tcPr>
            <w:tcW w:w="990" w:type="dxa"/>
          </w:tcPr>
          <w:p w14:paraId="5D04141C" w14:textId="77777777" w:rsidR="00842324" w:rsidRDefault="00000000">
            <w:pPr>
              <w:pStyle w:val="Compact"/>
            </w:pPr>
            <w:r>
              <w:t>Moderate</w:t>
            </w:r>
          </w:p>
        </w:tc>
      </w:tr>
    </w:tbl>
    <w:p w14:paraId="5D04141E" w14:textId="77777777" w:rsidR="00842324" w:rsidRDefault="00000000">
      <w:pPr>
        <w:pStyle w:val="BodyText"/>
      </w:pPr>
      <w:r>
        <w:t>The well-specified simulation model shows high entropy (1.571 bits for price) and mixed classifications across 7 windows. This is expected behaviour: at n = 250 per window with a 10% nominal breach rate, the binomial sampling noise is sufficient to push rolling coverage across zone boundaries. The temperature series, which had the smallest full-sample coverage error (−0.41 pp), shows more stable YELLOW-dominant behaviour (H = 0.650). Neither result indicates genuine model instability — both reflect the statistical limits of small rolling windows on a correctly specified model.</w:t>
      </w:r>
    </w:p>
    <w:p w14:paraId="5D04141F" w14:textId="77777777" w:rsidR="00842324" w:rsidRDefault="00000000">
      <w:pPr>
        <w:pStyle w:val="Heading3"/>
      </w:pPr>
      <w:bookmarkStart w:id="144" w:name="X1318945d42c03a1504d87e27438733a6c3448ff"/>
      <w:bookmarkEnd w:id="143"/>
      <w:r>
        <w:t>10.3 Misspecification Scenarios — Stable vs Ambiguous Signals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842324" w14:paraId="5D041426"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1320" w:type="dxa"/>
          </w:tcPr>
          <w:p w14:paraId="5D041420" w14:textId="77777777" w:rsidR="00842324" w:rsidRDefault="00000000">
            <w:pPr>
              <w:pStyle w:val="Compact"/>
            </w:pPr>
            <w:r>
              <w:t>Scenario</w:t>
            </w:r>
          </w:p>
        </w:tc>
        <w:tc>
          <w:tcPr>
            <w:tcW w:w="1320" w:type="dxa"/>
          </w:tcPr>
          <w:p w14:paraId="5D041421" w14:textId="77777777" w:rsidR="00842324" w:rsidRDefault="00000000">
            <w:pPr>
              <w:pStyle w:val="Compact"/>
            </w:pPr>
            <w:r>
              <w:t>n Windows</w:t>
            </w:r>
          </w:p>
        </w:tc>
        <w:tc>
          <w:tcPr>
            <w:tcW w:w="1320" w:type="dxa"/>
          </w:tcPr>
          <w:p w14:paraId="5D041422" w14:textId="77777777" w:rsidR="00842324" w:rsidRDefault="00000000">
            <w:pPr>
              <w:pStyle w:val="Compact"/>
            </w:pPr>
            <w:r>
              <w:t>Distribution</w:t>
            </w:r>
          </w:p>
        </w:tc>
        <w:tc>
          <w:tcPr>
            <w:tcW w:w="1320" w:type="dxa"/>
          </w:tcPr>
          <w:p w14:paraId="5D041423" w14:textId="77777777" w:rsidR="00842324" w:rsidRDefault="00000000">
            <w:pPr>
              <w:pStyle w:val="Compact"/>
            </w:pPr>
            <w:r>
              <w:t>T_RR</w:t>
            </w:r>
          </w:p>
        </w:tc>
        <w:tc>
          <w:tcPr>
            <w:tcW w:w="1320" w:type="dxa"/>
          </w:tcPr>
          <w:p w14:paraId="5D041424" w14:textId="77777777" w:rsidR="00842324" w:rsidRDefault="00000000">
            <w:pPr>
              <w:pStyle w:val="Compact"/>
            </w:pPr>
            <w:r>
              <w:t>H (bits)</w:t>
            </w:r>
          </w:p>
        </w:tc>
        <w:tc>
          <w:tcPr>
            <w:tcW w:w="1320" w:type="dxa"/>
          </w:tcPr>
          <w:p w14:paraId="5D041425" w14:textId="77777777" w:rsidR="00842324" w:rsidRDefault="00000000">
            <w:pPr>
              <w:pStyle w:val="Compact"/>
            </w:pPr>
            <w:r>
              <w:t>Stability</w:t>
            </w:r>
          </w:p>
        </w:tc>
      </w:tr>
      <w:tr w:rsidR="00842324" w14:paraId="5D04142D" w14:textId="77777777">
        <w:tc>
          <w:tcPr>
            <w:tcW w:w="1320" w:type="dxa"/>
          </w:tcPr>
          <w:p w14:paraId="5D041427" w14:textId="77777777" w:rsidR="00842324" w:rsidRDefault="00000000">
            <w:pPr>
              <w:pStyle w:val="Compact"/>
            </w:pPr>
            <w:r>
              <w:t>Price — Var Inflation</w:t>
            </w:r>
          </w:p>
        </w:tc>
        <w:tc>
          <w:tcPr>
            <w:tcW w:w="1320" w:type="dxa"/>
          </w:tcPr>
          <w:p w14:paraId="5D041428" w14:textId="77777777" w:rsidR="00842324" w:rsidRDefault="00000000">
            <w:pPr>
              <w:pStyle w:val="Compact"/>
            </w:pPr>
            <w:r>
              <w:t>7</w:t>
            </w:r>
          </w:p>
        </w:tc>
        <w:tc>
          <w:tcPr>
            <w:tcW w:w="1320" w:type="dxa"/>
          </w:tcPr>
          <w:p w14:paraId="5D041429" w14:textId="77777777" w:rsidR="00842324" w:rsidRDefault="00000000">
            <w:pPr>
              <w:pStyle w:val="Compact"/>
            </w:pPr>
            <w:r>
              <w:t>100% RED</w:t>
            </w:r>
          </w:p>
        </w:tc>
        <w:tc>
          <w:tcPr>
            <w:tcW w:w="1320" w:type="dxa"/>
          </w:tcPr>
          <w:p w14:paraId="5D04142A" w14:textId="77777777" w:rsidR="00842324" w:rsidRDefault="00000000">
            <w:pPr>
              <w:pStyle w:val="Compact"/>
            </w:pPr>
            <w:r>
              <w:t>1.000</w:t>
            </w:r>
          </w:p>
        </w:tc>
        <w:tc>
          <w:tcPr>
            <w:tcW w:w="1320" w:type="dxa"/>
          </w:tcPr>
          <w:p w14:paraId="5D04142B" w14:textId="77777777" w:rsidR="00842324" w:rsidRDefault="00000000">
            <w:pPr>
              <w:pStyle w:val="Compact"/>
            </w:pPr>
            <w:r>
              <w:t>0.000</w:t>
            </w:r>
          </w:p>
        </w:tc>
        <w:tc>
          <w:tcPr>
            <w:tcW w:w="1320" w:type="dxa"/>
          </w:tcPr>
          <w:p w14:paraId="5D04142C" w14:textId="77777777" w:rsidR="00842324" w:rsidRDefault="00000000">
            <w:pPr>
              <w:pStyle w:val="Compact"/>
            </w:pPr>
            <w:r>
              <w:t>Stable</w:t>
            </w:r>
          </w:p>
        </w:tc>
      </w:tr>
      <w:tr w:rsidR="00842324" w14:paraId="5D041434" w14:textId="77777777">
        <w:tc>
          <w:tcPr>
            <w:tcW w:w="1320" w:type="dxa"/>
          </w:tcPr>
          <w:p w14:paraId="5D04142E" w14:textId="77777777" w:rsidR="00842324" w:rsidRDefault="00000000">
            <w:pPr>
              <w:pStyle w:val="Compact"/>
            </w:pPr>
            <w:r>
              <w:t xml:space="preserve">Price — </w:t>
            </w:r>
            <w:r>
              <w:lastRenderedPageBreak/>
              <w:t>Mean Bias</w:t>
            </w:r>
          </w:p>
        </w:tc>
        <w:tc>
          <w:tcPr>
            <w:tcW w:w="1320" w:type="dxa"/>
          </w:tcPr>
          <w:p w14:paraId="5D04142F" w14:textId="77777777" w:rsidR="00842324" w:rsidRDefault="00000000">
            <w:pPr>
              <w:pStyle w:val="Compact"/>
            </w:pPr>
            <w:r>
              <w:lastRenderedPageBreak/>
              <w:t>7</w:t>
            </w:r>
          </w:p>
        </w:tc>
        <w:tc>
          <w:tcPr>
            <w:tcW w:w="1320" w:type="dxa"/>
          </w:tcPr>
          <w:p w14:paraId="5D041430" w14:textId="77777777" w:rsidR="00842324" w:rsidRDefault="00000000">
            <w:pPr>
              <w:pStyle w:val="Compact"/>
            </w:pPr>
            <w:r>
              <w:t>100% RED</w:t>
            </w:r>
          </w:p>
        </w:tc>
        <w:tc>
          <w:tcPr>
            <w:tcW w:w="1320" w:type="dxa"/>
          </w:tcPr>
          <w:p w14:paraId="5D041431" w14:textId="77777777" w:rsidR="00842324" w:rsidRDefault="00000000">
            <w:pPr>
              <w:pStyle w:val="Compact"/>
            </w:pPr>
            <w:r>
              <w:t>1.000</w:t>
            </w:r>
          </w:p>
        </w:tc>
        <w:tc>
          <w:tcPr>
            <w:tcW w:w="1320" w:type="dxa"/>
          </w:tcPr>
          <w:p w14:paraId="5D041432" w14:textId="77777777" w:rsidR="00842324" w:rsidRDefault="00000000">
            <w:pPr>
              <w:pStyle w:val="Compact"/>
            </w:pPr>
            <w:r>
              <w:t>0.000</w:t>
            </w:r>
          </w:p>
        </w:tc>
        <w:tc>
          <w:tcPr>
            <w:tcW w:w="1320" w:type="dxa"/>
          </w:tcPr>
          <w:p w14:paraId="5D041433" w14:textId="77777777" w:rsidR="00842324" w:rsidRDefault="00000000">
            <w:pPr>
              <w:pStyle w:val="Compact"/>
            </w:pPr>
            <w:r>
              <w:t>Stable</w:t>
            </w:r>
          </w:p>
        </w:tc>
      </w:tr>
      <w:tr w:rsidR="00842324" w14:paraId="5D04143B" w14:textId="77777777">
        <w:tc>
          <w:tcPr>
            <w:tcW w:w="1320" w:type="dxa"/>
          </w:tcPr>
          <w:p w14:paraId="5D041435" w14:textId="77777777" w:rsidR="00842324" w:rsidRDefault="00000000">
            <w:pPr>
              <w:pStyle w:val="Compact"/>
            </w:pPr>
            <w:r>
              <w:t>Price — Heavy Tails</w:t>
            </w:r>
          </w:p>
        </w:tc>
        <w:tc>
          <w:tcPr>
            <w:tcW w:w="1320" w:type="dxa"/>
          </w:tcPr>
          <w:p w14:paraId="5D041436" w14:textId="77777777" w:rsidR="00842324" w:rsidRDefault="00000000">
            <w:pPr>
              <w:pStyle w:val="Compact"/>
            </w:pPr>
            <w:r>
              <w:t>7</w:t>
            </w:r>
          </w:p>
        </w:tc>
        <w:tc>
          <w:tcPr>
            <w:tcW w:w="1320" w:type="dxa"/>
          </w:tcPr>
          <w:p w14:paraId="5D041437" w14:textId="77777777" w:rsidR="00842324" w:rsidRDefault="00000000">
            <w:pPr>
              <w:pStyle w:val="Compact"/>
            </w:pPr>
            <w:r>
              <w:t>100% YELLOW</w:t>
            </w:r>
          </w:p>
        </w:tc>
        <w:tc>
          <w:tcPr>
            <w:tcW w:w="1320" w:type="dxa"/>
          </w:tcPr>
          <w:p w14:paraId="5D041438" w14:textId="77777777" w:rsidR="00842324" w:rsidRDefault="00000000">
            <w:pPr>
              <w:pStyle w:val="Compact"/>
            </w:pPr>
            <w:r>
              <w:t>—</w:t>
            </w:r>
          </w:p>
        </w:tc>
        <w:tc>
          <w:tcPr>
            <w:tcW w:w="1320" w:type="dxa"/>
          </w:tcPr>
          <w:p w14:paraId="5D041439" w14:textId="77777777" w:rsidR="00842324" w:rsidRDefault="00000000">
            <w:pPr>
              <w:pStyle w:val="Compact"/>
            </w:pPr>
            <w:r>
              <w:t>0.000</w:t>
            </w:r>
          </w:p>
        </w:tc>
        <w:tc>
          <w:tcPr>
            <w:tcW w:w="1320" w:type="dxa"/>
          </w:tcPr>
          <w:p w14:paraId="5D04143A" w14:textId="77777777" w:rsidR="00842324" w:rsidRDefault="00000000">
            <w:pPr>
              <w:pStyle w:val="Compact"/>
            </w:pPr>
            <w:r>
              <w:t>Stable</w:t>
            </w:r>
          </w:p>
        </w:tc>
      </w:tr>
      <w:tr w:rsidR="00842324" w14:paraId="5D041442" w14:textId="77777777">
        <w:tc>
          <w:tcPr>
            <w:tcW w:w="1320" w:type="dxa"/>
          </w:tcPr>
          <w:p w14:paraId="5D04143C" w14:textId="77777777" w:rsidR="00842324" w:rsidRDefault="00000000">
            <w:pPr>
              <w:pStyle w:val="Compact"/>
            </w:pPr>
            <w:r>
              <w:t>Temp — Var Inflation</w:t>
            </w:r>
          </w:p>
        </w:tc>
        <w:tc>
          <w:tcPr>
            <w:tcW w:w="1320" w:type="dxa"/>
          </w:tcPr>
          <w:p w14:paraId="5D04143D" w14:textId="77777777" w:rsidR="00842324" w:rsidRDefault="00000000">
            <w:pPr>
              <w:pStyle w:val="Compact"/>
            </w:pPr>
            <w:r>
              <w:t>7</w:t>
            </w:r>
          </w:p>
        </w:tc>
        <w:tc>
          <w:tcPr>
            <w:tcW w:w="1320" w:type="dxa"/>
          </w:tcPr>
          <w:p w14:paraId="5D04143E" w14:textId="77777777" w:rsidR="00842324" w:rsidRDefault="00000000">
            <w:pPr>
              <w:pStyle w:val="Compact"/>
            </w:pPr>
            <w:r>
              <w:t>100% RED</w:t>
            </w:r>
          </w:p>
        </w:tc>
        <w:tc>
          <w:tcPr>
            <w:tcW w:w="1320" w:type="dxa"/>
          </w:tcPr>
          <w:p w14:paraId="5D04143F" w14:textId="77777777" w:rsidR="00842324" w:rsidRDefault="00000000">
            <w:pPr>
              <w:pStyle w:val="Compact"/>
            </w:pPr>
            <w:r>
              <w:t>1.000</w:t>
            </w:r>
          </w:p>
        </w:tc>
        <w:tc>
          <w:tcPr>
            <w:tcW w:w="1320" w:type="dxa"/>
          </w:tcPr>
          <w:p w14:paraId="5D041440" w14:textId="77777777" w:rsidR="00842324" w:rsidRDefault="00000000">
            <w:pPr>
              <w:pStyle w:val="Compact"/>
            </w:pPr>
            <w:r>
              <w:t>0.000</w:t>
            </w:r>
          </w:p>
        </w:tc>
        <w:tc>
          <w:tcPr>
            <w:tcW w:w="1320" w:type="dxa"/>
          </w:tcPr>
          <w:p w14:paraId="5D041441" w14:textId="77777777" w:rsidR="00842324" w:rsidRDefault="00000000">
            <w:pPr>
              <w:pStyle w:val="Compact"/>
            </w:pPr>
            <w:r>
              <w:t>Stable</w:t>
            </w:r>
          </w:p>
        </w:tc>
      </w:tr>
      <w:tr w:rsidR="00842324" w14:paraId="5D041449" w14:textId="77777777">
        <w:tc>
          <w:tcPr>
            <w:tcW w:w="1320" w:type="dxa"/>
          </w:tcPr>
          <w:p w14:paraId="5D041443" w14:textId="77777777" w:rsidR="00842324" w:rsidRDefault="00000000">
            <w:pPr>
              <w:pStyle w:val="Compact"/>
            </w:pPr>
            <w:r>
              <w:t>Temp — Mean Bias</w:t>
            </w:r>
          </w:p>
        </w:tc>
        <w:tc>
          <w:tcPr>
            <w:tcW w:w="1320" w:type="dxa"/>
          </w:tcPr>
          <w:p w14:paraId="5D041444" w14:textId="77777777" w:rsidR="00842324" w:rsidRDefault="00000000">
            <w:pPr>
              <w:pStyle w:val="Compact"/>
            </w:pPr>
            <w:r>
              <w:t>7</w:t>
            </w:r>
          </w:p>
        </w:tc>
        <w:tc>
          <w:tcPr>
            <w:tcW w:w="1320" w:type="dxa"/>
          </w:tcPr>
          <w:p w14:paraId="5D041445" w14:textId="77777777" w:rsidR="00842324" w:rsidRDefault="00000000">
            <w:pPr>
              <w:pStyle w:val="Compact"/>
            </w:pPr>
            <w:r>
              <w:t>100% RED</w:t>
            </w:r>
          </w:p>
        </w:tc>
        <w:tc>
          <w:tcPr>
            <w:tcW w:w="1320" w:type="dxa"/>
          </w:tcPr>
          <w:p w14:paraId="5D041446" w14:textId="77777777" w:rsidR="00842324" w:rsidRDefault="00000000">
            <w:pPr>
              <w:pStyle w:val="Compact"/>
            </w:pPr>
            <w:r>
              <w:t>1.000</w:t>
            </w:r>
          </w:p>
        </w:tc>
        <w:tc>
          <w:tcPr>
            <w:tcW w:w="1320" w:type="dxa"/>
          </w:tcPr>
          <w:p w14:paraId="5D041447" w14:textId="77777777" w:rsidR="00842324" w:rsidRDefault="00000000">
            <w:pPr>
              <w:pStyle w:val="Compact"/>
            </w:pPr>
            <w:r>
              <w:t>0.000</w:t>
            </w:r>
          </w:p>
        </w:tc>
        <w:tc>
          <w:tcPr>
            <w:tcW w:w="1320" w:type="dxa"/>
          </w:tcPr>
          <w:p w14:paraId="5D041448" w14:textId="77777777" w:rsidR="00842324" w:rsidRDefault="00000000">
            <w:pPr>
              <w:pStyle w:val="Compact"/>
            </w:pPr>
            <w:r>
              <w:t>Stable</w:t>
            </w:r>
          </w:p>
        </w:tc>
      </w:tr>
      <w:tr w:rsidR="00842324" w14:paraId="5D041450" w14:textId="77777777">
        <w:tc>
          <w:tcPr>
            <w:tcW w:w="1320" w:type="dxa"/>
          </w:tcPr>
          <w:p w14:paraId="5D04144A" w14:textId="77777777" w:rsidR="00842324" w:rsidRDefault="00000000">
            <w:pPr>
              <w:pStyle w:val="Compact"/>
            </w:pPr>
            <w:r>
              <w:t>Temp — Heavy Tails</w:t>
            </w:r>
          </w:p>
        </w:tc>
        <w:tc>
          <w:tcPr>
            <w:tcW w:w="1320" w:type="dxa"/>
          </w:tcPr>
          <w:p w14:paraId="5D04144B" w14:textId="77777777" w:rsidR="00842324" w:rsidRDefault="00000000">
            <w:pPr>
              <w:pStyle w:val="Compact"/>
            </w:pPr>
            <w:r>
              <w:t>7</w:t>
            </w:r>
          </w:p>
        </w:tc>
        <w:tc>
          <w:tcPr>
            <w:tcW w:w="1320" w:type="dxa"/>
          </w:tcPr>
          <w:p w14:paraId="5D04144C" w14:textId="77777777" w:rsidR="00842324" w:rsidRDefault="00000000">
            <w:pPr>
              <w:pStyle w:val="Compact"/>
            </w:pPr>
            <w:r>
              <w:t>14% GREEN / 57% YELLOW / 28% RED</w:t>
            </w:r>
          </w:p>
        </w:tc>
        <w:tc>
          <w:tcPr>
            <w:tcW w:w="1320" w:type="dxa"/>
          </w:tcPr>
          <w:p w14:paraId="5D04144D" w14:textId="77777777" w:rsidR="00842324" w:rsidRDefault="00000000">
            <w:pPr>
              <w:pStyle w:val="Compact"/>
            </w:pPr>
            <w:r>
              <w:t>—</w:t>
            </w:r>
          </w:p>
        </w:tc>
        <w:tc>
          <w:tcPr>
            <w:tcW w:w="1320" w:type="dxa"/>
          </w:tcPr>
          <w:p w14:paraId="5D04144E" w14:textId="77777777" w:rsidR="00842324" w:rsidRDefault="00000000">
            <w:pPr>
              <w:pStyle w:val="Compact"/>
            </w:pPr>
            <w:r>
              <w:t>1.371</w:t>
            </w:r>
          </w:p>
        </w:tc>
        <w:tc>
          <w:tcPr>
            <w:tcW w:w="1320" w:type="dxa"/>
          </w:tcPr>
          <w:p w14:paraId="5D04144F" w14:textId="77777777" w:rsidR="00842324" w:rsidRDefault="00000000">
            <w:pPr>
              <w:pStyle w:val="Compact"/>
            </w:pPr>
            <w:r>
              <w:t>Unstable</w:t>
            </w:r>
          </w:p>
        </w:tc>
      </w:tr>
    </w:tbl>
    <w:p w14:paraId="5D041451" w14:textId="77777777" w:rsidR="00842324" w:rsidRDefault="00000000">
      <w:pPr>
        <w:pStyle w:val="BodyText"/>
      </w:pPr>
      <w:r>
        <w:t>Variance inflation and mean bias produce stable absorbing RED states (H = 0, T_RR = 1.0), consistent with large systematic miscalibration. Heavy tails is more nuanced: the price series locks into a stable YELLOW absorbing state across all 7 non-overlapping windows, while temperature fluctuates across all three zones (H = 1.371, unstable).</w:t>
      </w:r>
    </w:p>
    <w:p w14:paraId="5D041452" w14:textId="77777777" w:rsidR="00842324" w:rsidRDefault="00000000">
      <w:pPr>
        <w:pStyle w:val="BodyText"/>
      </w:pPr>
      <w:r>
        <w:t>The consistently YELLOW classification for price heavy-tails across rolling windows is more informative than the full-sample GREEN result: while the full-sample Anfuso test lacks power to reject at n = 365, the rolling analysis reveals that every subperiod produces marginal YELLOW signals. Rolling evaluation thereby complements full-sample testing, recovering signal that aggregate statistics obscure (Diebold, 2015; Giacomini and Rossi, 2010). This suggests the heavy-tail misspecification is detectable at the rolling level even when the full-sample test does not formally reject — a finding that motivates rolling-window diagnostics as a complementary detection tool for subtle misspecification.</w:t>
      </w:r>
    </w:p>
    <w:p w14:paraId="5D041453" w14:textId="77777777" w:rsidR="00842324" w:rsidRDefault="00000000">
      <w:r>
        <w:pict w14:anchorId="5D04160B">
          <v:rect id="_x0000_i1077" style="width:0;height:1.5pt" o:hralign="center" o:hrstd="t" o:hr="t"/>
        </w:pict>
      </w:r>
    </w:p>
    <w:p w14:paraId="5D041454" w14:textId="77777777" w:rsidR="00842324" w:rsidRDefault="00000000">
      <w:pPr>
        <w:pStyle w:val="Heading2"/>
      </w:pPr>
      <w:bookmarkStart w:id="145" w:name="X22c8d95f14950b78127fd5fd5a0912e85adc933"/>
      <w:bookmarkStart w:id="146" w:name="_Toc225682096"/>
      <w:bookmarkEnd w:id="140"/>
      <w:bookmarkEnd w:id="144"/>
      <w:r>
        <w:t>11. Governance Decisions and Narrative Generation (run_008)</w:t>
      </w:r>
      <w:bookmarkEnd w:id="146"/>
    </w:p>
    <w:p w14:paraId="5D041455" w14:textId="77777777" w:rsidR="00842324" w:rsidRDefault="00000000">
      <w:pPr>
        <w:pStyle w:val="Heading3"/>
      </w:pPr>
      <w:bookmarkStart w:id="147" w:name="structured-governance-decisions"/>
      <w:r>
        <w:t>11.1 Structured Governance Decisions</w:t>
      </w:r>
    </w:p>
    <w:p w14:paraId="5D041456" w14:textId="77777777" w:rsidR="00842324" w:rsidRDefault="00000000">
      <w:pPr>
        <w:pStyle w:val="FirstParagraph"/>
      </w:pPr>
      <w:r>
        <w:t xml:space="preserve">The </w:t>
      </w:r>
      <w:r>
        <w:rPr>
          <w:rStyle w:val="VerbatimChar"/>
        </w:rPr>
        <w:t>DecisionEngine</w:t>
      </w:r>
      <w:r>
        <w:t xml:space="preserve"> produces a structured </w:t>
      </w:r>
      <w:r>
        <w:rPr>
          <w:rStyle w:val="VerbatimChar"/>
        </w:rPr>
        <w:t>governance_decision.json</w:t>
      </w:r>
      <w:r>
        <w:t xml:space="preserve"> artifact for each evaluated dataset, consolidating all diagnostic signals into a single machine-readable governance record. The full-sample classification results across all eleven datasets are summarised below:</w:t>
      </w:r>
    </w:p>
    <w:tbl>
      <w:tblPr>
        <w:tblStyle w:val="Table"/>
        <w:tblW w:w="5000" w:type="pct"/>
        <w:tblLayout w:type="fixed"/>
        <w:tblLook w:val="0020" w:firstRow="1" w:lastRow="0" w:firstColumn="0" w:lastColumn="0" w:noHBand="0" w:noVBand="0"/>
      </w:tblPr>
      <w:tblGrid>
        <w:gridCol w:w="2394"/>
        <w:gridCol w:w="2394"/>
        <w:gridCol w:w="2394"/>
        <w:gridCol w:w="2394"/>
      </w:tblGrid>
      <w:tr w:rsidR="00842324" w14:paraId="5D04145B"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041457" w14:textId="77777777" w:rsidR="00842324" w:rsidRDefault="00000000">
            <w:pPr>
              <w:pStyle w:val="Compact"/>
            </w:pPr>
            <w:r>
              <w:t>Dataset</w:t>
            </w:r>
          </w:p>
        </w:tc>
        <w:tc>
          <w:tcPr>
            <w:tcW w:w="1980" w:type="dxa"/>
          </w:tcPr>
          <w:p w14:paraId="5D041458" w14:textId="77777777" w:rsidR="00842324" w:rsidRDefault="00000000">
            <w:pPr>
              <w:pStyle w:val="Compact"/>
            </w:pPr>
            <w:r>
              <w:t>Final Label</w:t>
            </w:r>
          </w:p>
        </w:tc>
        <w:tc>
          <w:tcPr>
            <w:tcW w:w="1980" w:type="dxa"/>
          </w:tcPr>
          <w:p w14:paraId="5D041459" w14:textId="77777777" w:rsidR="00842324" w:rsidRDefault="00000000">
            <w:pPr>
              <w:pStyle w:val="Compact"/>
            </w:pPr>
            <w:r>
              <w:t>Reason Codes</w:t>
            </w:r>
          </w:p>
        </w:tc>
        <w:tc>
          <w:tcPr>
            <w:tcW w:w="1980" w:type="dxa"/>
          </w:tcPr>
          <w:p w14:paraId="5D04145A" w14:textId="77777777" w:rsidR="00842324" w:rsidRDefault="00000000">
            <w:pPr>
              <w:pStyle w:val="Compact"/>
            </w:pPr>
            <w:r>
              <w:t>Empirical Coverage</w:t>
            </w:r>
          </w:p>
        </w:tc>
      </w:tr>
      <w:tr w:rsidR="00842324" w14:paraId="5D041460" w14:textId="77777777">
        <w:tc>
          <w:tcPr>
            <w:tcW w:w="1980" w:type="dxa"/>
          </w:tcPr>
          <w:p w14:paraId="5D04145C" w14:textId="77777777" w:rsidR="00842324" w:rsidRDefault="00000000">
            <w:pPr>
              <w:pStyle w:val="Compact"/>
            </w:pPr>
            <w:r>
              <w:t>ENTSO-E</w:t>
            </w:r>
          </w:p>
        </w:tc>
        <w:tc>
          <w:tcPr>
            <w:tcW w:w="1980" w:type="dxa"/>
          </w:tcPr>
          <w:p w14:paraId="5D04145D" w14:textId="77777777" w:rsidR="00842324" w:rsidRDefault="00000000">
            <w:pPr>
              <w:pStyle w:val="Compact"/>
            </w:pPr>
            <w:r>
              <w:t>RED</w:t>
            </w:r>
          </w:p>
        </w:tc>
        <w:tc>
          <w:tcPr>
            <w:tcW w:w="1980" w:type="dxa"/>
          </w:tcPr>
          <w:p w14:paraId="5D04145E" w14:textId="77777777" w:rsidR="00842324" w:rsidRDefault="00000000">
            <w:pPr>
              <w:pStyle w:val="Compact"/>
            </w:pPr>
            <w:r>
              <w:t>undercoverage, PIT_uniformity_fail, ACF_dependence_fail</w:t>
            </w:r>
          </w:p>
        </w:tc>
        <w:tc>
          <w:tcPr>
            <w:tcW w:w="1980" w:type="dxa"/>
          </w:tcPr>
          <w:p w14:paraId="5D04145F" w14:textId="77777777" w:rsidR="00842324" w:rsidRDefault="00000000">
            <w:pPr>
              <w:pStyle w:val="Compact"/>
            </w:pPr>
            <w:r>
              <w:t>87.1%</w:t>
            </w:r>
          </w:p>
        </w:tc>
      </w:tr>
      <w:tr w:rsidR="00842324" w14:paraId="5D041465" w14:textId="77777777">
        <w:tc>
          <w:tcPr>
            <w:tcW w:w="1980" w:type="dxa"/>
          </w:tcPr>
          <w:p w14:paraId="5D041461" w14:textId="77777777" w:rsidR="00842324" w:rsidRDefault="00000000">
            <w:pPr>
              <w:pStyle w:val="Compact"/>
            </w:pPr>
            <w:r>
              <w:t>PV Solar</w:t>
            </w:r>
          </w:p>
        </w:tc>
        <w:tc>
          <w:tcPr>
            <w:tcW w:w="1980" w:type="dxa"/>
          </w:tcPr>
          <w:p w14:paraId="5D041462" w14:textId="77777777" w:rsidR="00842324" w:rsidRDefault="00000000">
            <w:pPr>
              <w:pStyle w:val="Compact"/>
            </w:pPr>
            <w:r>
              <w:t>RED</w:t>
            </w:r>
          </w:p>
        </w:tc>
        <w:tc>
          <w:tcPr>
            <w:tcW w:w="1980" w:type="dxa"/>
          </w:tcPr>
          <w:p w14:paraId="5D041463" w14:textId="77777777" w:rsidR="00842324" w:rsidRDefault="00000000">
            <w:pPr>
              <w:pStyle w:val="Compact"/>
            </w:pPr>
            <w:r>
              <w:t xml:space="preserve">PIT_uniformity_fail, </w:t>
            </w:r>
            <w:r>
              <w:lastRenderedPageBreak/>
              <w:t>ACF_dependence_fail</w:t>
            </w:r>
          </w:p>
        </w:tc>
        <w:tc>
          <w:tcPr>
            <w:tcW w:w="1980" w:type="dxa"/>
          </w:tcPr>
          <w:p w14:paraId="5D041464" w14:textId="77777777" w:rsidR="00842324" w:rsidRDefault="00000000">
            <w:pPr>
              <w:pStyle w:val="Compact"/>
            </w:pPr>
            <w:r>
              <w:lastRenderedPageBreak/>
              <w:t>91.4%</w:t>
            </w:r>
          </w:p>
        </w:tc>
      </w:tr>
      <w:tr w:rsidR="00842324" w14:paraId="5D04146A" w14:textId="77777777">
        <w:tc>
          <w:tcPr>
            <w:tcW w:w="1980" w:type="dxa"/>
          </w:tcPr>
          <w:p w14:paraId="5D041466" w14:textId="77777777" w:rsidR="00842324" w:rsidRDefault="00000000">
            <w:pPr>
              <w:pStyle w:val="Compact"/>
            </w:pPr>
            <w:r>
              <w:t>Wind</w:t>
            </w:r>
          </w:p>
        </w:tc>
        <w:tc>
          <w:tcPr>
            <w:tcW w:w="1980" w:type="dxa"/>
          </w:tcPr>
          <w:p w14:paraId="5D041467" w14:textId="77777777" w:rsidR="00842324" w:rsidRDefault="00000000">
            <w:pPr>
              <w:pStyle w:val="Compact"/>
            </w:pPr>
            <w:r>
              <w:t>RED</w:t>
            </w:r>
          </w:p>
        </w:tc>
        <w:tc>
          <w:tcPr>
            <w:tcW w:w="1980" w:type="dxa"/>
          </w:tcPr>
          <w:p w14:paraId="5D041468" w14:textId="77777777" w:rsidR="00842324" w:rsidRDefault="00000000">
            <w:pPr>
              <w:pStyle w:val="Compact"/>
            </w:pPr>
            <w:r>
              <w:t>PIT_uniformity_fail, ACF_dependence_fail</w:t>
            </w:r>
          </w:p>
        </w:tc>
        <w:tc>
          <w:tcPr>
            <w:tcW w:w="1980" w:type="dxa"/>
          </w:tcPr>
          <w:p w14:paraId="5D041469" w14:textId="77777777" w:rsidR="00842324" w:rsidRDefault="00000000">
            <w:pPr>
              <w:pStyle w:val="Compact"/>
            </w:pPr>
            <w:r>
              <w:t>88.6%</w:t>
            </w:r>
          </w:p>
        </w:tc>
      </w:tr>
      <w:tr w:rsidR="00842324" w14:paraId="5D04146F" w14:textId="77777777">
        <w:tc>
          <w:tcPr>
            <w:tcW w:w="1980" w:type="dxa"/>
          </w:tcPr>
          <w:p w14:paraId="5D04146B" w14:textId="77777777" w:rsidR="00842324" w:rsidRDefault="00000000">
            <w:pPr>
              <w:pStyle w:val="Compact"/>
            </w:pPr>
            <w:r>
              <w:t>Sim Price (well-spec)</w:t>
            </w:r>
          </w:p>
        </w:tc>
        <w:tc>
          <w:tcPr>
            <w:tcW w:w="1980" w:type="dxa"/>
          </w:tcPr>
          <w:p w14:paraId="5D04146C" w14:textId="77777777" w:rsidR="00842324" w:rsidRDefault="00000000">
            <w:pPr>
              <w:pStyle w:val="Compact"/>
            </w:pPr>
            <w:r>
              <w:t>GREEN</w:t>
            </w:r>
          </w:p>
        </w:tc>
        <w:tc>
          <w:tcPr>
            <w:tcW w:w="1980" w:type="dxa"/>
          </w:tcPr>
          <w:p w14:paraId="5D04146D" w14:textId="77777777" w:rsidR="00842324" w:rsidRDefault="00000000">
            <w:pPr>
              <w:pStyle w:val="Compact"/>
            </w:pPr>
            <w:r>
              <w:t>all_clear</w:t>
            </w:r>
          </w:p>
        </w:tc>
        <w:tc>
          <w:tcPr>
            <w:tcW w:w="1980" w:type="dxa"/>
          </w:tcPr>
          <w:p w14:paraId="5D04146E" w14:textId="77777777" w:rsidR="00842324" w:rsidRDefault="00000000">
            <w:pPr>
              <w:pStyle w:val="Compact"/>
            </w:pPr>
            <w:r>
              <w:t>88.5%</w:t>
            </w:r>
          </w:p>
        </w:tc>
      </w:tr>
      <w:tr w:rsidR="00842324" w14:paraId="5D041474" w14:textId="77777777">
        <w:tc>
          <w:tcPr>
            <w:tcW w:w="1980" w:type="dxa"/>
          </w:tcPr>
          <w:p w14:paraId="5D041470" w14:textId="77777777" w:rsidR="00842324" w:rsidRDefault="00000000">
            <w:pPr>
              <w:pStyle w:val="Compact"/>
            </w:pPr>
            <w:r>
              <w:t>Sim Temp (well-spec)</w:t>
            </w:r>
          </w:p>
        </w:tc>
        <w:tc>
          <w:tcPr>
            <w:tcW w:w="1980" w:type="dxa"/>
          </w:tcPr>
          <w:p w14:paraId="5D041471" w14:textId="77777777" w:rsidR="00842324" w:rsidRDefault="00000000">
            <w:pPr>
              <w:pStyle w:val="Compact"/>
            </w:pPr>
            <w:r>
              <w:t>GREEN</w:t>
            </w:r>
          </w:p>
        </w:tc>
        <w:tc>
          <w:tcPr>
            <w:tcW w:w="1980" w:type="dxa"/>
          </w:tcPr>
          <w:p w14:paraId="5D041472" w14:textId="77777777" w:rsidR="00842324" w:rsidRDefault="00000000">
            <w:pPr>
              <w:pStyle w:val="Compact"/>
            </w:pPr>
            <w:r>
              <w:t>all_clear</w:t>
            </w:r>
          </w:p>
        </w:tc>
        <w:tc>
          <w:tcPr>
            <w:tcW w:w="1980" w:type="dxa"/>
          </w:tcPr>
          <w:p w14:paraId="5D041473" w14:textId="77777777" w:rsidR="00842324" w:rsidRDefault="00000000">
            <w:pPr>
              <w:pStyle w:val="Compact"/>
            </w:pPr>
            <w:r>
              <w:t>89.6%</w:t>
            </w:r>
          </w:p>
        </w:tc>
      </w:tr>
      <w:tr w:rsidR="00842324" w14:paraId="5D041479" w14:textId="77777777">
        <w:tc>
          <w:tcPr>
            <w:tcW w:w="1980" w:type="dxa"/>
          </w:tcPr>
          <w:p w14:paraId="5D041475" w14:textId="77777777" w:rsidR="00842324" w:rsidRDefault="00000000">
            <w:pPr>
              <w:pStyle w:val="Compact"/>
            </w:pPr>
            <w:r>
              <w:t>Sim Price — Var Inflation</w:t>
            </w:r>
          </w:p>
        </w:tc>
        <w:tc>
          <w:tcPr>
            <w:tcW w:w="1980" w:type="dxa"/>
          </w:tcPr>
          <w:p w14:paraId="5D041476" w14:textId="77777777" w:rsidR="00842324" w:rsidRDefault="00000000">
            <w:pPr>
              <w:pStyle w:val="Compact"/>
            </w:pPr>
            <w:r>
              <w:t>RED</w:t>
            </w:r>
          </w:p>
        </w:tc>
        <w:tc>
          <w:tcPr>
            <w:tcW w:w="1980" w:type="dxa"/>
          </w:tcPr>
          <w:p w14:paraId="5D041477" w14:textId="77777777" w:rsidR="00842324" w:rsidRDefault="00000000">
            <w:pPr>
              <w:pStyle w:val="Compact"/>
            </w:pPr>
            <w:r>
              <w:t>undercoverage</w:t>
            </w:r>
          </w:p>
        </w:tc>
        <w:tc>
          <w:tcPr>
            <w:tcW w:w="1980" w:type="dxa"/>
          </w:tcPr>
          <w:p w14:paraId="5D041478" w14:textId="77777777" w:rsidR="00842324" w:rsidRDefault="00000000">
            <w:pPr>
              <w:pStyle w:val="Compact"/>
            </w:pPr>
            <w:r>
              <w:t>55.3%</w:t>
            </w:r>
          </w:p>
        </w:tc>
      </w:tr>
      <w:tr w:rsidR="00842324" w14:paraId="5D04147E" w14:textId="77777777">
        <w:tc>
          <w:tcPr>
            <w:tcW w:w="1980" w:type="dxa"/>
          </w:tcPr>
          <w:p w14:paraId="5D04147A" w14:textId="77777777" w:rsidR="00842324" w:rsidRDefault="00000000">
            <w:pPr>
              <w:pStyle w:val="Compact"/>
            </w:pPr>
            <w:r>
              <w:t>Sim Price — Mean Bias</w:t>
            </w:r>
          </w:p>
        </w:tc>
        <w:tc>
          <w:tcPr>
            <w:tcW w:w="1980" w:type="dxa"/>
          </w:tcPr>
          <w:p w14:paraId="5D04147B" w14:textId="77777777" w:rsidR="00842324" w:rsidRDefault="00000000">
            <w:pPr>
              <w:pStyle w:val="Compact"/>
            </w:pPr>
            <w:r>
              <w:t>RED</w:t>
            </w:r>
          </w:p>
        </w:tc>
        <w:tc>
          <w:tcPr>
            <w:tcW w:w="1980" w:type="dxa"/>
          </w:tcPr>
          <w:p w14:paraId="5D04147C" w14:textId="77777777" w:rsidR="00842324" w:rsidRDefault="00000000">
            <w:pPr>
              <w:pStyle w:val="Compact"/>
            </w:pPr>
            <w:r>
              <w:t>undercoverage</w:t>
            </w:r>
          </w:p>
        </w:tc>
        <w:tc>
          <w:tcPr>
            <w:tcW w:w="1980" w:type="dxa"/>
          </w:tcPr>
          <w:p w14:paraId="5D04147D" w14:textId="77777777" w:rsidR="00842324" w:rsidRDefault="00000000">
            <w:pPr>
              <w:pStyle w:val="Compact"/>
            </w:pPr>
            <w:r>
              <w:t>70.4%</w:t>
            </w:r>
          </w:p>
        </w:tc>
      </w:tr>
      <w:tr w:rsidR="00842324" w14:paraId="5D041483" w14:textId="77777777">
        <w:tc>
          <w:tcPr>
            <w:tcW w:w="1980" w:type="dxa"/>
          </w:tcPr>
          <w:p w14:paraId="5D04147F" w14:textId="77777777" w:rsidR="00842324" w:rsidRDefault="00000000">
            <w:pPr>
              <w:pStyle w:val="Compact"/>
            </w:pPr>
            <w:r>
              <w:t>Sim Price — Heavy Tails</w:t>
            </w:r>
          </w:p>
        </w:tc>
        <w:tc>
          <w:tcPr>
            <w:tcW w:w="1980" w:type="dxa"/>
          </w:tcPr>
          <w:p w14:paraId="5D041480" w14:textId="77777777" w:rsidR="00842324" w:rsidRDefault="00000000">
            <w:pPr>
              <w:pStyle w:val="Compact"/>
            </w:pPr>
            <w:r>
              <w:t>GREEN</w:t>
            </w:r>
          </w:p>
        </w:tc>
        <w:tc>
          <w:tcPr>
            <w:tcW w:w="1980" w:type="dxa"/>
          </w:tcPr>
          <w:p w14:paraId="5D041481" w14:textId="77777777" w:rsidR="00842324" w:rsidRDefault="00000000">
            <w:pPr>
              <w:pStyle w:val="Compact"/>
            </w:pPr>
            <w:r>
              <w:t>all_clear</w:t>
            </w:r>
          </w:p>
        </w:tc>
        <w:tc>
          <w:tcPr>
            <w:tcW w:w="1980" w:type="dxa"/>
          </w:tcPr>
          <w:p w14:paraId="5D041482" w14:textId="77777777" w:rsidR="00842324" w:rsidRDefault="00000000">
            <w:pPr>
              <w:pStyle w:val="Compact"/>
            </w:pPr>
            <w:r>
              <w:t>90.1%</w:t>
            </w:r>
          </w:p>
        </w:tc>
      </w:tr>
      <w:tr w:rsidR="00842324" w14:paraId="5D041488" w14:textId="77777777">
        <w:tc>
          <w:tcPr>
            <w:tcW w:w="1980" w:type="dxa"/>
          </w:tcPr>
          <w:p w14:paraId="5D041484" w14:textId="77777777" w:rsidR="00842324" w:rsidRDefault="00000000">
            <w:pPr>
              <w:pStyle w:val="Compact"/>
            </w:pPr>
            <w:r>
              <w:t>Sim Temp — Var Inflation</w:t>
            </w:r>
          </w:p>
        </w:tc>
        <w:tc>
          <w:tcPr>
            <w:tcW w:w="1980" w:type="dxa"/>
          </w:tcPr>
          <w:p w14:paraId="5D041485" w14:textId="77777777" w:rsidR="00842324" w:rsidRDefault="00000000">
            <w:pPr>
              <w:pStyle w:val="Compact"/>
            </w:pPr>
            <w:r>
              <w:t>RED</w:t>
            </w:r>
          </w:p>
        </w:tc>
        <w:tc>
          <w:tcPr>
            <w:tcW w:w="1980" w:type="dxa"/>
          </w:tcPr>
          <w:p w14:paraId="5D041486" w14:textId="77777777" w:rsidR="00842324" w:rsidRDefault="00000000">
            <w:pPr>
              <w:pStyle w:val="Compact"/>
            </w:pPr>
            <w:r>
              <w:t>undercoverage</w:t>
            </w:r>
          </w:p>
        </w:tc>
        <w:tc>
          <w:tcPr>
            <w:tcW w:w="1980" w:type="dxa"/>
          </w:tcPr>
          <w:p w14:paraId="5D041487" w14:textId="77777777" w:rsidR="00842324" w:rsidRDefault="00000000">
            <w:pPr>
              <w:pStyle w:val="Compact"/>
            </w:pPr>
            <w:r>
              <w:t>62.5%</w:t>
            </w:r>
          </w:p>
        </w:tc>
      </w:tr>
      <w:tr w:rsidR="00842324" w14:paraId="5D04148D" w14:textId="77777777">
        <w:tc>
          <w:tcPr>
            <w:tcW w:w="1980" w:type="dxa"/>
          </w:tcPr>
          <w:p w14:paraId="5D041489" w14:textId="77777777" w:rsidR="00842324" w:rsidRDefault="00000000">
            <w:pPr>
              <w:pStyle w:val="Compact"/>
            </w:pPr>
            <w:r>
              <w:t>Sim Temp — Mean Bias</w:t>
            </w:r>
          </w:p>
        </w:tc>
        <w:tc>
          <w:tcPr>
            <w:tcW w:w="1980" w:type="dxa"/>
          </w:tcPr>
          <w:p w14:paraId="5D04148A" w14:textId="77777777" w:rsidR="00842324" w:rsidRDefault="00000000">
            <w:pPr>
              <w:pStyle w:val="Compact"/>
            </w:pPr>
            <w:r>
              <w:t>RED</w:t>
            </w:r>
          </w:p>
        </w:tc>
        <w:tc>
          <w:tcPr>
            <w:tcW w:w="1980" w:type="dxa"/>
          </w:tcPr>
          <w:p w14:paraId="5D04148B" w14:textId="77777777" w:rsidR="00842324" w:rsidRDefault="00000000">
            <w:pPr>
              <w:pStyle w:val="Compact"/>
            </w:pPr>
            <w:r>
              <w:t>undercoverage</w:t>
            </w:r>
          </w:p>
        </w:tc>
        <w:tc>
          <w:tcPr>
            <w:tcW w:w="1980" w:type="dxa"/>
          </w:tcPr>
          <w:p w14:paraId="5D04148C" w14:textId="77777777" w:rsidR="00842324" w:rsidRDefault="00000000">
            <w:pPr>
              <w:pStyle w:val="Compact"/>
            </w:pPr>
            <w:r>
              <w:t>70.4%</w:t>
            </w:r>
          </w:p>
        </w:tc>
      </w:tr>
      <w:tr w:rsidR="00842324" w14:paraId="5D041492" w14:textId="77777777">
        <w:tc>
          <w:tcPr>
            <w:tcW w:w="1980" w:type="dxa"/>
          </w:tcPr>
          <w:p w14:paraId="5D04148E" w14:textId="77777777" w:rsidR="00842324" w:rsidRDefault="00000000">
            <w:pPr>
              <w:pStyle w:val="Compact"/>
            </w:pPr>
            <w:r>
              <w:t>Sim Temp — Heavy Tails</w:t>
            </w:r>
          </w:p>
        </w:tc>
        <w:tc>
          <w:tcPr>
            <w:tcW w:w="1980" w:type="dxa"/>
          </w:tcPr>
          <w:p w14:paraId="5D04148F" w14:textId="77777777" w:rsidR="00842324" w:rsidRDefault="00000000">
            <w:pPr>
              <w:pStyle w:val="Compact"/>
            </w:pPr>
            <w:r>
              <w:t>YELLOW</w:t>
            </w:r>
          </w:p>
        </w:tc>
        <w:tc>
          <w:tcPr>
            <w:tcW w:w="1980" w:type="dxa"/>
          </w:tcPr>
          <w:p w14:paraId="5D041490" w14:textId="77777777" w:rsidR="00842324" w:rsidRDefault="00000000">
            <w:pPr>
              <w:pStyle w:val="Compact"/>
            </w:pPr>
            <w:r>
              <w:t>—</w:t>
            </w:r>
          </w:p>
        </w:tc>
        <w:tc>
          <w:tcPr>
            <w:tcW w:w="1980" w:type="dxa"/>
          </w:tcPr>
          <w:p w14:paraId="5D041491" w14:textId="77777777" w:rsidR="00842324" w:rsidRDefault="00000000">
            <w:pPr>
              <w:pStyle w:val="Compact"/>
            </w:pPr>
            <w:r>
              <w:t>92.3%</w:t>
            </w:r>
          </w:p>
        </w:tc>
      </w:tr>
      <w:tr w:rsidR="00842324" w14:paraId="5D041497" w14:textId="77777777">
        <w:tc>
          <w:tcPr>
            <w:tcW w:w="1980" w:type="dxa"/>
          </w:tcPr>
          <w:p w14:paraId="5D041493" w14:textId="77777777" w:rsidR="00842324" w:rsidRDefault="00000000">
            <w:pPr>
              <w:pStyle w:val="Compact"/>
            </w:pPr>
            <w:r>
              <w:t>ENTSO-E Wind (DE, run_009)</w:t>
            </w:r>
          </w:p>
        </w:tc>
        <w:tc>
          <w:tcPr>
            <w:tcW w:w="1980" w:type="dxa"/>
          </w:tcPr>
          <w:p w14:paraId="5D041494" w14:textId="77777777" w:rsidR="00842324" w:rsidRDefault="00000000">
            <w:pPr>
              <w:pStyle w:val="Compact"/>
            </w:pPr>
            <w:r>
              <w:t>RED†</w:t>
            </w:r>
          </w:p>
        </w:tc>
        <w:tc>
          <w:tcPr>
            <w:tcW w:w="1980" w:type="dxa"/>
          </w:tcPr>
          <w:p w14:paraId="5D041495" w14:textId="77777777" w:rsidR="00842324" w:rsidRDefault="00000000">
            <w:pPr>
              <w:pStyle w:val="Compact"/>
            </w:pPr>
            <w:r>
              <w:t>PIT_uniformity_fail, ACF_dependence_fail</w:t>
            </w:r>
          </w:p>
        </w:tc>
        <w:tc>
          <w:tcPr>
            <w:tcW w:w="1980" w:type="dxa"/>
          </w:tcPr>
          <w:p w14:paraId="5D041496" w14:textId="77777777" w:rsidR="00842324" w:rsidRDefault="00000000">
            <w:pPr>
              <w:pStyle w:val="Compact"/>
            </w:pPr>
            <w:r>
              <w:t>89.2%</w:t>
            </w:r>
          </w:p>
        </w:tc>
      </w:tr>
      <w:tr w:rsidR="00842324" w14:paraId="5D04149C" w14:textId="77777777">
        <w:tc>
          <w:tcPr>
            <w:tcW w:w="1980" w:type="dxa"/>
          </w:tcPr>
          <w:p w14:paraId="5D041498" w14:textId="77777777" w:rsidR="00842324" w:rsidRDefault="00000000">
            <w:pPr>
              <w:pStyle w:val="Compact"/>
            </w:pPr>
            <w:r>
              <w:t>ENTSO-E Solar (DE, run_010)</w:t>
            </w:r>
          </w:p>
        </w:tc>
        <w:tc>
          <w:tcPr>
            <w:tcW w:w="1980" w:type="dxa"/>
          </w:tcPr>
          <w:p w14:paraId="5D041499" w14:textId="77777777" w:rsidR="00842324" w:rsidRDefault="00000000">
            <w:pPr>
              <w:pStyle w:val="Compact"/>
            </w:pPr>
            <w:r>
              <w:t>RED†</w:t>
            </w:r>
          </w:p>
        </w:tc>
        <w:tc>
          <w:tcPr>
            <w:tcW w:w="1980" w:type="dxa"/>
          </w:tcPr>
          <w:p w14:paraId="5D04149A" w14:textId="77777777" w:rsidR="00842324" w:rsidRDefault="00000000">
            <w:pPr>
              <w:pStyle w:val="Compact"/>
            </w:pPr>
            <w:r>
              <w:t>PIT_uniformity_fail, ACF_dependence_fail</w:t>
            </w:r>
          </w:p>
        </w:tc>
        <w:tc>
          <w:tcPr>
            <w:tcW w:w="1980" w:type="dxa"/>
          </w:tcPr>
          <w:p w14:paraId="5D04149B" w14:textId="77777777" w:rsidR="00842324" w:rsidRDefault="00000000">
            <w:pPr>
              <w:pStyle w:val="Compact"/>
            </w:pPr>
            <w:r>
              <w:t>89.9%</w:t>
            </w:r>
          </w:p>
        </w:tc>
      </w:tr>
    </w:tbl>
    <w:p w14:paraId="5D04149D" w14:textId="77777777" w:rsidR="00842324" w:rsidRDefault="00000000">
      <w:pPr>
        <w:pStyle w:val="BodyText"/>
      </w:pPr>
      <w:r>
        <w:t xml:space="preserve">The reason code vocabulary directly identifies which diagnostic branch triggered each classification. ENTSO-E is the only dataset to trigger </w:t>
      </w:r>
      <w:r>
        <w:rPr>
          <w:rStyle w:val="VerbatimChar"/>
        </w:rPr>
        <w:t>undercoverage</w:t>
      </w:r>
      <w:r>
        <w:t xml:space="preserve"> alongside distributional failures — its −2.94 pp coverage shortfall crosses the policy tolerance threshold in addition to failing PIT diagnostics. PV and wind trigger only distributional reason codes, confirming their coverage is near-nominal while their distributional shape and temporal structure are systematically misspecified. The misspecification scenarios uniformly trigger </w:t>
      </w:r>
      <w:r>
        <w:rPr>
          <w:rStyle w:val="VerbatimChar"/>
        </w:rPr>
        <w:t>undercoverage</w:t>
      </w:r>
      <w:r>
        <w:t>, reflecting that variance inflation and mean bias produce interval failures severe enough to dominate the classification regardless of distributional diagnostics. The run_009 and run_010 RED classifications (†) are driven by large-n test sensitivity rather than substantive miscalibration — see Section 7.3 for full discussion.</w:t>
      </w:r>
    </w:p>
    <w:p w14:paraId="5D04149E" w14:textId="77777777" w:rsidR="00842324" w:rsidRDefault="00000000">
      <w:pPr>
        <w:pStyle w:val="BodyText"/>
      </w:pPr>
      <w:r>
        <w:t xml:space="preserve">Each decision record includes a full provenance audit trail: the list of computed diagnostics, skipped diagnostics and reasons, policy source (global or regime-calibrated), </w:t>
      </w:r>
      <w:r>
        <w:lastRenderedPageBreak/>
        <w:t>and decision timestamp. This enables post-hoc inspection of exactly which evidence produced each classification.</w:t>
      </w:r>
    </w:p>
    <w:p w14:paraId="5D04149F" w14:textId="77777777" w:rsidR="00842324" w:rsidRDefault="00000000">
      <w:pPr>
        <w:pStyle w:val="Heading3"/>
      </w:pPr>
      <w:bookmarkStart w:id="148" w:name="ai-generated-governance-narratives"/>
      <w:bookmarkEnd w:id="147"/>
      <w:r>
        <w:t>11.2 AI-Generated Governance Narratives</w:t>
      </w:r>
    </w:p>
    <w:p w14:paraId="5D0414A0" w14:textId="77777777" w:rsidR="00842324" w:rsidRDefault="00000000">
      <w:pPr>
        <w:pStyle w:val="FirstParagraph"/>
      </w:pPr>
      <w:r>
        <w:t xml:space="preserve">The </w:t>
      </w:r>
      <w:r>
        <w:rPr>
          <w:rStyle w:val="VerbatimChar"/>
        </w:rPr>
        <w:t>NarrativeGenerator</w:t>
      </w:r>
      <w:r>
        <w:t xml:space="preserve"> component converts each </w:t>
      </w:r>
      <w:r>
        <w:rPr>
          <w:rStyle w:val="VerbatimChar"/>
        </w:rPr>
        <w:t>GovernanceDecision</w:t>
      </w:r>
      <w:r>
        <w:t xml:space="preserve"> into two parallel narrative registers via the Anthropic API. The technical narrative for the ENTSO-E dataset illustrates the output for a RED classification with multiple reason codes:</w:t>
      </w:r>
    </w:p>
    <w:p w14:paraId="5D0414A1" w14:textId="77777777" w:rsidR="00842324" w:rsidRDefault="00000000">
      <w:pPr>
        <w:pStyle w:val="BlockText"/>
      </w:pPr>
      <w:r>
        <w:rPr>
          <w:i/>
          <w:iCs/>
        </w:rPr>
        <w:t>The uploaded electricity load forecast model has been classified RED under our probabilistic validation framework, triggering immediate remediation requirements and a potential Basel III capital multiplier escalation. The model exhibits severe undercoverage with empirical coverage of 61.94% against the 90% target (coverage error of −28.06%), indicating systematic underestimation of forecast uncertainty. PIT uniformity diagnostics show complete distributional failure with Kolmogorov–Smirnov p-value of 4×10⁻⁶ and Cramér–von Mises p-value effectively zero, while Ljung–Box tests reveal significant temporal dependence in forecast errors across all tested lags (5, 10, 20) with p-values of zero. The Anfuso traffic-light system confirms RED classification across all breach categories (total breach rate 38.1% vs. expected 10%), necessitating immediate model suspension under REMIT Article 15 reporting obligations and triggering enhanced capital adequacy requirements.</w:t>
      </w:r>
    </w:p>
    <w:p w14:paraId="5D0414A2" w14:textId="77777777" w:rsidR="00842324" w:rsidRDefault="00000000">
      <w:pPr>
        <w:pStyle w:val="FirstParagraph"/>
      </w:pPr>
      <w:r>
        <w:t>The plain-language register for the same dataset translates this into non-technical terms suitable for management or commercial teams. The two registers are generated from the same structured input in a single API call at a cost of approximately $0.005 per dataset, ensuring consistency between technical and non-technical accounts while extending the reach of the governance framework to audiences who could not otherwise engage with the diagnostic outputs.</w:t>
      </w:r>
    </w:p>
    <w:p w14:paraId="5D0414A3" w14:textId="77777777" w:rsidR="00842324" w:rsidRDefault="00000000">
      <w:pPr>
        <w:pStyle w:val="BodyText"/>
      </w:pPr>
      <w:r>
        <w:t xml:space="preserve">Narrative artifacts are written to each experiment directory alongside the existing diagnostic artifacts: </w:t>
      </w:r>
      <w:r>
        <w:rPr>
          <w:rStyle w:val="VerbatimChar"/>
        </w:rPr>
        <w:t>narrative_technical.md</w:t>
      </w:r>
      <w:r>
        <w:t xml:space="preserve">, </w:t>
      </w:r>
      <w:r>
        <w:rPr>
          <w:rStyle w:val="VerbatimChar"/>
        </w:rPr>
        <w:t>narrative_plain.md</w:t>
      </w:r>
      <w:r>
        <w:t xml:space="preserve">, and </w:t>
      </w:r>
      <w:r>
        <w:rPr>
          <w:rStyle w:val="VerbatimChar"/>
        </w:rPr>
        <w:t>narrative_combined.md</w:t>
      </w:r>
      <w:r>
        <w:t>. If no API key is configured, clearly labelled stub narratives are written and the pipeline continues without interruption, ensuring the governance decision artifacts remain complete regardless of API availability.</w:t>
      </w:r>
    </w:p>
    <w:p w14:paraId="5D0414A4" w14:textId="77777777" w:rsidR="00842324" w:rsidRDefault="00000000">
      <w:pPr>
        <w:pStyle w:val="Heading1"/>
      </w:pPr>
      <w:bookmarkStart w:id="149" w:name="discussion"/>
      <w:bookmarkStart w:id="150" w:name="_Toc225682097"/>
      <w:bookmarkEnd w:id="73"/>
      <w:bookmarkEnd w:id="145"/>
      <w:bookmarkEnd w:id="148"/>
      <w:r>
        <w:t>Discussion</w:t>
      </w:r>
      <w:bookmarkEnd w:id="150"/>
    </w:p>
    <w:p w14:paraId="5D0414A5" w14:textId="77777777" w:rsidR="00842324" w:rsidRDefault="00000000">
      <w:pPr>
        <w:pStyle w:val="Heading1"/>
      </w:pPr>
      <w:bookmarkStart w:id="151" w:name="discussion-1"/>
      <w:bookmarkStart w:id="152" w:name="_Toc225682098"/>
      <w:bookmarkEnd w:id="149"/>
      <w:r>
        <w:t>Discussion</w:t>
      </w:r>
      <w:bookmarkEnd w:id="152"/>
    </w:p>
    <w:p w14:paraId="5D0414A6" w14:textId="77777777" w:rsidR="00842324" w:rsidRDefault="00000000">
      <w:pPr>
        <w:pStyle w:val="FirstParagraph"/>
      </w:pPr>
      <w:r>
        <w:t>This chapter interprets the empirical results in relation to the three research questions, situates the findings within the broader literature, and addresses the principal limitations of the framework.</w:t>
      </w:r>
    </w:p>
    <w:p w14:paraId="5D0414A7" w14:textId="77777777" w:rsidR="00842324" w:rsidRDefault="00000000">
      <w:r>
        <w:lastRenderedPageBreak/>
        <w:pict w14:anchorId="5D04160C">
          <v:rect id="_x0000_i1078" style="width:0;height:1.5pt" o:hralign="center" o:hrstd="t" o:hr="t"/>
        </w:pict>
      </w:r>
    </w:p>
    <w:p w14:paraId="5D0414A8" w14:textId="77777777" w:rsidR="00842324" w:rsidRDefault="00000000">
      <w:pPr>
        <w:pStyle w:val="Heading2"/>
      </w:pPr>
      <w:bookmarkStart w:id="153" w:name="Xd7619b6be53f83f7797a638155f8c61df5b995d"/>
      <w:bookmarkStart w:id="154" w:name="_Toc225682099"/>
      <w:r>
        <w:t>1. RQ1 — A Unified Probabilistic Reliability Architecture</w:t>
      </w:r>
      <w:bookmarkEnd w:id="154"/>
    </w:p>
    <w:p w14:paraId="5D0414A9" w14:textId="77777777" w:rsidR="00842324" w:rsidRDefault="00000000">
      <w:pPr>
        <w:pStyle w:val="FirstParagraph"/>
      </w:pPr>
      <w:r>
        <w:rPr>
          <w:b/>
          <w:bCs/>
        </w:rPr>
        <w:t>RQ1:</w:t>
      </w:r>
      <w:r>
        <w:t xml:space="preserve"> Can heterogeneous energy-market models be evaluated within a unified probabilistic reliability architecture without compromising diagnostic depth or interpretability?</w:t>
      </w:r>
    </w:p>
    <w:p w14:paraId="5D0414AA" w14:textId="77777777" w:rsidR="00842324" w:rsidRDefault="00000000">
      <w:pPr>
        <w:pStyle w:val="BodyText"/>
      </w:pPr>
      <w:r>
        <w:t>The empirical results provide a positive answer, with an important qualification about what “unified” means in practice.</w:t>
      </w:r>
    </w:p>
    <w:p w14:paraId="5D0414AB" w14:textId="77777777" w:rsidR="00842324" w:rsidRDefault="00000000">
      <w:pPr>
        <w:pStyle w:val="Heading3"/>
      </w:pPr>
      <w:bookmarkStart w:id="155" w:name="what-unification-achieves"/>
      <w:r>
        <w:t>1.1 What unification achieves</w:t>
      </w:r>
    </w:p>
    <w:p w14:paraId="5D0414AC" w14:textId="77777777" w:rsidR="00842324" w:rsidRDefault="00000000">
      <w:pPr>
        <w:pStyle w:val="FirstParagraph"/>
      </w:pPr>
      <w:r>
        <w:t>All four model classes — short-term electricity load forecasting (ENTSO-E), long-term PV generation, long-term wind generation, and synthetic Monte Carlo simulation — were evaluated under the same diagnostic pipeline without modification. The framework consumed point forecasts and simulation paths alike, converting both into a common evaluable object (predictive interval + sample array) before applying an identical battery of tests. The cross-dataset summary table in Section 7 of the Results confirms that this produces meaningful, comparable governance classifications: three RED results on real-data models and two GREEN results on the positive control.</w:t>
      </w:r>
    </w:p>
    <w:p w14:paraId="5D0414AD" w14:textId="77777777" w:rsidR="00842324" w:rsidRDefault="00000000">
      <w:pPr>
        <w:pStyle w:val="BodyText"/>
      </w:pPr>
      <w:r>
        <w:t>Critically, the unification does not flatten the findings into a single scalar. The traffic-light framework separates interval coverage, PIT uniformity, and serial independence as distinct diagnostic dimensions, and the real-data models fail on different combinations of these. ENTSO-E fails on all three; PV fails on PIT and independence while passing coverage; wind fails on interval backtesting (lower tail only) and distributional diagnostics. These are structurally distinct failure modes that a unified scalar metric would have obscured. The framework thus achieves what the proposal described: comparability within a shared probabilistic reliability space without imposing methodological homogenisation.</w:t>
      </w:r>
    </w:p>
    <w:p w14:paraId="5D0414AE" w14:textId="77777777" w:rsidR="00842324" w:rsidRDefault="00000000">
      <w:pPr>
        <w:pStyle w:val="Heading3"/>
      </w:pPr>
      <w:bookmarkStart w:id="156" w:name="the-pv-finding-as-the-key-test-case"/>
      <w:bookmarkEnd w:id="155"/>
      <w:r>
        <w:t>1.2 The PV finding as the key test case</w:t>
      </w:r>
    </w:p>
    <w:p w14:paraId="5D0414AF" w14:textId="77777777" w:rsidR="00842324" w:rsidRDefault="00000000">
      <w:pPr>
        <w:pStyle w:val="FirstParagraph"/>
      </w:pPr>
      <w:r>
        <w:t>The most important single finding for RQ1 is the PV result. PV passes interval backtesting (GREEN Anfuso, 91.4% coverage) but fails PIT uniformity and independence diagnostics (both strongly rejected). This divergence directly demonstrates that coverage-only governance — the dominant evaluation paradigm in energy forecasting practice (Weron, 2014; Nowotarski and Weron, 2018) — would classify PV as acceptable while a distributional-layer diagnostic correctly flags systematic misspecification. This is not a theoretical argument: it is an empirical finding on real industry data.</w:t>
      </w:r>
    </w:p>
    <w:p w14:paraId="5D0414B0" w14:textId="77777777" w:rsidR="00842324" w:rsidRDefault="00000000">
      <w:pPr>
        <w:pStyle w:val="BodyText"/>
      </w:pPr>
      <w:r>
        <w:t>This result is consistent with the broader literature on probabilistic forecast evaluation. Gneiting and Katzfuss (2014) argue that calibration and sharpness must be evaluated jointly, and that coverage metrics alone cannot distinguish a well-calibrated sharp forecast from a poorly-calibrated but accidentally correct one. The PV finding is a concrete instantiation of this theoretical point in an energy market context.</w:t>
      </w:r>
    </w:p>
    <w:p w14:paraId="5D0414B1" w14:textId="77777777" w:rsidR="00842324" w:rsidRDefault="00000000">
      <w:pPr>
        <w:pStyle w:val="Heading3"/>
      </w:pPr>
      <w:bookmarkStart w:id="157" w:name="X44a84bccfdafcd2e426fdb8c29712bce69b9219"/>
      <w:bookmarkEnd w:id="156"/>
      <w:r>
        <w:lastRenderedPageBreak/>
        <w:t>1.3 Distribution reconstruction as a prerequisite</w:t>
      </w:r>
    </w:p>
    <w:p w14:paraId="5D0414B2" w14:textId="77777777" w:rsidR="00842324" w:rsidRDefault="00000000">
      <w:pPr>
        <w:pStyle w:val="FirstParagraph"/>
      </w:pPr>
      <w:r>
        <w:t>For the three real-data model classes, the unified architecture required a distribution reconstruction step before any probabilistic diagnostic could be applied. This step — rolling empirical residual quantiles with time-of-day conditioning — is not itself a contribution to forecasting methodology, but it is a necessary architectural component. Without it, PIT-based evaluation of point-forecast models is not possible, and the unification claim collapses.</w:t>
      </w:r>
    </w:p>
    <w:p w14:paraId="5D0414B3" w14:textId="77777777" w:rsidR="00842324" w:rsidRDefault="00000000">
      <w:pPr>
        <w:pStyle w:val="BodyText"/>
      </w:pPr>
      <w:r>
        <w:t>The reconstruction produces coverage rates of 87.1% (ENTSO-E), 91.4% (PV), and 88.6% (wind) against a 90% nominal target. These imperfections are not failures of the reconstruction — they are genuine findings about the models being evaluated. A perfect reconstruction would itself be a model improvement, not a validation tool. The framework’s role is to diagnose the imperfections, not to eliminate them.</w:t>
      </w:r>
    </w:p>
    <w:p w14:paraId="5D0414B4" w14:textId="77777777" w:rsidR="00842324" w:rsidRDefault="00000000">
      <w:r>
        <w:pict w14:anchorId="5D04160D">
          <v:rect id="_x0000_i1079" style="width:0;height:1.5pt" o:hralign="center" o:hrstd="t" o:hr="t"/>
        </w:pict>
      </w:r>
    </w:p>
    <w:p w14:paraId="5D0414B5" w14:textId="77777777" w:rsidR="00842324" w:rsidRDefault="00000000">
      <w:pPr>
        <w:pStyle w:val="Heading2"/>
      </w:pPr>
      <w:bookmarkStart w:id="158" w:name="X2960ab550ca0bdb21de1f40ad8e424179f50f37"/>
      <w:bookmarkStart w:id="159" w:name="_Toc225682100"/>
      <w:bookmarkEnd w:id="153"/>
      <w:bookmarkEnd w:id="157"/>
      <w:r>
        <w:t>2. RQ2 — Conformal Augmentation Under Regime Shifts</w:t>
      </w:r>
      <w:bookmarkEnd w:id="159"/>
    </w:p>
    <w:p w14:paraId="5D0414B6" w14:textId="77777777" w:rsidR="00842324" w:rsidRDefault="00000000">
      <w:pPr>
        <w:pStyle w:val="FirstParagraph"/>
      </w:pPr>
      <w:r>
        <w:rPr>
          <w:b/>
          <w:bCs/>
        </w:rPr>
        <w:t>RQ2:</w:t>
      </w:r>
      <w:r>
        <w:t xml:space="preserve"> Under which market conditions do conformal augmentation methods improve finite-sample coverage stability relative to classical PIT-based calibration diagnostics under regime shifts and temporal dependence?</w:t>
      </w:r>
    </w:p>
    <w:p w14:paraId="5D0414B7" w14:textId="77777777" w:rsidR="00842324" w:rsidRDefault="00000000">
      <w:pPr>
        <w:pStyle w:val="BodyText"/>
      </w:pPr>
      <w:r>
        <w:t>The conformal feasibility study on the ENTSO-E development sample provides a partial answer, with clear conditions identified for both success and failure.</w:t>
      </w:r>
    </w:p>
    <w:p w14:paraId="5D0414B8" w14:textId="77777777" w:rsidR="00842324" w:rsidRDefault="00000000">
      <w:pPr>
        <w:pStyle w:val="Heading3"/>
      </w:pPr>
      <w:bookmarkStart w:id="160" w:name="when-conformal-augmentation-works"/>
      <w:r>
        <w:t>2.1 When conformal augmentation works</w:t>
      </w:r>
    </w:p>
    <w:p w14:paraId="5D0414B9" w14:textId="77777777" w:rsidR="00842324" w:rsidRDefault="00000000">
      <w:pPr>
        <w:pStyle w:val="FirstParagraph"/>
      </w:pPr>
      <w:r>
        <w:t>The base interval + conformal expansion method achieves 89.9% empirical coverage at α = 0.1 on the 30% test split of the 90-day ENTSO-E sample, up from 82.5% on the base interval alone — a 7.4 pp coverage restoration at a 12% width cost. This is the best result of the five methods evaluated and confirms that conformal augmentation is effective when:</w:t>
      </w:r>
    </w:p>
    <w:p w14:paraId="5D0414BA" w14:textId="77777777" w:rsidR="00842324" w:rsidRDefault="00000000">
      <w:pPr>
        <w:pStyle w:val="Compact"/>
        <w:numPr>
          <w:ilvl w:val="0"/>
          <w:numId w:val="21"/>
        </w:numPr>
      </w:pPr>
      <w:r>
        <w:t>The base intervals are directionally reasonable but systematically too narrow (the ENTSO-E pre-conformal case).</w:t>
      </w:r>
    </w:p>
    <w:p w14:paraId="5D0414BB" w14:textId="77777777" w:rsidR="00842324" w:rsidRDefault="00000000">
      <w:pPr>
        <w:pStyle w:val="Compact"/>
        <w:numPr>
          <w:ilvl w:val="0"/>
          <w:numId w:val="21"/>
        </w:numPr>
      </w:pPr>
      <w:r>
        <w:t>Distribution shift is present but moderate — the study confirmed a 19–45% increase in median-to-mean absolute error from calibration to test periods, which is substantial but not structural.</w:t>
      </w:r>
    </w:p>
    <w:p w14:paraId="5D0414BC" w14:textId="77777777" w:rsidR="00842324" w:rsidRDefault="00000000">
      <w:pPr>
        <w:pStyle w:val="Compact"/>
        <w:numPr>
          <w:ilvl w:val="0"/>
          <w:numId w:val="21"/>
        </w:numPr>
      </w:pPr>
      <w:r>
        <w:t>The covariate-shift weighting via logistic density ratio correctly identifies the calibration-to-test shift, downweighting older calibration observations in favour of more recent ones.</w:t>
      </w:r>
    </w:p>
    <w:p w14:paraId="5D0414BD" w14:textId="77777777" w:rsidR="00842324" w:rsidRDefault="00000000">
      <w:pPr>
        <w:pStyle w:val="FirstParagraph"/>
      </w:pPr>
      <w:r>
        <w:t xml:space="preserve">This result is consistent with Tibshirani et al. (2019), who show that weighted conformal prediction achieves valid marginal coverage under covariate shift provided the density ratio is correctly estimated. Adaptive conformal methods for time series (Zaffran et al., 2022) address similar non-stationarity concerns through online quantile updates, though their </w:t>
      </w:r>
      <w:r>
        <w:lastRenderedPageBreak/>
        <w:t>application here was constrained by the step-size issue described in Section 2.2. The temporal covariate (elapsed time with cyclic encodings) provides a well-identified shift direction in this context.</w:t>
      </w:r>
    </w:p>
    <w:p w14:paraId="5D0414BE" w14:textId="77777777" w:rsidR="00842324" w:rsidRDefault="00000000">
      <w:pPr>
        <w:pStyle w:val="Heading3"/>
      </w:pPr>
      <w:bookmarkStart w:id="161" w:name="when-conformal-augmentation-fails"/>
      <w:bookmarkEnd w:id="160"/>
      <w:r>
        <w:t>2.2 When conformal augmentation fails</w:t>
      </w:r>
    </w:p>
    <w:p w14:paraId="5D0414BF" w14:textId="77777777" w:rsidR="00842324" w:rsidRDefault="00000000">
      <w:pPr>
        <w:pStyle w:val="FirstParagraph"/>
      </w:pPr>
      <w:r>
        <w:t>Two conformal variants fail in instructive ways.</w:t>
      </w:r>
    </w:p>
    <w:p w14:paraId="5D0414C0" w14:textId="77777777" w:rsidR="00842324" w:rsidRDefault="00000000">
      <w:pPr>
        <w:pStyle w:val="BodyText"/>
      </w:pPr>
      <w:r>
        <w:rPr>
          <w:b/>
          <w:bCs/>
        </w:rPr>
        <w:t>Online CP with fixed step size</w:t>
      </w:r>
      <w:r>
        <w:t xml:space="preserve"> collapses to approximately 50% coverage at both nominal levels. The cause is explicit: a step size of 0.01 is calibrated for normalised residuals of O(1), but ENTSO-E electricity load errors are of O(10³). The quantile update rule moves at 0.01 units per step while the true scale requires adjustments of hundreds of units, causing the algorithm to stagnate. This is a configuration failure, not a method failure — Angelopoulos et al. (2024) specifically address step size calibration for non-stationary environments. The finding confirms that online CP requires scale-aware initialisation and that naive application to energy market data without this adjustment is counterproductive.</w:t>
      </w:r>
    </w:p>
    <w:p w14:paraId="5D0414C1" w14:textId="77777777" w:rsidR="00842324" w:rsidRDefault="00000000">
      <w:pPr>
        <w:pStyle w:val="BodyText"/>
      </w:pPr>
      <w:r>
        <w:rPr>
          <w:b/>
          <w:bCs/>
        </w:rPr>
        <w:t>Point split conformal</w:t>
      </w:r>
      <w:r>
        <w:t xml:space="preserve"> undercovers at 65.4% (α = 0.2) because it uses a constant-width interval derived from calibration-period residuals. When the test distribution shifts — as confirmed by the error increase — a fixed quantile cannot adapt, and coverage deteriorates in direct proportion to the magnitude of the shift. This establishes a clear condition under which conformal augmentation does not improve over the base interval: when the calibration-to-test shift is directional and the conformal variant does not adapt to it.</w:t>
      </w:r>
    </w:p>
    <w:p w14:paraId="5D0414C2" w14:textId="77777777" w:rsidR="00842324" w:rsidRDefault="00000000">
      <w:pPr>
        <w:pStyle w:val="Heading3"/>
      </w:pPr>
      <w:bookmarkStart w:id="162" w:name="what-conformal-augmentation-does-not-fix"/>
      <w:bookmarkEnd w:id="161"/>
      <w:r>
        <w:t>2.3 What conformal augmentation does not fix</w:t>
      </w:r>
    </w:p>
    <w:p w14:paraId="5D0414C3" w14:textId="77777777" w:rsidR="00842324" w:rsidRDefault="00000000">
      <w:pPr>
        <w:pStyle w:val="FirstParagraph"/>
      </w:pPr>
      <w:r>
        <w:t>The conformal study was conducted on the ENTSO-E development sample, where the pre-conformal coverage is 82.5% — clearly below the 90% nominal. But conformal expansion corrects only interval width, not distributional shape. The underlying PIT failures (uniformity and independence rejection) would persist on the conformal-adjusted outputs. This is the critical distinction for RQ2: conformal augmentation improves finite-sample coverage stability under regime shifts, but it does not address distributional misspecification or serial dependence. Classical PIT diagnostics and conformal augmentation are therefore complementary, not substitutable. The conditions under which conformal augmentation improves over PIT diagnostics alone are precisely the conditions where the PIT failures are limited to coverage shortfall rather than distributional shape or temporal structure.</w:t>
      </w:r>
    </w:p>
    <w:p w14:paraId="5D0414C4" w14:textId="77777777" w:rsidR="00842324" w:rsidRDefault="00000000">
      <w:r>
        <w:pict w14:anchorId="5D04160E">
          <v:rect id="_x0000_i1080" style="width:0;height:1.5pt" o:hralign="center" o:hrstd="t" o:hr="t"/>
        </w:pict>
      </w:r>
    </w:p>
    <w:p w14:paraId="5D0414C5" w14:textId="77777777" w:rsidR="00842324" w:rsidRDefault="00000000">
      <w:pPr>
        <w:pStyle w:val="Heading2"/>
      </w:pPr>
      <w:bookmarkStart w:id="163" w:name="rq3-governance-classification"/>
      <w:bookmarkStart w:id="164" w:name="_Toc225682101"/>
      <w:bookmarkEnd w:id="158"/>
      <w:bookmarkEnd w:id="162"/>
      <w:r>
        <w:t>3. RQ3 — Governance Classification</w:t>
      </w:r>
      <w:bookmarkEnd w:id="164"/>
    </w:p>
    <w:p w14:paraId="5D0414C6" w14:textId="77777777" w:rsidR="00842324" w:rsidRDefault="00000000">
      <w:pPr>
        <w:pStyle w:val="FirstParagraph"/>
      </w:pPr>
      <w:r>
        <w:rPr>
          <w:b/>
          <w:bCs/>
        </w:rPr>
        <w:t>RQ3:</w:t>
      </w:r>
      <w:r>
        <w:t xml:space="preserve"> Can probabilistic calibration diagnostics be aggregated into statistically defensible governance classifications comparable to Basel-style traffic-light backtesting systems?</w:t>
      </w:r>
    </w:p>
    <w:p w14:paraId="5D0414C7" w14:textId="77777777" w:rsidR="00842324" w:rsidRDefault="00000000">
      <w:pPr>
        <w:pStyle w:val="BodyText"/>
      </w:pPr>
      <w:r>
        <w:lastRenderedPageBreak/>
        <w:t>The results demonstrate that such aggregation is feasible and produces classifications that are both statistically grounded and institutionally interpretable.</w:t>
      </w:r>
    </w:p>
    <w:p w14:paraId="5D0414C8" w14:textId="77777777" w:rsidR="00842324" w:rsidRDefault="00000000">
      <w:pPr>
        <w:pStyle w:val="Heading3"/>
      </w:pPr>
      <w:bookmarkStart w:id="165" w:name="the-traffic-light-aggregation-logic"/>
      <w:r>
        <w:t>3.1 The traffic-light aggregation logic</w:t>
      </w:r>
    </w:p>
    <w:p w14:paraId="5D0414C9" w14:textId="77777777" w:rsidR="00842324" w:rsidRDefault="00000000">
      <w:pPr>
        <w:pStyle w:val="FirstParagraph"/>
      </w:pPr>
      <w:r>
        <w:t>The governance classification aggregates three diagnostic layers (Anfuso interval, PIT uniformity, Ljung–Box independence) via a hierarchical policy: RED is triggered if any layer fails beyond its threshold. This is a conservative aggregation rule — a model must pass all layers to achieve GREEN. The conservative direction is appropriate for model governance: the cost of a false GREEN (using a miscalibrated model) exceeds the cost of a false RED (triggering unnecessary review).</w:t>
      </w:r>
    </w:p>
    <w:p w14:paraId="5D0414CA" w14:textId="77777777" w:rsidR="00842324" w:rsidRDefault="00000000">
      <w:pPr>
        <w:pStyle w:val="BodyText"/>
      </w:pPr>
      <w:r>
        <w:t>This logic follows the Basel framework (Basel Committee, 1996; 2010; McNeil, Frey and Embrechts, 2005), where the yellow and red zones are defined conservatively: models with more than 10 VaR exceedances over 250 days are automatically red-flagged regardless of other performance indicators. The extension in this thesis adds distributional and independence layers that Basel’s simpler exceedance count does not include, reflecting the richer diagnostic information available from full density forecast evaluation.</w:t>
      </w:r>
    </w:p>
    <w:p w14:paraId="5D0414CB" w14:textId="77777777" w:rsidR="00842324" w:rsidRDefault="00000000">
      <w:pPr>
        <w:pStyle w:val="Heading3"/>
      </w:pPr>
      <w:bookmarkStart w:id="166" w:name="cross-model-comparability"/>
      <w:bookmarkEnd w:id="165"/>
      <w:r>
        <w:t>3.2 Cross-model comparability</w:t>
      </w:r>
    </w:p>
    <w:p w14:paraId="5D0414CC" w14:textId="77777777" w:rsidR="00842324" w:rsidRDefault="00000000">
      <w:pPr>
        <w:pStyle w:val="FirstParagraph"/>
      </w:pPr>
      <w:r>
        <w:t>The governance framework produces classifications that are directly comparable across model classes. All three real-data models receive RED for reasons rooted in the same diagnostic vocabulary — PIT failure, independence rejection, tail miscalibration — even though the underlying failure mechanisms are structurally different. An institution operating across all three model classes can apply the same governance policy, with the failure mode detail in the risk_reasons field providing the model-specific guidance for remediation.</w:t>
      </w:r>
    </w:p>
    <w:p w14:paraId="5D0414CD" w14:textId="77777777" w:rsidR="00842324" w:rsidRDefault="00000000">
      <w:pPr>
        <w:pStyle w:val="BodyText"/>
      </w:pPr>
      <w:r>
        <w:t>The positive control (synthetic simulation) receives GREEN, validating that the framework is not systematically over-strict. The three misspecification scenarios correctly detect variance inflation and mean bias as RED with the appropriate tail signature (bilateral for inflation, unilateral for bias). These results confirm that the classification is statistically defensible: it responds correctly to known model states.</w:t>
      </w:r>
    </w:p>
    <w:p w14:paraId="5D0414CE" w14:textId="77777777" w:rsidR="00842324" w:rsidRDefault="00000000">
      <w:pPr>
        <w:pStyle w:val="BodyText"/>
      </w:pPr>
      <w:r>
        <w:t xml:space="preserve">The production architecture reinforces this defensibility through a structured provenance mechanism. Every </w:t>
      </w:r>
      <w:r>
        <w:rPr>
          <w:rStyle w:val="VerbatimChar"/>
        </w:rPr>
        <w:t>GovernanceDecision</w:t>
      </w:r>
      <w:r>
        <w:t xml:space="preserve"> produced by the </w:t>
      </w:r>
      <w:r>
        <w:rPr>
          <w:rStyle w:val="VerbatimChar"/>
        </w:rPr>
        <w:t>DecisionEngine</w:t>
      </w:r>
      <w:r>
        <w:t xml:space="preserve"> records which diagnostic branches were computed, which were skipped and why, which policy was applied, and the timestamp of the decision — a full audit trail in machine-readable JSON. This is not merely an engineering convenience: it is a direct response to the governance requirement that classification decisions be explainable and reproducible. An institution presenting a RED classification to a regulator or internal risk committee can accompany it with the exact metric snapshot, reason codes, and policy parameters that produced it, satisfying the auditability requirements implicit in REMIT Article 15 and the Basel backtesting documentation obligations.</w:t>
      </w:r>
    </w:p>
    <w:p w14:paraId="5D0414CF" w14:textId="77777777" w:rsidR="00842324" w:rsidRDefault="00000000">
      <w:pPr>
        <w:pStyle w:val="Heading3"/>
      </w:pPr>
      <w:bookmarkStart w:id="167" w:name="the-heavy-tail-boundary"/>
      <w:bookmarkEnd w:id="166"/>
      <w:r>
        <w:lastRenderedPageBreak/>
        <w:t>3.3 The heavy-tail boundary</w:t>
      </w:r>
    </w:p>
    <w:p w14:paraId="5D0414D0" w14:textId="77777777" w:rsidR="00842324" w:rsidRDefault="00000000">
      <w:pPr>
        <w:pStyle w:val="FirstParagraph"/>
      </w:pPr>
      <w:r>
        <w:t>The heavy-tails scenario receiving GREEN at n = 365 is a genuine limitation of the framework as implemented, but it is also a statistically honest finding. The Anfuso binomial test at n = 365 has insufficient power to detect t(df=3) excess in symmetric tails because at this sample size the rare excess events do not accumulate enough to cross the rejection threshold. This is not a flaw in the classification logic — it is a manifestation of the fundamental trade-off between Type I and Type II error in finite-sample testing.</w:t>
      </w:r>
    </w:p>
    <w:p w14:paraId="5D0414D1" w14:textId="77777777" w:rsidR="00842324" w:rsidRDefault="00000000">
      <w:pPr>
        <w:pStyle w:val="BodyText"/>
      </w:pPr>
      <w:r>
        <w:t>The governance implication is a minimum evaluation horizon requirement: institutions applying this framework to models with short backtesting windows (n &lt; 500) should incorporate supplementary tail diagnostics (e.g., PIT histogram inspection in the tails, or extreme value tests) alongside the interval backtesting layer. This is consistent with the Basel framework’s requirement for a minimum 250-trading-day evaluation window, extended here to account for the lower frequency of the renewable datasets.</w:t>
      </w:r>
    </w:p>
    <w:p w14:paraId="5D0414D2" w14:textId="77777777" w:rsidR="00842324" w:rsidRDefault="00000000">
      <w:pPr>
        <w:pStyle w:val="Heading3"/>
      </w:pPr>
      <w:bookmarkStart w:id="168" w:name="X5d46d4a837324f85dd1a05b97862de1a8aef7df"/>
      <w:bookmarkEnd w:id="167"/>
      <w:r>
        <w:t>3.4 Governance Communication via AI Narratives</w:t>
      </w:r>
    </w:p>
    <w:p w14:paraId="5D0414D3" w14:textId="77777777" w:rsidR="00842324" w:rsidRDefault="00000000">
      <w:pPr>
        <w:pStyle w:val="FirstParagraph"/>
      </w:pPr>
      <w:r>
        <w:t xml:space="preserve">A governance classification is only useful if it can be communicated to the right decision-makers in the right form. The </w:t>
      </w:r>
      <w:r>
        <w:rPr>
          <w:rStyle w:val="VerbatimChar"/>
        </w:rPr>
        <w:t>NarrativeGenerator</w:t>
      </w:r>
      <w:r>
        <w:t xml:space="preserve"> component addresses this by converting structured </w:t>
      </w:r>
      <w:r>
        <w:rPr>
          <w:rStyle w:val="VerbatimChar"/>
        </w:rPr>
        <w:t>GovernanceDecision</w:t>
      </w:r>
      <w:r>
        <w:t xml:space="preserve"> objects into two parallel narrative registers: a technical summary for quantitative risk officers that references specific metric values, names failed diagnostic branches, and states capital multiplier implications; and a plain-language summary for non-technical stakeholders that explains the classification without jargon and identifies the required action.</w:t>
      </w:r>
    </w:p>
    <w:p w14:paraId="5D0414D4" w14:textId="77777777" w:rsidR="00842324" w:rsidRDefault="00000000">
      <w:pPr>
        <w:pStyle w:val="BodyText"/>
      </w:pPr>
      <w:r>
        <w:t>Both registers are generated from the same structured input in a single API call, ensuring consistency between the technical and non-technical accounts. This is architecturally significant: the narrative is downstream of the classification, not upstream. The governance decision is produced deterministically by the diagnostic pipeline; the language model only translates it. This preserves the statistical defensibility of the classification while extending its reach to audiences who could not otherwise engage with the underlying diagnostics.</w:t>
      </w:r>
    </w:p>
    <w:p w14:paraId="5D0414D5" w14:textId="77777777" w:rsidR="00842324" w:rsidRDefault="00000000">
      <w:pPr>
        <w:pStyle w:val="BodyText"/>
      </w:pPr>
      <w:r>
        <w:t>The Streamlit web application (</w:t>
      </w:r>
      <w:r>
        <w:rPr>
          <w:rStyle w:val="VerbatimChar"/>
        </w:rPr>
        <w:t>unified-probabilistic-validation.streamlit.app</w:t>
      </w:r>
      <w:r>
        <w:t>) operationalises this for non-technical users: a non-Python analyst at an energy trading firm can upload a forecast CSV, receive a governance decision with full metric snapshot and AI narrative, and download all artifacts as a ZIP — without installing software or writing code. This closes the last gap between the statistical framework and practical institutional deployment.</w:t>
      </w:r>
    </w:p>
    <w:p w14:paraId="5D0414D6" w14:textId="77777777" w:rsidR="00842324" w:rsidRDefault="00000000">
      <w:r>
        <w:pict w14:anchorId="5D04160F">
          <v:rect id="_x0000_i1081" style="width:0;height:1.5pt" o:hralign="center" o:hrstd="t" o:hr="t"/>
        </w:pict>
      </w:r>
    </w:p>
    <w:p w14:paraId="5D0414D7" w14:textId="77777777" w:rsidR="00842324" w:rsidRDefault="00000000">
      <w:pPr>
        <w:pStyle w:val="Heading2"/>
      </w:pPr>
      <w:bookmarkStart w:id="169" w:name="limitations-1"/>
      <w:bookmarkStart w:id="170" w:name="_Toc225682102"/>
      <w:bookmarkEnd w:id="163"/>
      <w:bookmarkEnd w:id="168"/>
      <w:r>
        <w:lastRenderedPageBreak/>
        <w:t>4. Limitations</w:t>
      </w:r>
      <w:bookmarkEnd w:id="170"/>
    </w:p>
    <w:p w14:paraId="5D0414D8" w14:textId="77777777" w:rsidR="00842324" w:rsidRDefault="00000000">
      <w:pPr>
        <w:pStyle w:val="Heading3"/>
      </w:pPr>
      <w:bookmarkStart w:id="171" w:name="X231fcb44054edc57ac55b66deb515a6cac2f2ed"/>
      <w:r>
        <w:t>4.1 Distribution reconstruction is not unique</w:t>
      </w:r>
    </w:p>
    <w:p w14:paraId="5D0414D9" w14:textId="77777777" w:rsidR="00842324" w:rsidRDefault="00000000">
      <w:pPr>
        <w:pStyle w:val="FirstParagraph"/>
      </w:pPr>
      <w:r>
        <w:t>The rolling empirical quantile reconstruction used as the pre-conformal baseline is one of several defensible choices. The feasibility analysis (02_entsoe_feasibility.ipynb) compared multiple variants and selected the 4-bucket coarse conditioning for ENTSO-E based on empirical coverage performance. For PV and wind, 24-bucket conditioning was used without comparative evaluation. Different reconstruction choices would produce different pre-conformal baselines and potentially different governance outcomes. The framework’s outputs should therefore be understood as conditional on the reconstruction method, not as absolute assessments of the underlying model.</w:t>
      </w:r>
    </w:p>
    <w:p w14:paraId="5D0414DA" w14:textId="77777777" w:rsidR="00842324" w:rsidRDefault="00000000">
      <w:pPr>
        <w:pStyle w:val="Heading3"/>
      </w:pPr>
      <w:bookmarkStart w:id="172" w:name="Xdedbcbb1dc2eefb955f342b0f23892a58f8e92d"/>
      <w:bookmarkEnd w:id="171"/>
      <w:r>
        <w:t>4.2 PIT diagnostics unavailable for simulation model class</w:t>
      </w:r>
    </w:p>
    <w:p w14:paraId="5D0414DB" w14:textId="77777777" w:rsidR="00842324" w:rsidRDefault="00000000">
      <w:pPr>
        <w:pStyle w:val="FirstParagraph"/>
      </w:pPr>
      <w:r>
        <w:t>The simulation runs pass only quantile bounds (lo, hi) rather than full path arrays to the diagnostic layer. As a result, PIT-based uniformity and independence statistics are not computed for run_004 and run_004b. The positive control and misspecification results are therefore based solely on interval backtesting, which is sufficient to distinguish the scenarios but does not provide the full distributional diagnostic picture. Extending to full PIT evaluation would require persisting the per-horizon empirical CDF from the simulation path ensemble — a straightforward pipeline extension.</w:t>
      </w:r>
    </w:p>
    <w:p w14:paraId="5D0414DC" w14:textId="77777777" w:rsidR="00842324" w:rsidRDefault="00000000">
      <w:pPr>
        <w:pStyle w:val="Heading3"/>
      </w:pPr>
      <w:bookmarkStart w:id="173" w:name="X26453c9764c20a81b06cf4be94b3d1f690b1843"/>
      <w:bookmarkEnd w:id="172"/>
      <w:r>
        <w:t>4.3 Conformal evaluation is limited to one dataset and sample</w:t>
      </w:r>
    </w:p>
    <w:p w14:paraId="5D0414DD" w14:textId="77777777" w:rsidR="00842324" w:rsidRDefault="00000000">
      <w:pPr>
        <w:pStyle w:val="FirstParagraph"/>
      </w:pPr>
      <w:r>
        <w:t>The conformal augmentation study uses only the 90-day ENTSO-E development sample (n = 2,544 test observations). Extension to the full ENTSO-E dataset, PV, and wind would require re-running the conformal variants on those datasets, which is deferred. The PV and wind coverage shortfalls (−1.37 pp and −1.38 pp respectively) are smaller than ENTSO-E’s (−2.94 pp), so the marginal benefit of conformal augmentation on those datasets is expected to be smaller — but this is not empirically confirmed.</w:t>
      </w:r>
    </w:p>
    <w:p w14:paraId="5D0414DE" w14:textId="77777777" w:rsidR="00842324" w:rsidRDefault="00000000">
      <w:pPr>
        <w:pStyle w:val="Heading3"/>
      </w:pPr>
      <w:bookmarkStart w:id="174" w:name="Xb363662d129bef977a143c1707dd244b58b37e8"/>
      <w:bookmarkEnd w:id="173"/>
      <w:r>
        <w:t>4.4 Multivariate extension covers only two assets</w:t>
      </w:r>
    </w:p>
    <w:p w14:paraId="5D0414DF" w14:textId="77777777" w:rsidR="00842324" w:rsidRDefault="00000000">
      <w:pPr>
        <w:pStyle w:val="FirstParagraph"/>
      </w:pPr>
      <w:r>
        <w:t>The run_005 multivariate analysis is restricted to PV and wind, the only two datasets sharing a common time index. The industry partner identified additional commodity classes (natural gas, carbon) as desirable scope extensions. Synthetic extension via the simulation notebook is planned but not yet implemented. The current multivariate results therefore characterise intra-renewable dependence rather than cross-commodity dependence, which would be the more economically relevant dimension for portfolio risk management.</w:t>
      </w:r>
    </w:p>
    <w:p w14:paraId="5D0414E0" w14:textId="77777777" w:rsidR="00842324" w:rsidRDefault="00000000">
      <w:pPr>
        <w:pStyle w:val="Heading3"/>
      </w:pPr>
      <w:bookmarkStart w:id="175" w:name="X3a0c757c5c065a319c00515c6bcb15b323d795f"/>
      <w:bookmarkEnd w:id="174"/>
      <w:r>
        <w:t>4.5 Exchangeability assumption in conformal prediction</w:t>
      </w:r>
    </w:p>
    <w:p w14:paraId="5D0414E1" w14:textId="77777777" w:rsidR="00842324" w:rsidRDefault="00000000">
      <w:pPr>
        <w:pStyle w:val="FirstParagraph"/>
      </w:pPr>
      <w:r>
        <w:t xml:space="preserve">Conformal prediction’s finite-sample coverage guarantee relies on the exchangeability of calibration and test observations (Vovk, Gammerman and Shafer, 2005). Energy market </w:t>
      </w:r>
      <w:r>
        <w:lastRenderedPageBreak/>
        <w:t>data are not exchangeable — they exhibit serial dependence, seasonal structure, and structural breaks. Extensions of conformal prediction beyond exchangeability exist (Barber et al., 2023) but require additional structural assumptions. The covariate-shift weighting partially addresses this by reweighting calibration observations, but it does not provide formal guarantees under strong temporal dependence. The conformal results should therefore be interpreted as approximately valid rather than strictly valid in the theoretical sense.</w:t>
      </w:r>
    </w:p>
    <w:p w14:paraId="5D0414E2" w14:textId="77777777" w:rsidR="00842324" w:rsidRDefault="00000000">
      <w:pPr>
        <w:pStyle w:val="Heading3"/>
      </w:pPr>
      <w:bookmarkStart w:id="176" w:name="X2ea76c4860bef93f3bfb2ece16b53a2d5fe5622"/>
      <w:bookmarkEnd w:id="175"/>
      <w:r>
        <w:t>4.6 Large-sample sensitivity of PIT hypothesis tests</w:t>
      </w:r>
    </w:p>
    <w:p w14:paraId="5D0414E3" w14:textId="77777777" w:rsidR="00842324" w:rsidRDefault="00000000">
      <w:pPr>
        <w:pStyle w:val="FirstParagraph"/>
      </w:pPr>
      <w:r>
        <w:t>At evaluation samples of n &gt; 50,000 (ENTSO-E wind Germany, run_009; ENTSO-E solar Germany, run_010), PIT uniformity and independence tests achieve near-infinite statistical power, formally rejecting the null hypothesis for deviations that are statistically detectable but practically negligible. The ENTSO-E wind dataset (n = 51,933) produces a KS statistic of 0.0083 — a maximum departure from uniform of less than one percentage point — yet this is formally rejected at p = 0.0016 purely due to sample size. The solar dataset produces KS = 0.0258, also small relative to the student datasets where KS exceeds 0.10 in all cases.</w:t>
      </w:r>
    </w:p>
    <w:p w14:paraId="5D0414E4" w14:textId="77777777" w:rsidR="00842324" w:rsidRDefault="00000000">
      <w:pPr>
        <w:pStyle w:val="BodyText"/>
      </w:pPr>
      <w:r>
        <w:t>This is a known limitation of fixed-threshold hypothesis testing at large n (Diebold, 2015): statistical significance and practical significance diverge as the evaluation sample grows. The RED classifications for run_009 and run_010 are technically correct under the current policy thresholds but should be interpreted as reflecting residual weather-driven temporal structure inherent to hourly renewable generation — not the substantive distributional misspecification observed in the student datasets. The Ljung–Box rejection at these sample sizes is similarly expected: hourly wind speed and irradiance are physically autocorrelated processes, and any residual-based reconstruction will inherit some of that structure.</w:t>
      </w:r>
    </w:p>
    <w:p w14:paraId="5D0414E5" w14:textId="77777777" w:rsidR="00842324" w:rsidRDefault="00000000">
      <w:pPr>
        <w:pStyle w:val="BodyText"/>
      </w:pPr>
      <w:r>
        <w:t>Practitioners applying this framework to large operational datasets should complement p-value thresholds with effect-size thresholds — for example, requiring KS &gt; 0.05 rather than p &lt; 0.05 as the distributional failure criterion. Alternatively, sample-size-adjusted critical values or subsampling-based tests (Giacomini and Rossi, 2010) can be used to restore size control at large n. This extension is identified as a priority refinement for production deployment of the framework.</w:t>
      </w:r>
    </w:p>
    <w:p w14:paraId="5D0414E6" w14:textId="77777777" w:rsidR="00842324" w:rsidRDefault="00000000">
      <w:pPr>
        <w:pStyle w:val="CaptionedFigure"/>
      </w:pPr>
      <w:r>
        <w:rPr>
          <w:noProof/>
        </w:rPr>
        <w:lastRenderedPageBreak/>
        <w:drawing>
          <wp:inline distT="0" distB="0" distL="0" distR="0" wp14:anchorId="5D041610" wp14:editId="5D041611">
            <wp:extent cx="5334000" cy="2058081"/>
            <wp:effectExtent l="0" t="0" r="0" b="0"/>
            <wp:docPr id="157" name="Picture" descr="Theoretical rejection rate vs sample size under a small fixed alternative. Left: KS test — Beta(1.05,1.05) alternative (KS≈0.01) achieves near-100% rejection at n=50k despite negligible practical deviation. Right: Ljung-Box test — AR(1,φ=0.03) alternative shows same pattern. Both panels demonstrate that the run_009/010 large-n rejections reflect statistical sensitivity, not substantive failure."/>
            <wp:cNvGraphicFramePr/>
            <a:graphic xmlns:a="http://schemas.openxmlformats.org/drawingml/2006/main">
              <a:graphicData uri="http://schemas.openxmlformats.org/drawingml/2006/picture">
                <pic:pic xmlns:pic="http://schemas.openxmlformats.org/drawingml/2006/picture">
                  <pic:nvPicPr>
                    <pic:cNvPr id="158" name="Picture" descr="figures/power_vs_n.png"/>
                    <pic:cNvPicPr>
                      <a:picLocks noChangeAspect="1" noChangeArrowheads="1"/>
                    </pic:cNvPicPr>
                  </pic:nvPicPr>
                  <pic:blipFill>
                    <a:blip r:embed="rId10"/>
                    <a:stretch>
                      <a:fillRect/>
                    </a:stretch>
                  </pic:blipFill>
                  <pic:spPr bwMode="auto">
                    <a:xfrm>
                      <a:off x="0" y="0"/>
                      <a:ext cx="5334000" cy="2058081"/>
                    </a:xfrm>
                    <a:prstGeom prst="rect">
                      <a:avLst/>
                    </a:prstGeom>
                    <a:noFill/>
                    <a:ln w="9525">
                      <a:noFill/>
                      <a:headEnd/>
                      <a:tailEnd/>
                    </a:ln>
                  </pic:spPr>
                </pic:pic>
              </a:graphicData>
            </a:graphic>
          </wp:inline>
        </w:drawing>
      </w:r>
    </w:p>
    <w:p w14:paraId="5D0414E7" w14:textId="77777777" w:rsidR="00842324" w:rsidRDefault="00000000">
      <w:pPr>
        <w:pStyle w:val="ImageCaption"/>
      </w:pPr>
      <w:r>
        <w:t>Theoretical rejection rate vs sample size under a small fixed alternative. Left: KS test — Beta(1.05,1.05) alternative (KS≈0.01) achieves near-100% rejection at n=50k despite negligible practical deviation. Right: Ljung-Box test — AR(1,φ=0.03) alternative shows same pattern. Both panels demonstrate that the run_009/010 large-n rejections reflect statistical sensitivity, not substantive failure.</w:t>
      </w:r>
    </w:p>
    <w:p w14:paraId="5D0414E8" w14:textId="77777777" w:rsidR="00842324" w:rsidRDefault="00000000">
      <w:r>
        <w:pict w14:anchorId="5D041612">
          <v:rect id="_x0000_i1082" style="width:0;height:1.5pt" o:hralign="center" o:hrstd="t" o:hr="t"/>
        </w:pict>
      </w:r>
    </w:p>
    <w:p w14:paraId="5D0414E9" w14:textId="77777777" w:rsidR="00842324" w:rsidRDefault="00000000">
      <w:pPr>
        <w:pStyle w:val="Heading2"/>
      </w:pPr>
      <w:bookmarkStart w:id="177" w:name="relation-to-prior-work"/>
      <w:bookmarkStart w:id="178" w:name="_Toc225682103"/>
      <w:bookmarkEnd w:id="169"/>
      <w:bookmarkEnd w:id="176"/>
      <w:r>
        <w:t>5. Relation to Prior Work</w:t>
      </w:r>
      <w:bookmarkEnd w:id="178"/>
    </w:p>
    <w:p w14:paraId="5D0414EA" w14:textId="77777777" w:rsidR="00842324" w:rsidRDefault="00000000">
      <w:pPr>
        <w:pStyle w:val="FirstParagraph"/>
      </w:pPr>
      <w:r>
        <w:t>This thesis extends the calibration evaluation literature (Diebold et al., 1998; Berkowitz, 2001) by applying density forecast diagnostics to energy market model classes that are not normally evaluated in this way. The finding that interval coverage is an insufficient governance criterion — demonstrated empirically on the PV dataset — is consistent with theoretical arguments in Gneiting and Katzfuss (2014) but contributes a concrete applied demonstration in a domain where coverage-only evaluation is standard practice.</w:t>
      </w:r>
    </w:p>
    <w:p w14:paraId="5D0414EB" w14:textId="77777777" w:rsidR="00842324" w:rsidRDefault="00000000">
      <w:pPr>
        <w:pStyle w:val="BodyText"/>
      </w:pPr>
      <w:r>
        <w:t>The conformal prediction results extend Tibshirani et al. (2019) to an energy market context, confirming that covariate-shift-aware conformal methods are effective under temporal distribution shift while identifying the conditions (scale mismatch, constant-width construction) under which they fail. Prior applications of conformal prediction to electricity price forecasting (Kath and Ziel, 2021; O’Connor et al., 2025) demonstrate reliable coverage in day-ahead markets; this thesis extends that evidence to load and renewable generation forecasting and embeds it within a governance classification architecture. The online CP step-size failure specifically corroborates and extends the practical guidance in Angelopoulos et al. (2024), whose theoretical results on decaying step sizes are motivated by exactly the kind of scale sensitivity observed here.</w:t>
      </w:r>
    </w:p>
    <w:p w14:paraId="5D0414EC" w14:textId="77777777" w:rsidR="00842324" w:rsidRDefault="00000000">
      <w:pPr>
        <w:pStyle w:val="BodyText"/>
      </w:pPr>
      <w:r>
        <w:t>The governance aggregation layer contributes to the literature on Basel-style backtesting (Kupiec, 1995; Christoffersen, 1998) by demonstrating that the traffic-light architecture can be extended beyond exceedance counting to incorporate full density diagnostics, producing richer and more discriminative governance classifications without sacrificing the institutional interpretability that makes the Basel framework practically useful.</w:t>
      </w:r>
    </w:p>
    <w:p w14:paraId="5D0414ED" w14:textId="77777777" w:rsidR="00842324" w:rsidRDefault="00000000">
      <w:r>
        <w:lastRenderedPageBreak/>
        <w:pict w14:anchorId="5D041613">
          <v:rect id="_x0000_i1083" style="width:0;height:1.5pt" o:hralign="center" o:hrstd="t" o:hr="t"/>
        </w:pict>
      </w:r>
    </w:p>
    <w:p w14:paraId="5D0414EE" w14:textId="77777777" w:rsidR="00842324" w:rsidRDefault="00000000">
      <w:pPr>
        <w:pStyle w:val="Heading2"/>
      </w:pPr>
      <w:bookmarkStart w:id="179" w:name="X9b1a257e4d63bffc9b628220380900cd4fccaeb"/>
      <w:bookmarkStart w:id="180" w:name="_Toc225682104"/>
      <w:bookmarkEnd w:id="177"/>
      <w:r>
        <w:t>6. Economic Distortion and Governance Stability (RQ3 Extension)</w:t>
      </w:r>
      <w:bookmarkEnd w:id="180"/>
    </w:p>
    <w:p w14:paraId="5D0414EF" w14:textId="77777777" w:rsidR="00842324" w:rsidRDefault="00000000">
      <w:pPr>
        <w:pStyle w:val="Heading3"/>
      </w:pPr>
      <w:bookmarkStart w:id="181" w:name="capital-multiplier-and-reserve-sizing"/>
      <w:r>
        <w:t>6.1 Capital Multiplier and Reserve Sizing</w:t>
      </w:r>
    </w:p>
    <w:p w14:paraId="5D0414F0" w14:textId="77777777" w:rsidR="00842324" w:rsidRDefault="00000000">
      <w:pPr>
        <w:pStyle w:val="FirstParagraph"/>
      </w:pPr>
      <w:r>
        <w:t>The VaR sensitivity analysis (run_006) adds a concrete economic dimension to the RQ3 findings. Two results stand out as particularly thesis-relevant.</w:t>
      </w:r>
    </w:p>
    <w:p w14:paraId="5D0414F1" w14:textId="77777777" w:rsidR="00842324" w:rsidRDefault="00000000">
      <w:pPr>
        <w:pStyle w:val="BodyText"/>
      </w:pPr>
      <w:r>
        <w:t>The PV divergence is the most important single finding for the governance argument. Under a coverage-only regulatory framework adapted from Basel, PV would attract a reduced capital multiplier (−6.7% distortion, CONSERVATIVE zone) because its empirical coverage exceeds the 90% nominal. Under the full multi-layer framework, PV receives a RED governance classification. These two conclusions point in opposite directions: a regulator relying on the simpler framework would relax oversight of a model that the richer framework identifies as structurally misspecified. This is not a theoretical concern — it is demonstrated empirically on real industry data. It constitutes the strongest quantitative argument in the thesis for why coverage metrics alone are insufficient for energy market model governance.</w:t>
      </w:r>
    </w:p>
    <w:p w14:paraId="5D0414F2" w14:textId="77777777" w:rsidR="00842324" w:rsidRDefault="00000000">
      <w:pPr>
        <w:pStyle w:val="BodyText"/>
      </w:pPr>
      <w:r>
        <w:t>The reserve sizing analysis complements this by translating coverage errors into operational terms. ENTSO-E and wind produce reserve undersizing of 2.94 pp and 1.38 pp respectively — modest in absolute terms but systematic and persistent across the full evaluation period. The misspecification scenarios demonstrate that severe calibration failures (variance inflation, mean bias) produce reserve undersizing of 20–35 pp, which would require reserves 2–3.5× larger than modelled to achieve intended coverage. This quantifies the operational cost of miscalibration in terms directly interpretable by energy market practitioners.</w:t>
      </w:r>
    </w:p>
    <w:p w14:paraId="5D0414F3" w14:textId="77777777" w:rsidR="00842324" w:rsidRDefault="00000000">
      <w:pPr>
        <w:pStyle w:val="Heading3"/>
      </w:pPr>
      <w:bookmarkStart w:id="182" w:name="Xda78524597bd302f6c83e24ccd8a9f2e27864f7"/>
      <w:bookmarkEnd w:id="181"/>
      <w:r>
        <w:t>6.2 Traffic-Light Stability and Absorbing States</w:t>
      </w:r>
    </w:p>
    <w:p w14:paraId="5D0414F4" w14:textId="77777777" w:rsidR="00842324" w:rsidRDefault="00000000">
      <w:pPr>
        <w:pStyle w:val="FirstParagraph"/>
      </w:pPr>
      <w:r>
        <w:t>The transition probability analysis (run_007) adds a temporal dimension to the governance findings that the full-sample results cannot provide. The identification of RED as an absorbing state for all three real-data models (T_RR = 1.0, H = 0 across hundreds of rolling windows) is a stronger governance statement than the full-sample RED classification alone. It means the miscalibration is not a transient artefact of a particular market regime — it is a stable structural property that persists regardless of which subperiod is evaluated.</w:t>
      </w:r>
    </w:p>
    <w:p w14:paraId="5D0414F5" w14:textId="77777777" w:rsidR="00842324" w:rsidRDefault="00000000">
      <w:pPr>
        <w:pStyle w:val="BodyText"/>
      </w:pPr>
      <w:r>
        <w:t>This has a direct implication for governance policy. A model that is persistently in an absorbing RED state cannot be remediated by waiting for market conditions to change. It requires structural intervention — either re-estimation of the underlying model or deployment of a recalibration layer (such as conformal augmentation) that actively corrects coverage in real time.</w:t>
      </w:r>
    </w:p>
    <w:p w14:paraId="5D0414F6" w14:textId="77777777" w:rsidR="00842324" w:rsidRDefault="00000000">
      <w:pPr>
        <w:pStyle w:val="BodyText"/>
      </w:pPr>
      <w:r>
        <w:t xml:space="preserve">The heavy-tails finding from the rolling analysis is also noteworthy. The price heavy-tails scenario produces a stable YELLOW absorbing state across all 7 non-overlapping rolling windows, despite the full-sample Anfuso test returning GREEN. This reveals a detection </w:t>
      </w:r>
      <w:r>
        <w:lastRenderedPageBreak/>
        <w:t>mechanism: while full-sample interval backtesting at n = 365 lacks power to detect t(df=3) excess, the rolling window classification consistently identifies borderline behaviour. Rolling diagnostics therefore serve as a complementary detection tool for subtle misspecification that evades full-sample tests — a practical finding with direct implications for governance monitoring frequency.</w:t>
      </w:r>
    </w:p>
    <w:p w14:paraId="5D0414F7" w14:textId="77777777" w:rsidR="00842324" w:rsidRDefault="00000000">
      <w:pPr>
        <w:pStyle w:val="Heading3"/>
      </w:pPr>
      <w:bookmarkStart w:id="183" w:name="limitations-of-the-economic-analyses"/>
      <w:bookmarkEnd w:id="182"/>
      <w:r>
        <w:t>6.3 Limitations of the Economic Analyses</w:t>
      </w:r>
    </w:p>
    <w:p w14:paraId="5D0414F8" w14:textId="77777777" w:rsidR="00842324" w:rsidRDefault="00000000">
      <w:pPr>
        <w:pStyle w:val="FirstParagraph"/>
      </w:pPr>
      <w:r>
        <w:t xml:space="preserve">The capital multiplier analysis is an adaptation of the Basel framework, not a direct application. The original Basel thresholds were calibrated for 99% VaR on trading book positions with 1-day horizon; the excess-based adaptation for 90% coverage intervals is a methodological contribution of this thesis rather than a regulatory standard. Daily aggregation (run_009b, run_010b) confirms that the serial dependence is not purely within-day: ACF lag-1 decreases substantially (0.861 → 0.204 for wind) but persists above the effect-size floor, confirming genuine multi-day meteorological autocorrelation from wind fronts and extended irradiance patterns. The aggregation simultaneously exposes a second finding: the hourly-calibrated intervals produce 97–98% coverage at the daily level, establishing that the rolling quantile reconstruction is </w:t>
      </w:r>
      <w:r>
        <w:rPr>
          <w:b/>
          <w:bCs/>
        </w:rPr>
        <w:t>horizon-specific</w:t>
      </w:r>
      <w:r>
        <w:t xml:space="preserve"> — it does not transfer across time scales without re-calibration at the target horizon. Practitioners applying this framework to operational datasets should therefore calibrate the rolling quantile window at the intended evaluation horizon, complement p-value thresholds with effect-size floors (KS &gt; 0.05 implemented here), and treat daily aggregation as a standard robustness check when n &gt; 20,000.</w:t>
      </w:r>
    </w:p>
    <w:p w14:paraId="5D0414F9" w14:textId="77777777" w:rsidR="00842324" w:rsidRDefault="00000000">
      <w:pPr>
        <w:pStyle w:val="BodyText"/>
      </w:pPr>
      <w:r>
        <w:t>The reserve sizing analysis assumes a direct mapping from prediction interval coverage to reserve adequacy, which ignores market-clearing dynamics, reserve substitutability, and intraday balancing mechanisms. The percentage point errors reported here are therefore indicative of the direction and approximate magnitude of miscalibration impact, not precise operational reserve shortfall estimates.</w:t>
      </w:r>
    </w:p>
    <w:p w14:paraId="5D0414FA" w14:textId="77777777" w:rsidR="00842324" w:rsidRDefault="00000000">
      <w:pPr>
        <w:pStyle w:val="Heading1"/>
      </w:pPr>
      <w:bookmarkStart w:id="184" w:name="governance-implications"/>
      <w:bookmarkStart w:id="185" w:name="_Toc225682105"/>
      <w:bookmarkEnd w:id="151"/>
      <w:bookmarkEnd w:id="179"/>
      <w:bookmarkEnd w:id="183"/>
      <w:r>
        <w:t>Governance Implications</w:t>
      </w:r>
      <w:bookmarkEnd w:id="185"/>
    </w:p>
    <w:p w14:paraId="5D0414FB" w14:textId="77777777" w:rsidR="00842324" w:rsidRDefault="00000000">
      <w:pPr>
        <w:pStyle w:val="Heading1"/>
      </w:pPr>
      <w:bookmarkStart w:id="186" w:name="governance-implications-1"/>
      <w:bookmarkStart w:id="187" w:name="_Toc225682106"/>
      <w:bookmarkEnd w:id="184"/>
      <w:r>
        <w:t>Governance Implications</w:t>
      </w:r>
      <w:bookmarkEnd w:id="187"/>
    </w:p>
    <w:p w14:paraId="5D0414FC" w14:textId="77777777" w:rsidR="00842324" w:rsidRDefault="00000000">
      <w:pPr>
        <w:pStyle w:val="Heading2"/>
      </w:pPr>
      <w:bookmarkStart w:id="188" w:name="from-diagnostics-to-decisions"/>
      <w:bookmarkStart w:id="189" w:name="_Toc225682107"/>
      <w:r>
        <w:t>1. From Diagnostics to Decisions</w:t>
      </w:r>
      <w:bookmarkEnd w:id="189"/>
    </w:p>
    <w:p w14:paraId="5D0414FD" w14:textId="77777777" w:rsidR="00842324" w:rsidRDefault="00000000">
      <w:pPr>
        <w:pStyle w:val="FirstParagraph"/>
      </w:pPr>
      <w:r>
        <w:t>The empirical results presented in Chapter 3 are not ends in themselves. A RED classification carries consequences only if it is connected to a decision — about whether a model should continue to be used, whether its outputs should be adjusted, and what institutional actions are warranted. This chapter translates the diagnostic findings into governance recommendations, situates them within established regulatory frameworks, and addresses the specific implications of conformal augmentation as a recalibration tool within a model risk management context.</w:t>
      </w:r>
    </w:p>
    <w:p w14:paraId="5D0414FE" w14:textId="77777777" w:rsidR="00842324" w:rsidRDefault="00000000">
      <w:pPr>
        <w:pStyle w:val="BodyText"/>
      </w:pPr>
      <w:r>
        <w:lastRenderedPageBreak/>
        <w:t>The starting point is the cross-dataset governance summary. Of the three real-data model classes evaluated, all three receive RED overall classifications. The synthetic positive control receives GREEN, confirming that the framework is not systematically over-strict. The RED findings are not uniform: each model class fails on a structurally distinct combination of diagnostic dimensions, which has direct implications for the nature of the required remediation.</w:t>
      </w:r>
    </w:p>
    <w:p w14:paraId="5D0414FF" w14:textId="77777777" w:rsidR="00842324" w:rsidRDefault="00000000">
      <w:r>
        <w:pict w14:anchorId="5D041614">
          <v:rect id="_x0000_i1084" style="width:0;height:1.5pt" o:hralign="center" o:hrstd="t" o:hr="t"/>
        </w:pict>
      </w:r>
    </w:p>
    <w:p w14:paraId="5D041500" w14:textId="77777777" w:rsidR="00842324" w:rsidRDefault="00000000">
      <w:pPr>
        <w:pStyle w:val="Heading2"/>
      </w:pPr>
      <w:bookmarkStart w:id="190" w:name="interpreting-red-by-failure-mode"/>
      <w:bookmarkStart w:id="191" w:name="_Toc225682108"/>
      <w:bookmarkEnd w:id="188"/>
      <w:r>
        <w:t>2. Interpreting RED by Failure Mode</w:t>
      </w:r>
      <w:bookmarkEnd w:id="191"/>
    </w:p>
    <w:p w14:paraId="5D041501" w14:textId="77777777" w:rsidR="00842324" w:rsidRDefault="00000000">
      <w:pPr>
        <w:pStyle w:val="Heading3"/>
      </w:pPr>
      <w:bookmarkStart w:id="192" w:name="Xd23bff7b4555a32198d9409707acd492516c047"/>
      <w:r>
        <w:t>2.1 Bilateral Interval Miscalibration — ENTSO-E Load Forecasting</w:t>
      </w:r>
    </w:p>
    <w:p w14:paraId="5D041502" w14:textId="77777777" w:rsidR="00842324" w:rsidRDefault="00000000">
      <w:pPr>
        <w:pStyle w:val="FirstParagraph"/>
      </w:pPr>
      <w:r>
        <w:t>The ENTSO-E model fails on all three diagnostic layers: interval backtesting (both tails RED), PIT uniformity (strongly rejected), and serial independence (overwhelmingly rejected). Empirical coverage of 87.1% against a 90% nominal target, combined with Ljung–Box statistics several orders of magnitude above critical values, indicates that the model’s predictive intervals are both too narrow and temporally misspecified.</w:t>
      </w:r>
    </w:p>
    <w:p w14:paraId="5D041503" w14:textId="77777777" w:rsidR="00842324" w:rsidRDefault="00000000">
      <w:pPr>
        <w:pStyle w:val="BodyText"/>
      </w:pPr>
      <w:r>
        <w:rPr>
          <w:b/>
          <w:bCs/>
        </w:rPr>
        <w:t>Governance implication.</w:t>
      </w:r>
      <w:r>
        <w:t xml:space="preserve"> A model in this state should not be used for risk quantification without explicit adjustment. The bilateral nature of the breach — both tails significantly over-breach, not just one — indicates that the miscalibration is not directional bias but a general underestimation of uncertainty. The serial dependence finding compounds this: the model fails to account for autocorrelation in load residuals, meaning consecutive interval violations are not independent events. For risk aggregation across time, this non-independence makes the effective exceedance probability higher than the marginal rate suggests.</w:t>
      </w:r>
    </w:p>
    <w:p w14:paraId="5D041504" w14:textId="77777777" w:rsidR="00842324" w:rsidRDefault="00000000">
      <w:pPr>
        <w:pStyle w:val="BodyText"/>
      </w:pPr>
      <w:r>
        <w:t>Recommended actions: (i) re-estimate the residual distribution reconstruction with longer rolling windows or regime-conditioned quantiles; (ii) apply conformal expansion as a post-hoc coverage correction pending re-estimation; (iii) escalate to model review committee with full diagnostic evidence.</w:t>
      </w:r>
    </w:p>
    <w:p w14:paraId="5D041505" w14:textId="77777777" w:rsidR="00842324" w:rsidRDefault="00000000">
      <w:pPr>
        <w:pStyle w:val="Heading3"/>
      </w:pPr>
      <w:bookmarkStart w:id="193" w:name="X6e796a43c69ce810356208c81195114cd6d099f"/>
      <w:bookmarkEnd w:id="192"/>
      <w:r>
        <w:t>2.2 Distributional Failure Without Interval Failure — PV Solar</w:t>
      </w:r>
    </w:p>
    <w:p w14:paraId="5D041506" w14:textId="77777777" w:rsidR="00842324" w:rsidRDefault="00000000">
      <w:pPr>
        <w:pStyle w:val="FirstParagraph"/>
      </w:pPr>
      <w:r>
        <w:t>The PV model presents the most instructive case for the multi-layer framework argument. It passes interval backtesting (GREEN Anfuso, coverage 91.4%) while failing PIT uniformity and independence diagnostics (both strongly rejected). Under a naive coverage-only governance policy, this model would be classified as acceptable. Under the unified framework, it is classified RED.</w:t>
      </w:r>
    </w:p>
    <w:p w14:paraId="5D041507" w14:textId="77777777" w:rsidR="00842324" w:rsidRDefault="00000000">
      <w:pPr>
        <w:pStyle w:val="BodyText"/>
      </w:pPr>
      <w:r>
        <w:rPr>
          <w:b/>
          <w:bCs/>
        </w:rPr>
        <w:t>Governance implication.</w:t>
      </w:r>
      <w:r>
        <w:t xml:space="preserve"> The interval width is approximately correct on average, but the distributional shape is systematically misspecified. This means the model produces reasonable 90% intervals but unreliable quantiles at other levels — in particular, any risk metric that depends on tail quantiles beyond the evaluated interval (e.g., 95th or 99th percentile) cannot be trusted. For a model used in renewable generation planning or capacity adequacy assessment, this is a material limitation.</w:t>
      </w:r>
    </w:p>
    <w:p w14:paraId="5D041508" w14:textId="77777777" w:rsidR="00842324" w:rsidRDefault="00000000">
      <w:pPr>
        <w:pStyle w:val="BodyText"/>
      </w:pPr>
      <w:r>
        <w:lastRenderedPageBreak/>
        <w:t>This case directly demonstrates that interval-coverage metrics alone are insufficient for governance classification. The RED classification is appropriate and should be communicated with the specific diagnosis: the failure is distributional shape and temporal dependence, not coverage level.</w:t>
      </w:r>
    </w:p>
    <w:p w14:paraId="5D041509" w14:textId="77777777" w:rsidR="00842324" w:rsidRDefault="00000000">
      <w:pPr>
        <w:pStyle w:val="Heading3"/>
      </w:pPr>
      <w:bookmarkStart w:id="194" w:name="X93a242651b529ce9d3145788c7858f4a6f56a7b"/>
      <w:bookmarkEnd w:id="193"/>
      <w:r>
        <w:t>2.3 Asymmetric Lower-Tail Failure — Wind Generation</w:t>
      </w:r>
    </w:p>
    <w:p w14:paraId="5D04150A" w14:textId="77777777" w:rsidR="00842324" w:rsidRDefault="00000000">
      <w:pPr>
        <w:pStyle w:val="FirstParagraph"/>
      </w:pPr>
      <w:r>
        <w:t>The wind model fails on lower-tail interval backtesting (RED, 6.44% breach rate vs 5% nominal) while the upper tail is within tolerance (GREEN, 4.93%). Total coverage is 88.6%. PIT uniformity and independence are strongly rejected.</w:t>
      </w:r>
    </w:p>
    <w:p w14:paraId="5D04150B" w14:textId="77777777" w:rsidR="00842324" w:rsidRDefault="00000000">
      <w:pPr>
        <w:pStyle w:val="BodyText"/>
      </w:pPr>
      <w:r>
        <w:rPr>
          <w:b/>
          <w:bCs/>
        </w:rPr>
        <w:t>Governance implication.</w:t>
      </w:r>
      <w:r>
        <w:t xml:space="preserve"> The asymmetric failure pattern has a physically interpretable cause: wind generation is bounded below by zero, and the model underestimates the probability of low-generation events more than high-generation events. For risk management purposes, this is a one-directional conservatism failure — the model is more dangerous in downside scenarios (low wind, high demand) than in upside scenarios. Any risk measure sensitive to the lower tail of the generation distribution — such as capacity shortfall probability or balancing reserve sizing — will be systematically underestimated by this model. The governance response should target lower-tail recalibration specifically, rather than global interval adjustment.</w:t>
      </w:r>
    </w:p>
    <w:p w14:paraId="5D04150C" w14:textId="77777777" w:rsidR="00842324" w:rsidRDefault="00000000">
      <w:r>
        <w:pict w14:anchorId="5D041615">
          <v:rect id="_x0000_i1085" style="width:0;height:1.5pt" o:hralign="center" o:hrstd="t" o:hr="t"/>
        </w:pict>
      </w:r>
    </w:p>
    <w:p w14:paraId="5D04150D" w14:textId="77777777" w:rsidR="00842324" w:rsidRDefault="00000000">
      <w:pPr>
        <w:pStyle w:val="Heading2"/>
      </w:pPr>
      <w:bookmarkStart w:id="195" w:name="governance-action-protocol"/>
      <w:bookmarkStart w:id="196" w:name="_Toc225682109"/>
      <w:bookmarkEnd w:id="190"/>
      <w:bookmarkEnd w:id="194"/>
      <w:r>
        <w:t>3. Governance Action Protocol</w:t>
      </w:r>
      <w:bookmarkEnd w:id="196"/>
    </w:p>
    <w:p w14:paraId="5D04150E" w14:textId="77777777" w:rsidR="00842324" w:rsidRDefault="00000000">
      <w:pPr>
        <w:pStyle w:val="Heading3"/>
      </w:pPr>
      <w:bookmarkStart w:id="197" w:name="traffic-light-to-action-mapping"/>
      <w:r>
        <w:t>3.1 Traffic-Light to Action Mapping</w:t>
      </w:r>
    </w:p>
    <w:p w14:paraId="5D04150F" w14:textId="77777777" w:rsidR="00842324" w:rsidRDefault="00000000">
      <w:pPr>
        <w:pStyle w:val="FirstParagraph"/>
      </w:pPr>
      <w:r>
        <w:t>The governance classification is only operationally useful if it triggers defined institutional responses. The following table maps each traffic-light outcome to a set of concrete actions, ordered by urgency. The action set distinguishes between the failure mode (what failed) and the required response (what must happen), recognising that different failure modes within the same RED classification warrant different remediation paths.</w:t>
      </w:r>
    </w:p>
    <w:tbl>
      <w:tblPr>
        <w:tblStyle w:val="Table"/>
        <w:tblW w:w="5000" w:type="pct"/>
        <w:tblLayout w:type="fixed"/>
        <w:tblLook w:val="0020" w:firstRow="1" w:lastRow="0" w:firstColumn="0" w:lastColumn="0" w:noHBand="0" w:noVBand="0"/>
      </w:tblPr>
      <w:tblGrid>
        <w:gridCol w:w="985"/>
        <w:gridCol w:w="1831"/>
        <w:gridCol w:w="2395"/>
        <w:gridCol w:w="2675"/>
        <w:gridCol w:w="1690"/>
      </w:tblGrid>
      <w:tr w:rsidR="00842324" w14:paraId="5D041515"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815" w:type="dxa"/>
          </w:tcPr>
          <w:p w14:paraId="5D041510" w14:textId="77777777" w:rsidR="00842324" w:rsidRDefault="00000000">
            <w:pPr>
              <w:pStyle w:val="Compact"/>
            </w:pPr>
            <w:r>
              <w:t>Label</w:t>
            </w:r>
          </w:p>
        </w:tc>
        <w:tc>
          <w:tcPr>
            <w:tcW w:w="1514" w:type="dxa"/>
          </w:tcPr>
          <w:p w14:paraId="5D041511" w14:textId="77777777" w:rsidR="00842324" w:rsidRDefault="00000000">
            <w:pPr>
              <w:pStyle w:val="Compact"/>
            </w:pPr>
            <w:r>
              <w:t>Failure Mode</w:t>
            </w:r>
          </w:p>
        </w:tc>
        <w:tc>
          <w:tcPr>
            <w:tcW w:w="1980" w:type="dxa"/>
          </w:tcPr>
          <w:p w14:paraId="5D041512" w14:textId="77777777" w:rsidR="00842324" w:rsidRDefault="00000000">
            <w:pPr>
              <w:pStyle w:val="Compact"/>
            </w:pPr>
            <w:r>
              <w:t>Immediate Action</w:t>
            </w:r>
          </w:p>
        </w:tc>
        <w:tc>
          <w:tcPr>
            <w:tcW w:w="2212" w:type="dxa"/>
          </w:tcPr>
          <w:p w14:paraId="5D041513" w14:textId="77777777" w:rsidR="00842324" w:rsidRDefault="00000000">
            <w:pPr>
              <w:pStyle w:val="Compact"/>
            </w:pPr>
            <w:r>
              <w:t>Short-Term Action</w:t>
            </w:r>
          </w:p>
        </w:tc>
        <w:tc>
          <w:tcPr>
            <w:tcW w:w="1397" w:type="dxa"/>
          </w:tcPr>
          <w:p w14:paraId="5D041514" w14:textId="77777777" w:rsidR="00842324" w:rsidRDefault="00000000">
            <w:pPr>
              <w:pStyle w:val="Compact"/>
            </w:pPr>
            <w:r>
              <w:t>Escalation</w:t>
            </w:r>
          </w:p>
        </w:tc>
      </w:tr>
      <w:tr w:rsidR="00842324" w14:paraId="5D04151B" w14:textId="77777777">
        <w:tc>
          <w:tcPr>
            <w:tcW w:w="815" w:type="dxa"/>
          </w:tcPr>
          <w:p w14:paraId="5D041516" w14:textId="77777777" w:rsidR="00842324" w:rsidRDefault="00000000">
            <w:pPr>
              <w:pStyle w:val="Compact"/>
            </w:pPr>
            <w:r>
              <w:rPr>
                <w:b/>
                <w:bCs/>
              </w:rPr>
              <w:t>RED</w:t>
            </w:r>
            <w:r>
              <w:t xml:space="preserve"> — interval + PIT + independence</w:t>
            </w:r>
          </w:p>
        </w:tc>
        <w:tc>
          <w:tcPr>
            <w:tcW w:w="1514" w:type="dxa"/>
          </w:tcPr>
          <w:p w14:paraId="5D041517" w14:textId="77777777" w:rsidR="00842324" w:rsidRDefault="00000000">
            <w:pPr>
              <w:pStyle w:val="Compact"/>
            </w:pPr>
            <w:r>
              <w:t>All layers fail (e.g. ENTSO-E load)</w:t>
            </w:r>
          </w:p>
        </w:tc>
        <w:tc>
          <w:tcPr>
            <w:tcW w:w="1980" w:type="dxa"/>
          </w:tcPr>
          <w:p w14:paraId="5D041518" w14:textId="77777777" w:rsidR="00842324" w:rsidRDefault="00000000">
            <w:pPr>
              <w:pStyle w:val="Compact"/>
            </w:pPr>
            <w:r>
              <w:t>Suspend model use for risk quantification. Apply conformal expansion as interim coverage correction.</w:t>
            </w:r>
          </w:p>
        </w:tc>
        <w:tc>
          <w:tcPr>
            <w:tcW w:w="2212" w:type="dxa"/>
          </w:tcPr>
          <w:p w14:paraId="5D041519" w14:textId="77777777" w:rsidR="00842324" w:rsidRDefault="00000000">
            <w:pPr>
              <w:pStyle w:val="Compact"/>
            </w:pPr>
            <w:r>
              <w:t>Re-estimate residual distribution with extended rolling window or regime-conditioned quantiles. Re-run full diagnostic battery.</w:t>
            </w:r>
          </w:p>
        </w:tc>
        <w:tc>
          <w:tcPr>
            <w:tcW w:w="1397" w:type="dxa"/>
          </w:tcPr>
          <w:p w14:paraId="5D04151A" w14:textId="77777777" w:rsidR="00842324" w:rsidRDefault="00000000">
            <w:pPr>
              <w:pStyle w:val="Compact"/>
            </w:pPr>
            <w:r>
              <w:t>Escalate to model risk committee. File REMIT Article 15 notification if model is used for wholesale market price formation.</w:t>
            </w:r>
          </w:p>
        </w:tc>
      </w:tr>
      <w:tr w:rsidR="00842324" w14:paraId="5D041521" w14:textId="77777777">
        <w:tc>
          <w:tcPr>
            <w:tcW w:w="815" w:type="dxa"/>
          </w:tcPr>
          <w:p w14:paraId="5D04151C" w14:textId="77777777" w:rsidR="00842324" w:rsidRDefault="00000000">
            <w:pPr>
              <w:pStyle w:val="Compact"/>
            </w:pPr>
            <w:r>
              <w:rPr>
                <w:b/>
                <w:bCs/>
              </w:rPr>
              <w:t>RED</w:t>
            </w:r>
            <w:r>
              <w:t xml:space="preserve"> — PIT + </w:t>
            </w:r>
            <w:r>
              <w:lastRenderedPageBreak/>
              <w:t>independence only</w:t>
            </w:r>
          </w:p>
        </w:tc>
        <w:tc>
          <w:tcPr>
            <w:tcW w:w="1514" w:type="dxa"/>
          </w:tcPr>
          <w:p w14:paraId="5D04151D" w14:textId="77777777" w:rsidR="00842324" w:rsidRDefault="00000000">
            <w:pPr>
              <w:pStyle w:val="Compact"/>
            </w:pPr>
            <w:r>
              <w:lastRenderedPageBreak/>
              <w:t xml:space="preserve">Distributional failure, interval </w:t>
            </w:r>
            <w:r>
              <w:lastRenderedPageBreak/>
              <w:t>acceptable (e.g. PV solar)</w:t>
            </w:r>
          </w:p>
        </w:tc>
        <w:tc>
          <w:tcPr>
            <w:tcW w:w="1980" w:type="dxa"/>
          </w:tcPr>
          <w:p w14:paraId="5D04151E" w14:textId="77777777" w:rsidR="00842324" w:rsidRDefault="00000000">
            <w:pPr>
              <w:pStyle w:val="Compact"/>
            </w:pPr>
            <w:r>
              <w:lastRenderedPageBreak/>
              <w:t xml:space="preserve">Flag model outputs at quantile levels </w:t>
            </w:r>
            <w:r>
              <w:lastRenderedPageBreak/>
              <w:t>beyond evaluated interval (&gt;90th / &lt;10th percentile) as unreliable. Do not suspend interval-level outputs.</w:t>
            </w:r>
          </w:p>
        </w:tc>
        <w:tc>
          <w:tcPr>
            <w:tcW w:w="2212" w:type="dxa"/>
          </w:tcPr>
          <w:p w14:paraId="5D04151F" w14:textId="77777777" w:rsidR="00842324" w:rsidRDefault="00000000">
            <w:pPr>
              <w:pStyle w:val="Compact"/>
            </w:pPr>
            <w:r>
              <w:lastRenderedPageBreak/>
              <w:t xml:space="preserve">Investigate source of PIT non-uniformity: </w:t>
            </w:r>
            <w:r>
              <w:lastRenderedPageBreak/>
              <w:t>residual skewness, conditional heteroscedasticity, seasonal shape misspecification.</w:t>
            </w:r>
          </w:p>
        </w:tc>
        <w:tc>
          <w:tcPr>
            <w:tcW w:w="1397" w:type="dxa"/>
          </w:tcPr>
          <w:p w14:paraId="5D041520" w14:textId="77777777" w:rsidR="00842324" w:rsidRDefault="00000000">
            <w:pPr>
              <w:pStyle w:val="Compact"/>
            </w:pPr>
            <w:r>
              <w:lastRenderedPageBreak/>
              <w:t xml:space="preserve">Document failure in </w:t>
            </w:r>
            <w:r>
              <w:lastRenderedPageBreak/>
              <w:t>model risk register. Schedule structured review within 60 days.</w:t>
            </w:r>
          </w:p>
        </w:tc>
      </w:tr>
      <w:tr w:rsidR="00842324" w14:paraId="5D041527" w14:textId="77777777">
        <w:tc>
          <w:tcPr>
            <w:tcW w:w="815" w:type="dxa"/>
          </w:tcPr>
          <w:p w14:paraId="5D041522" w14:textId="77777777" w:rsidR="00842324" w:rsidRDefault="00000000">
            <w:pPr>
              <w:pStyle w:val="Compact"/>
            </w:pPr>
            <w:r>
              <w:rPr>
                <w:b/>
                <w:bCs/>
              </w:rPr>
              <w:lastRenderedPageBreak/>
              <w:t>RED</w:t>
            </w:r>
            <w:r>
              <w:t xml:space="preserve"> — interval only (tail asymmetry)</w:t>
            </w:r>
          </w:p>
        </w:tc>
        <w:tc>
          <w:tcPr>
            <w:tcW w:w="1514" w:type="dxa"/>
          </w:tcPr>
          <w:p w14:paraId="5D041523" w14:textId="77777777" w:rsidR="00842324" w:rsidRDefault="00000000">
            <w:pPr>
              <w:pStyle w:val="Compact"/>
            </w:pPr>
            <w:r>
              <w:t>One-sided breach excess (e.g. wind lower tail)</w:t>
            </w:r>
          </w:p>
        </w:tc>
        <w:tc>
          <w:tcPr>
            <w:tcW w:w="1980" w:type="dxa"/>
          </w:tcPr>
          <w:p w14:paraId="5D041524" w14:textId="77777777" w:rsidR="00842324" w:rsidRDefault="00000000">
            <w:pPr>
              <w:pStyle w:val="Compact"/>
            </w:pPr>
            <w:r>
              <w:t>Apply directional conformal correction to affected tail only. Flag tail-specific risk measures (capacity shortfall probability, reserve sizing) as unreliable.</w:t>
            </w:r>
          </w:p>
        </w:tc>
        <w:tc>
          <w:tcPr>
            <w:tcW w:w="2212" w:type="dxa"/>
          </w:tcPr>
          <w:p w14:paraId="5D041525" w14:textId="77777777" w:rsidR="00842324" w:rsidRDefault="00000000">
            <w:pPr>
              <w:pStyle w:val="Compact"/>
            </w:pPr>
            <w:r>
              <w:t>Investigate physical cause: bounded-below generation, power curve asymmetry, underestimated low-generation regimes. Recalibrate lower-tail quantile reconstruction.</w:t>
            </w:r>
          </w:p>
        </w:tc>
        <w:tc>
          <w:tcPr>
            <w:tcW w:w="1397" w:type="dxa"/>
          </w:tcPr>
          <w:p w14:paraId="5D041526" w14:textId="77777777" w:rsidR="00842324" w:rsidRDefault="00000000">
            <w:pPr>
              <w:pStyle w:val="Compact"/>
            </w:pPr>
            <w:r>
              <w:t>Document asymmetric failure in model risk register with tail-specific breach statistics.</w:t>
            </w:r>
          </w:p>
        </w:tc>
      </w:tr>
      <w:tr w:rsidR="00842324" w14:paraId="5D04152D" w14:textId="77777777">
        <w:tc>
          <w:tcPr>
            <w:tcW w:w="815" w:type="dxa"/>
          </w:tcPr>
          <w:p w14:paraId="5D041528" w14:textId="77777777" w:rsidR="00842324" w:rsidRDefault="00000000">
            <w:pPr>
              <w:pStyle w:val="Compact"/>
            </w:pPr>
            <w:r>
              <w:rPr>
                <w:b/>
                <w:bCs/>
              </w:rPr>
              <w:t>RED</w:t>
            </w:r>
            <w:r>
              <w:t xml:space="preserve"> — coverage (undercoverage)</w:t>
            </w:r>
          </w:p>
        </w:tc>
        <w:tc>
          <w:tcPr>
            <w:tcW w:w="1514" w:type="dxa"/>
          </w:tcPr>
          <w:p w14:paraId="5D041529" w14:textId="77777777" w:rsidR="00842324" w:rsidRDefault="00000000">
            <w:pPr>
              <w:pStyle w:val="Compact"/>
            </w:pPr>
            <w:r>
              <w:t>Interval too narrow (e.g. misspecification scenarios)</w:t>
            </w:r>
          </w:p>
        </w:tc>
        <w:tc>
          <w:tcPr>
            <w:tcW w:w="1980" w:type="dxa"/>
          </w:tcPr>
          <w:p w14:paraId="5D04152A" w14:textId="77777777" w:rsidR="00842324" w:rsidRDefault="00000000">
            <w:pPr>
              <w:pStyle w:val="Compact"/>
            </w:pPr>
            <w:r>
              <w:t>Widen intervals by conformal expansion factor. Increase operational reserve sizing by coverage error magnitude.</w:t>
            </w:r>
          </w:p>
        </w:tc>
        <w:tc>
          <w:tcPr>
            <w:tcW w:w="2212" w:type="dxa"/>
          </w:tcPr>
          <w:p w14:paraId="5D04152B" w14:textId="77777777" w:rsidR="00842324" w:rsidRDefault="00000000">
            <w:pPr>
              <w:pStyle w:val="Compact"/>
            </w:pPr>
            <w:r>
              <w:t>Identify source: variance inflation, mean bias, or heavy-tail misspecification. Deploy targeted correction.</w:t>
            </w:r>
          </w:p>
        </w:tc>
        <w:tc>
          <w:tcPr>
            <w:tcW w:w="1397" w:type="dxa"/>
          </w:tcPr>
          <w:p w14:paraId="5D04152C" w14:textId="77777777" w:rsidR="00842324" w:rsidRDefault="00000000">
            <w:pPr>
              <w:pStyle w:val="Compact"/>
            </w:pPr>
            <w:r>
              <w:t>Quantify reserve undersizing in physical and financial terms. Report to risk committee.</w:t>
            </w:r>
          </w:p>
        </w:tc>
      </w:tr>
      <w:tr w:rsidR="00842324" w14:paraId="5D041533" w14:textId="77777777">
        <w:tc>
          <w:tcPr>
            <w:tcW w:w="815" w:type="dxa"/>
          </w:tcPr>
          <w:p w14:paraId="5D04152E" w14:textId="77777777" w:rsidR="00842324" w:rsidRDefault="00000000">
            <w:pPr>
              <w:pStyle w:val="Compact"/>
            </w:pPr>
            <w:r>
              <w:rPr>
                <w:b/>
                <w:bCs/>
              </w:rPr>
              <w:t>YELLOW</w:t>
            </w:r>
          </w:p>
        </w:tc>
        <w:tc>
          <w:tcPr>
            <w:tcW w:w="1514" w:type="dxa"/>
          </w:tcPr>
          <w:p w14:paraId="5D04152F" w14:textId="77777777" w:rsidR="00842324" w:rsidRDefault="00000000">
            <w:pPr>
              <w:pStyle w:val="Compact"/>
            </w:pPr>
            <w:r>
              <w:t>Marginal signal — sampling noise or borderline coverage</w:t>
            </w:r>
          </w:p>
        </w:tc>
        <w:tc>
          <w:tcPr>
            <w:tcW w:w="1980" w:type="dxa"/>
          </w:tcPr>
          <w:p w14:paraId="5D041530" w14:textId="77777777" w:rsidR="00842324" w:rsidRDefault="00000000">
            <w:pPr>
              <w:pStyle w:val="Compact"/>
            </w:pPr>
            <w:r>
              <w:t>No suspension required. Increase monitoring frequency.</w:t>
            </w:r>
          </w:p>
        </w:tc>
        <w:tc>
          <w:tcPr>
            <w:tcW w:w="2212" w:type="dxa"/>
          </w:tcPr>
          <w:p w14:paraId="5D041531" w14:textId="77777777" w:rsidR="00842324" w:rsidRDefault="00000000">
            <w:pPr>
              <w:pStyle w:val="Compact"/>
            </w:pPr>
            <w:r>
              <w:t>Re-evaluate at next scheduled review with updated data. Consider extending evaluation window if n &lt; 500.</w:t>
            </w:r>
          </w:p>
        </w:tc>
        <w:tc>
          <w:tcPr>
            <w:tcW w:w="1397" w:type="dxa"/>
          </w:tcPr>
          <w:p w14:paraId="5D041532" w14:textId="77777777" w:rsidR="00842324" w:rsidRDefault="00000000">
            <w:pPr>
              <w:pStyle w:val="Compact"/>
            </w:pPr>
            <w:r>
              <w:t>Log in model risk register. No external escalation required unless YELLOW persists across three consecutive review cycles.</w:t>
            </w:r>
          </w:p>
        </w:tc>
      </w:tr>
      <w:tr w:rsidR="00842324" w14:paraId="5D041539" w14:textId="77777777">
        <w:tc>
          <w:tcPr>
            <w:tcW w:w="815" w:type="dxa"/>
          </w:tcPr>
          <w:p w14:paraId="5D041534" w14:textId="77777777" w:rsidR="00842324" w:rsidRDefault="00000000">
            <w:pPr>
              <w:pStyle w:val="Compact"/>
            </w:pPr>
            <w:r>
              <w:rPr>
                <w:b/>
                <w:bCs/>
              </w:rPr>
              <w:t>GREEN</w:t>
            </w:r>
          </w:p>
        </w:tc>
        <w:tc>
          <w:tcPr>
            <w:tcW w:w="1514" w:type="dxa"/>
          </w:tcPr>
          <w:p w14:paraId="5D041535" w14:textId="77777777" w:rsidR="00842324" w:rsidRDefault="00000000">
            <w:pPr>
              <w:pStyle w:val="Compact"/>
            </w:pPr>
            <w:r>
              <w:t>All layers pass</w:t>
            </w:r>
          </w:p>
        </w:tc>
        <w:tc>
          <w:tcPr>
            <w:tcW w:w="1980" w:type="dxa"/>
          </w:tcPr>
          <w:p w14:paraId="5D041536" w14:textId="77777777" w:rsidR="00842324" w:rsidRDefault="00000000">
            <w:pPr>
              <w:pStyle w:val="Compact"/>
            </w:pPr>
            <w:r>
              <w:t>Continue normal model use.</w:t>
            </w:r>
          </w:p>
        </w:tc>
        <w:tc>
          <w:tcPr>
            <w:tcW w:w="2212" w:type="dxa"/>
          </w:tcPr>
          <w:p w14:paraId="5D041537" w14:textId="77777777" w:rsidR="00842324" w:rsidRDefault="00000000">
            <w:pPr>
              <w:pStyle w:val="Compact"/>
            </w:pPr>
            <w:r>
              <w:t>Schedule next review per standard governance calendar (quarterly recommended).</w:t>
            </w:r>
          </w:p>
        </w:tc>
        <w:tc>
          <w:tcPr>
            <w:tcW w:w="1397" w:type="dxa"/>
          </w:tcPr>
          <w:p w14:paraId="5D041538" w14:textId="77777777" w:rsidR="00842324" w:rsidRDefault="00000000">
            <w:pPr>
              <w:pStyle w:val="Compact"/>
            </w:pPr>
            <w:r>
              <w:t>No escalation required.</w:t>
            </w:r>
          </w:p>
        </w:tc>
      </w:tr>
      <w:tr w:rsidR="00842324" w14:paraId="5D04153F" w14:textId="77777777">
        <w:tc>
          <w:tcPr>
            <w:tcW w:w="815" w:type="dxa"/>
          </w:tcPr>
          <w:p w14:paraId="5D04153A" w14:textId="77777777" w:rsidR="00842324" w:rsidRDefault="00000000">
            <w:pPr>
              <w:pStyle w:val="Compact"/>
            </w:pPr>
            <w:r>
              <w:rPr>
                <w:b/>
                <w:bCs/>
              </w:rPr>
              <w:t xml:space="preserve">GREEN (with </w:t>
            </w:r>
            <w:r>
              <w:rPr>
                <w:b/>
                <w:bCs/>
              </w:rPr>
              <w:lastRenderedPageBreak/>
              <w:t>conformal adjustment)</w:t>
            </w:r>
          </w:p>
        </w:tc>
        <w:tc>
          <w:tcPr>
            <w:tcW w:w="1514" w:type="dxa"/>
          </w:tcPr>
          <w:p w14:paraId="5D04153B" w14:textId="77777777" w:rsidR="00842324" w:rsidRDefault="00000000">
            <w:pPr>
              <w:pStyle w:val="Compact"/>
            </w:pPr>
            <w:r>
              <w:lastRenderedPageBreak/>
              <w:t xml:space="preserve">Passes post-conformal, </w:t>
            </w:r>
            <w:r>
              <w:lastRenderedPageBreak/>
              <w:t>underlying PIT failures present</w:t>
            </w:r>
          </w:p>
        </w:tc>
        <w:tc>
          <w:tcPr>
            <w:tcW w:w="1980" w:type="dxa"/>
          </w:tcPr>
          <w:p w14:paraId="5D04153C" w14:textId="77777777" w:rsidR="00842324" w:rsidRDefault="00000000">
            <w:pPr>
              <w:pStyle w:val="Compact"/>
            </w:pPr>
            <w:r>
              <w:lastRenderedPageBreak/>
              <w:t xml:space="preserve">Continue use with conformal </w:t>
            </w:r>
            <w:r>
              <w:lastRenderedPageBreak/>
              <w:t>adjustment active. Do not remove adjustment without re-running full diagnostic battery.</w:t>
            </w:r>
          </w:p>
        </w:tc>
        <w:tc>
          <w:tcPr>
            <w:tcW w:w="2212" w:type="dxa"/>
          </w:tcPr>
          <w:p w14:paraId="5D04153D" w14:textId="77777777" w:rsidR="00842324" w:rsidRDefault="00000000">
            <w:pPr>
              <w:pStyle w:val="Compact"/>
            </w:pPr>
            <w:r>
              <w:lastRenderedPageBreak/>
              <w:t xml:space="preserve">Pursue structural model improvement to </w:t>
            </w:r>
            <w:r>
              <w:lastRenderedPageBreak/>
              <w:t>address underlying PIT failures. Set target date for re-evaluation without conformal layer.</w:t>
            </w:r>
          </w:p>
        </w:tc>
        <w:tc>
          <w:tcPr>
            <w:tcW w:w="1397" w:type="dxa"/>
          </w:tcPr>
          <w:p w14:paraId="5D04153E" w14:textId="77777777" w:rsidR="00842324" w:rsidRDefault="00000000">
            <w:pPr>
              <w:pStyle w:val="Compact"/>
            </w:pPr>
            <w:r>
              <w:lastRenderedPageBreak/>
              <w:t xml:space="preserve">Document adjustment in </w:t>
            </w:r>
            <w:r>
              <w:lastRenderedPageBreak/>
              <w:t>model risk register. Flag for independent validation review.</w:t>
            </w:r>
          </w:p>
        </w:tc>
      </w:tr>
    </w:tbl>
    <w:p w14:paraId="5D041540" w14:textId="77777777" w:rsidR="00842324" w:rsidRDefault="00000000">
      <w:pPr>
        <w:pStyle w:val="Heading3"/>
      </w:pPr>
      <w:bookmarkStart w:id="198" w:name="minimum-evaluation-horizons"/>
      <w:bookmarkEnd w:id="197"/>
      <w:r>
        <w:lastRenderedPageBreak/>
        <w:t>3.2 Minimum Evaluation Horizons</w:t>
      </w:r>
    </w:p>
    <w:p w14:paraId="5D041541" w14:textId="77777777" w:rsidR="00842324" w:rsidRDefault="00000000">
      <w:pPr>
        <w:pStyle w:val="FirstParagraph"/>
      </w:pPr>
      <w:r>
        <w:t>The misspecification detection results (Section 5) establish that the framework’s discriminative power is sample-size dependent. The following minimum evaluation horizons are recommended as procedural governance safeguards:</w:t>
      </w:r>
    </w:p>
    <w:tbl>
      <w:tblPr>
        <w:tblStyle w:val="Table"/>
        <w:tblW w:w="5000" w:type="pct"/>
        <w:tblLayout w:type="fixed"/>
        <w:tblLook w:val="0020" w:firstRow="1" w:lastRow="0" w:firstColumn="0" w:lastColumn="0" w:noHBand="0" w:noVBand="0"/>
      </w:tblPr>
      <w:tblGrid>
        <w:gridCol w:w="3556"/>
        <w:gridCol w:w="3010"/>
        <w:gridCol w:w="3010"/>
      </w:tblGrid>
      <w:tr w:rsidR="00842324" w14:paraId="5D041545"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2941" w:type="dxa"/>
          </w:tcPr>
          <w:p w14:paraId="5D041542" w14:textId="77777777" w:rsidR="00842324" w:rsidRDefault="00000000">
            <w:pPr>
              <w:pStyle w:val="Compact"/>
            </w:pPr>
            <w:r>
              <w:t>Model Class</w:t>
            </w:r>
          </w:p>
        </w:tc>
        <w:tc>
          <w:tcPr>
            <w:tcW w:w="2489" w:type="dxa"/>
          </w:tcPr>
          <w:p w14:paraId="5D041543" w14:textId="77777777" w:rsidR="00842324" w:rsidRDefault="00000000">
            <w:pPr>
              <w:pStyle w:val="Compact"/>
            </w:pPr>
            <w:r>
              <w:t>Minimum n</w:t>
            </w:r>
          </w:p>
        </w:tc>
        <w:tc>
          <w:tcPr>
            <w:tcW w:w="2489" w:type="dxa"/>
          </w:tcPr>
          <w:p w14:paraId="5D041544" w14:textId="77777777" w:rsidR="00842324" w:rsidRDefault="00000000">
            <w:pPr>
              <w:pStyle w:val="Compact"/>
            </w:pPr>
            <w:r>
              <w:t>Rationale</w:t>
            </w:r>
          </w:p>
        </w:tc>
      </w:tr>
      <w:tr w:rsidR="00842324" w14:paraId="5D041549" w14:textId="77777777">
        <w:tc>
          <w:tcPr>
            <w:tcW w:w="2941" w:type="dxa"/>
          </w:tcPr>
          <w:p w14:paraId="5D041546" w14:textId="77777777" w:rsidR="00842324" w:rsidRDefault="00000000">
            <w:pPr>
              <w:pStyle w:val="Compact"/>
            </w:pPr>
            <w:r>
              <w:t>Short-term (ENTSO-E, hourly)</w:t>
            </w:r>
          </w:p>
        </w:tc>
        <w:tc>
          <w:tcPr>
            <w:tcW w:w="2489" w:type="dxa"/>
          </w:tcPr>
          <w:p w14:paraId="5D041547" w14:textId="77777777" w:rsidR="00842324" w:rsidRDefault="00000000">
            <w:pPr>
              <w:pStyle w:val="Compact"/>
            </w:pPr>
            <w:r>
              <w:t>5,000</w:t>
            </w:r>
          </w:p>
        </w:tc>
        <w:tc>
          <w:tcPr>
            <w:tcW w:w="2489" w:type="dxa"/>
          </w:tcPr>
          <w:p w14:paraId="5D041548" w14:textId="77777777" w:rsidR="00842324" w:rsidRDefault="00000000">
            <w:pPr>
              <w:pStyle w:val="Compact"/>
            </w:pPr>
            <w:r>
              <w:t>Stable PIT and Anfuso statistics; adequate rolling window count</w:t>
            </w:r>
          </w:p>
        </w:tc>
      </w:tr>
      <w:tr w:rsidR="00842324" w14:paraId="5D04154D" w14:textId="77777777">
        <w:tc>
          <w:tcPr>
            <w:tcW w:w="2941" w:type="dxa"/>
          </w:tcPr>
          <w:p w14:paraId="5D04154A" w14:textId="77777777" w:rsidR="00842324" w:rsidRDefault="00000000">
            <w:pPr>
              <w:pStyle w:val="Compact"/>
            </w:pPr>
            <w:r>
              <w:t>Long-term renewable (PV, wind)</w:t>
            </w:r>
          </w:p>
        </w:tc>
        <w:tc>
          <w:tcPr>
            <w:tcW w:w="2489" w:type="dxa"/>
          </w:tcPr>
          <w:p w14:paraId="5D04154B" w14:textId="77777777" w:rsidR="00842324" w:rsidRDefault="00000000">
            <w:pPr>
              <w:pStyle w:val="Compact"/>
            </w:pPr>
            <w:r>
              <w:t>2,000 daytime obs</w:t>
            </w:r>
          </w:p>
        </w:tc>
        <w:tc>
          <w:tcPr>
            <w:tcW w:w="2489" w:type="dxa"/>
          </w:tcPr>
          <w:p w14:paraId="5D04154C" w14:textId="77777777" w:rsidR="00842324" w:rsidRDefault="00000000">
            <w:pPr>
              <w:pStyle w:val="Compact"/>
            </w:pPr>
            <w:r>
              <w:t>After nighttime exclusion and warmup; equivalent to ~1 year hourly daytime</w:t>
            </w:r>
          </w:p>
        </w:tc>
      </w:tr>
      <w:tr w:rsidR="00842324" w14:paraId="5D041551" w14:textId="77777777">
        <w:tc>
          <w:tcPr>
            <w:tcW w:w="2941" w:type="dxa"/>
          </w:tcPr>
          <w:p w14:paraId="5D04154E" w14:textId="77777777" w:rsidR="00842324" w:rsidRDefault="00000000">
            <w:pPr>
              <w:pStyle w:val="Compact"/>
            </w:pPr>
            <w:r>
              <w:t>Simulation (Class 1)</w:t>
            </w:r>
          </w:p>
        </w:tc>
        <w:tc>
          <w:tcPr>
            <w:tcW w:w="2489" w:type="dxa"/>
          </w:tcPr>
          <w:p w14:paraId="5D04154F" w14:textId="77777777" w:rsidR="00842324" w:rsidRDefault="00000000">
            <w:pPr>
              <w:pStyle w:val="Compact"/>
            </w:pPr>
            <w:r>
              <w:t>250</w:t>
            </w:r>
          </w:p>
        </w:tc>
        <w:tc>
          <w:tcPr>
            <w:tcW w:w="2489" w:type="dxa"/>
          </w:tcPr>
          <w:p w14:paraId="5D041550" w14:textId="77777777" w:rsidR="00842324" w:rsidRDefault="00000000">
            <w:pPr>
              <w:pStyle w:val="Compact"/>
            </w:pPr>
            <w:r>
              <w:t>Minimum for Anfuso binomial test to have power against 2× variance inflation</w:t>
            </w:r>
          </w:p>
        </w:tc>
      </w:tr>
      <w:tr w:rsidR="00842324" w14:paraId="5D041555" w14:textId="77777777">
        <w:tc>
          <w:tcPr>
            <w:tcW w:w="2941" w:type="dxa"/>
          </w:tcPr>
          <w:p w14:paraId="5D041552" w14:textId="77777777" w:rsidR="00842324" w:rsidRDefault="00000000">
            <w:pPr>
              <w:pStyle w:val="Compact"/>
            </w:pPr>
            <w:r>
              <w:t>Any model — heavy-tail check</w:t>
            </w:r>
          </w:p>
        </w:tc>
        <w:tc>
          <w:tcPr>
            <w:tcW w:w="2489" w:type="dxa"/>
          </w:tcPr>
          <w:p w14:paraId="5D041553" w14:textId="77777777" w:rsidR="00842324" w:rsidRDefault="00000000">
            <w:pPr>
              <w:pStyle w:val="Compact"/>
            </w:pPr>
            <w:r>
              <w:t>1,000</w:t>
            </w:r>
          </w:p>
        </w:tc>
        <w:tc>
          <w:tcPr>
            <w:tcW w:w="2489" w:type="dxa"/>
          </w:tcPr>
          <w:p w14:paraId="5D041554" w14:textId="77777777" w:rsidR="00842324" w:rsidRDefault="00000000">
            <w:pPr>
              <w:pStyle w:val="Compact"/>
            </w:pPr>
            <w:r>
              <w:t>Below this, t(df=3) misspecification is not detectable at conventional significance</w:t>
            </w:r>
          </w:p>
        </w:tc>
      </w:tr>
    </w:tbl>
    <w:p w14:paraId="5D041556" w14:textId="77777777" w:rsidR="00842324" w:rsidRDefault="00000000">
      <w:pPr>
        <w:pStyle w:val="BodyText"/>
      </w:pPr>
      <w:r>
        <w:t>Models evaluated below these thresholds should receive a mandatory YELLOW floor classification regardless of the statistical test outcomes, reflecting the governance principle that insufficient evidence is not the same as evidence of sufficiency.</w:t>
      </w:r>
    </w:p>
    <w:p w14:paraId="5D041557" w14:textId="77777777" w:rsidR="00842324" w:rsidRDefault="00000000">
      <w:pPr>
        <w:pStyle w:val="Heading3"/>
      </w:pPr>
      <w:bookmarkStart w:id="199" w:name="review-cadence"/>
      <w:bookmarkEnd w:id="198"/>
      <w:r>
        <w:t>3.3 Review Cadence</w:t>
      </w:r>
    </w:p>
    <w:tbl>
      <w:tblPr>
        <w:tblStyle w:val="Table"/>
        <w:tblW w:w="5000" w:type="pct"/>
        <w:tblLayout w:type="fixed"/>
        <w:tblLook w:val="0020" w:firstRow="1" w:lastRow="0" w:firstColumn="0" w:lastColumn="0" w:noHBand="0" w:noVBand="0"/>
      </w:tblPr>
      <w:tblGrid>
        <w:gridCol w:w="2357"/>
        <w:gridCol w:w="2504"/>
        <w:gridCol w:w="4715"/>
      </w:tblGrid>
      <w:tr w:rsidR="00842324" w14:paraId="5D04155B" w14:textId="77777777" w:rsidTr="00842324">
        <w:trPr>
          <w:cnfStyle w:val="100000000000" w:firstRow="1" w:lastRow="0" w:firstColumn="0" w:lastColumn="0" w:oddVBand="0" w:evenVBand="0" w:oddHBand="0" w:evenHBand="0" w:firstRowFirstColumn="0" w:firstRowLastColumn="0" w:lastRowFirstColumn="0" w:lastRowLastColumn="0"/>
          <w:tblHeader/>
        </w:trPr>
        <w:tc>
          <w:tcPr>
            <w:tcW w:w="1949" w:type="dxa"/>
          </w:tcPr>
          <w:p w14:paraId="5D041558" w14:textId="77777777" w:rsidR="00842324" w:rsidRDefault="00000000">
            <w:pPr>
              <w:pStyle w:val="Compact"/>
            </w:pPr>
            <w:r>
              <w:t>Classification</w:t>
            </w:r>
          </w:p>
        </w:tc>
        <w:tc>
          <w:tcPr>
            <w:tcW w:w="2071" w:type="dxa"/>
          </w:tcPr>
          <w:p w14:paraId="5D041559" w14:textId="77777777" w:rsidR="00842324" w:rsidRDefault="00000000">
            <w:pPr>
              <w:pStyle w:val="Compact"/>
            </w:pPr>
            <w:r>
              <w:t>Review frequency</w:t>
            </w:r>
          </w:p>
        </w:tc>
        <w:tc>
          <w:tcPr>
            <w:tcW w:w="3899" w:type="dxa"/>
          </w:tcPr>
          <w:p w14:paraId="5D04155A" w14:textId="77777777" w:rsidR="00842324" w:rsidRDefault="00000000">
            <w:pPr>
              <w:pStyle w:val="Compact"/>
            </w:pPr>
            <w:r>
              <w:t>Trigger for out-of-cycle review</w:t>
            </w:r>
          </w:p>
        </w:tc>
      </w:tr>
      <w:tr w:rsidR="00842324" w14:paraId="5D04155F" w14:textId="77777777">
        <w:tc>
          <w:tcPr>
            <w:tcW w:w="1949" w:type="dxa"/>
          </w:tcPr>
          <w:p w14:paraId="5D04155C" w14:textId="77777777" w:rsidR="00842324" w:rsidRDefault="00000000">
            <w:pPr>
              <w:pStyle w:val="Compact"/>
            </w:pPr>
            <w:r>
              <w:t>RED</w:t>
            </w:r>
          </w:p>
        </w:tc>
        <w:tc>
          <w:tcPr>
            <w:tcW w:w="2071" w:type="dxa"/>
          </w:tcPr>
          <w:p w14:paraId="5D04155D" w14:textId="77777777" w:rsidR="00842324" w:rsidRDefault="00000000">
            <w:pPr>
              <w:pStyle w:val="Compact"/>
            </w:pPr>
            <w:r>
              <w:t>Immediate + monthly until GREEN</w:t>
            </w:r>
          </w:p>
        </w:tc>
        <w:tc>
          <w:tcPr>
            <w:tcW w:w="3899" w:type="dxa"/>
          </w:tcPr>
          <w:p w14:paraId="5D04155E" w14:textId="77777777" w:rsidR="00842324" w:rsidRDefault="00000000">
            <w:pPr>
              <w:pStyle w:val="Compact"/>
            </w:pPr>
            <w:r>
              <w:t>Any new data release covering the failure period</w:t>
            </w:r>
          </w:p>
        </w:tc>
      </w:tr>
      <w:tr w:rsidR="00842324" w14:paraId="5D041563" w14:textId="77777777">
        <w:tc>
          <w:tcPr>
            <w:tcW w:w="1949" w:type="dxa"/>
          </w:tcPr>
          <w:p w14:paraId="5D041560" w14:textId="77777777" w:rsidR="00842324" w:rsidRDefault="00000000">
            <w:pPr>
              <w:pStyle w:val="Compact"/>
            </w:pPr>
            <w:r>
              <w:t>YELLOW</w:t>
            </w:r>
          </w:p>
        </w:tc>
        <w:tc>
          <w:tcPr>
            <w:tcW w:w="2071" w:type="dxa"/>
          </w:tcPr>
          <w:p w14:paraId="5D041561" w14:textId="77777777" w:rsidR="00842324" w:rsidRDefault="00000000">
            <w:pPr>
              <w:pStyle w:val="Compact"/>
            </w:pPr>
            <w:r>
              <w:t>Quarterly</w:t>
            </w:r>
          </w:p>
        </w:tc>
        <w:tc>
          <w:tcPr>
            <w:tcW w:w="3899" w:type="dxa"/>
          </w:tcPr>
          <w:p w14:paraId="5D041562" w14:textId="77777777" w:rsidR="00842324" w:rsidRDefault="00000000">
            <w:pPr>
              <w:pStyle w:val="Compact"/>
            </w:pPr>
            <w:r>
              <w:t>Two consecutive YELLOW cycles without improvement</w:t>
            </w:r>
          </w:p>
        </w:tc>
      </w:tr>
      <w:tr w:rsidR="00842324" w14:paraId="5D041567" w14:textId="77777777">
        <w:tc>
          <w:tcPr>
            <w:tcW w:w="1949" w:type="dxa"/>
          </w:tcPr>
          <w:p w14:paraId="5D041564" w14:textId="77777777" w:rsidR="00842324" w:rsidRDefault="00000000">
            <w:pPr>
              <w:pStyle w:val="Compact"/>
            </w:pPr>
            <w:r>
              <w:t>GREEN</w:t>
            </w:r>
          </w:p>
        </w:tc>
        <w:tc>
          <w:tcPr>
            <w:tcW w:w="2071" w:type="dxa"/>
          </w:tcPr>
          <w:p w14:paraId="5D041565" w14:textId="77777777" w:rsidR="00842324" w:rsidRDefault="00000000">
            <w:pPr>
              <w:pStyle w:val="Compact"/>
            </w:pPr>
            <w:r>
              <w:t>Semi-annual</w:t>
            </w:r>
          </w:p>
        </w:tc>
        <w:tc>
          <w:tcPr>
            <w:tcW w:w="3899" w:type="dxa"/>
          </w:tcPr>
          <w:p w14:paraId="5D041566" w14:textId="77777777" w:rsidR="00842324" w:rsidRDefault="00000000">
            <w:pPr>
              <w:pStyle w:val="Compact"/>
            </w:pPr>
            <w:r>
              <w:t>Material change in underlying model, data source, or market regime</w:t>
            </w:r>
          </w:p>
        </w:tc>
      </w:tr>
    </w:tbl>
    <w:p w14:paraId="5D041568" w14:textId="77777777" w:rsidR="00842324" w:rsidRDefault="00000000">
      <w:pPr>
        <w:pStyle w:val="BodyText"/>
      </w:pPr>
      <w:r>
        <w:lastRenderedPageBreak/>
        <w:t>The transition probability analysis (run_007) confirms that all three real-data models show absorbing RED states (T_RR = 1.0 across hundreds of windows). This means the review cadence for these models is not a matter of waiting for conditions to improve — structural intervention is required before re-evaluation is meaningful. The governance record should document the specific intervention taken (re-estimation, conformal adjustment, data source change) before a re-evaluation result is considered valid.</w:t>
      </w:r>
    </w:p>
    <w:p w14:paraId="5D041569" w14:textId="77777777" w:rsidR="00842324" w:rsidRDefault="00000000">
      <w:r>
        <w:pict w14:anchorId="5D041616">
          <v:rect id="_x0000_i1086" style="width:0;height:1.5pt" o:hralign="center" o:hrstd="t" o:hr="t"/>
        </w:pict>
      </w:r>
    </w:p>
    <w:p w14:paraId="5D04156A" w14:textId="77777777" w:rsidR="00842324" w:rsidRDefault="00000000">
      <w:pPr>
        <w:pStyle w:val="Heading2"/>
      </w:pPr>
      <w:bookmarkStart w:id="200" w:name="the-misspecification-detection-boundary"/>
      <w:bookmarkStart w:id="201" w:name="_Toc225682110"/>
      <w:bookmarkEnd w:id="195"/>
      <w:bookmarkEnd w:id="199"/>
      <w:r>
        <w:t>4. The Misspecification Detection Boundary</w:t>
      </w:r>
      <w:bookmarkEnd w:id="201"/>
    </w:p>
    <w:p w14:paraId="5D04156B" w14:textId="77777777" w:rsidR="00842324" w:rsidRDefault="00000000">
      <w:pPr>
        <w:pStyle w:val="FirstParagraph"/>
      </w:pPr>
      <w:r>
        <w:t>The controlled misspecification scenarios reveal where the framework’s discriminative power ends. Variance inflation and mean bias are detected reliably and their failure mode character (bilateral vs unilateral) is correctly identified. Heavy-tail misspecification is not detected at n = 365.</w:t>
      </w:r>
    </w:p>
    <w:p w14:paraId="5D04156C" w14:textId="77777777" w:rsidR="00842324" w:rsidRDefault="00000000">
      <w:pPr>
        <w:pStyle w:val="BodyText"/>
      </w:pPr>
      <w:r>
        <w:rPr>
          <w:b/>
          <w:bCs/>
        </w:rPr>
        <w:t>Governance implication.</w:t>
      </w:r>
      <w:r>
        <w:t xml:space="preserve"> This finding establishes a practical boundary for governance confidence: the traffic-light framework is reliable for detecting the most consequential model failures (wrong scale, systematic bias) but requires larger evaluation samples or supplementary tail diagnostics to detect distributional shape misspecification. Institutions using this framework with short evaluation horizons (n &lt; 500) should be aware that a GREEN interval classification does not rule out heavy-tail misspecification. Minimum evaluation horizon recommendations should be incorporated into governance policy as a procedural safeguard.</w:t>
      </w:r>
    </w:p>
    <w:p w14:paraId="5D04156D" w14:textId="77777777" w:rsidR="00842324" w:rsidRDefault="00000000">
      <w:r>
        <w:pict w14:anchorId="5D041617">
          <v:rect id="_x0000_i1087" style="width:0;height:1.5pt" o:hralign="center" o:hrstd="t" o:hr="t"/>
        </w:pict>
      </w:r>
    </w:p>
    <w:p w14:paraId="5D04156E" w14:textId="77777777" w:rsidR="00842324" w:rsidRDefault="00000000">
      <w:pPr>
        <w:pStyle w:val="Heading2"/>
      </w:pPr>
      <w:bookmarkStart w:id="202" w:name="regulatory-mapping"/>
      <w:bookmarkStart w:id="203" w:name="_Toc225682111"/>
      <w:bookmarkEnd w:id="200"/>
      <w:r>
        <w:t>5. Regulatory Mapping</w:t>
      </w:r>
      <w:bookmarkEnd w:id="203"/>
    </w:p>
    <w:p w14:paraId="5D04156F" w14:textId="77777777" w:rsidR="00842324" w:rsidRDefault="00000000">
      <w:pPr>
        <w:pStyle w:val="Heading3"/>
      </w:pPr>
      <w:bookmarkStart w:id="204" w:name="basel-traffic-light-alignment"/>
      <w:r>
        <w:t>5.1 Basel Traffic-Light Alignment</w:t>
      </w:r>
    </w:p>
    <w:p w14:paraId="5D041570" w14:textId="77777777" w:rsidR="00842324" w:rsidRDefault="00000000">
      <w:pPr>
        <w:pStyle w:val="FirstParagraph"/>
      </w:pPr>
      <w:r>
        <w:t>The traffic-light architecture developed in this thesis is explicitly modelled on the Basel Committee’s backtesting framework for Value-at-Risk models (Basel Committee, 1996; 2010), which classifies models into green, yellow, and red zones based on the number of VaR exceedances over a 250-day evaluation window. The adaptation in this framework extends the Basel logic in two directions.</w:t>
      </w:r>
    </w:p>
    <w:p w14:paraId="5D041571" w14:textId="77777777" w:rsidR="00842324" w:rsidRDefault="00000000">
      <w:pPr>
        <w:pStyle w:val="BodyText"/>
      </w:pPr>
      <w:r>
        <w:t>First, the diagnostic battery is broadened. Basel’s framework tests only exceedance frequency (whether the observed breach rate exceeds the nominal rate). This thesis adds PIT uniformity and serial independence as mandatory governance criteria, reflecting the finding that interval coverage alone is insufficient (the PV case). This is consistent with the direction of Basel III and IV (Basel Committee, 2010; McNeil, Frey and Embrechts, 2005), which have progressively expanded the scope of backtesting beyond simple VaR exceedance counting.</w:t>
      </w:r>
    </w:p>
    <w:p w14:paraId="5D041572" w14:textId="77777777" w:rsidR="00842324" w:rsidRDefault="00000000">
      <w:pPr>
        <w:pStyle w:val="BodyText"/>
      </w:pPr>
      <w:r>
        <w:t xml:space="preserve">Second, the framework is applied across heterogeneous model classes. Basel’s framework was designed for a single model type (internal market risk models for trading </w:t>
      </w:r>
      <w:r>
        <w:lastRenderedPageBreak/>
        <w:t>book positions). The extension to simulation models, short-term forecasters, and long-term renewable models with heterogeneous output formats and evaluation sample sizes requires the distribution reconstruction and sample-size-aware power calibration described in Chapter 2.</w:t>
      </w:r>
    </w:p>
    <w:p w14:paraId="5D041573" w14:textId="77777777" w:rsidR="00842324" w:rsidRDefault="00000000">
      <w:pPr>
        <w:pStyle w:val="Heading3"/>
      </w:pPr>
      <w:bookmarkStart w:id="205" w:name="remit-regulatory-context"/>
      <w:bookmarkEnd w:id="204"/>
      <w:r>
        <w:t>5.2 REMIT Regulatory Context</w:t>
      </w:r>
    </w:p>
    <w:p w14:paraId="5D041574" w14:textId="77777777" w:rsidR="00842324" w:rsidRDefault="00000000">
      <w:pPr>
        <w:pStyle w:val="FirstParagraph"/>
      </w:pPr>
      <w:r>
        <w:t>The REMIT regulation (European Parliament, 2011) requires that energy market participants maintain reliable and auditable models for fundamental price formation and risk quantification. While REMIT does not prescribe specific backtesting methodologies, the governance framework developed here — with its structured RED/YELLOW/GREEN classification, documented diagnostic evidence, and explicit model use restrictions at RED — is directly compatible with REMIT’s requirement for transparent and auditable model governance.</w:t>
      </w:r>
    </w:p>
    <w:p w14:paraId="5D041575" w14:textId="77777777" w:rsidR="00842324" w:rsidRDefault="00000000">
      <w:pPr>
        <w:pStyle w:val="BodyText"/>
      </w:pPr>
      <w:r>
        <w:t>In particular, the traffic-light output is designed to be interpretable by non-statistician stakeholders (trading desks, risk committees, independent validation units) without loss of the underlying statistical rigour. This addresses a practical gap: statistical calibration results are often not directly consumable by institutional decision-makers without a translation layer.</w:t>
      </w:r>
    </w:p>
    <w:p w14:paraId="5D041576" w14:textId="77777777" w:rsidR="00842324" w:rsidRDefault="00000000">
      <w:pPr>
        <w:pStyle w:val="BodyText"/>
      </w:pPr>
      <w:r>
        <w:t xml:space="preserve">The production architecture developed in this thesis directly addresses this gap through two mechanisms. The </w:t>
      </w:r>
      <w:r>
        <w:rPr>
          <w:rStyle w:val="VerbatimChar"/>
        </w:rPr>
        <w:t>DecisionEngine</w:t>
      </w:r>
      <w:r>
        <w:t xml:space="preserve"> produces a machine-readable </w:t>
      </w:r>
      <w:r>
        <w:rPr>
          <w:rStyle w:val="VerbatimChar"/>
        </w:rPr>
        <w:t>governance_decision.json</w:t>
      </w:r>
      <w:r>
        <w:t xml:space="preserve"> artifact containing the classification, reason codes, full metric snapshot, and provenance audit trail — suitable for archival in a model risk management system and presentation to independent validation units. The </w:t>
      </w:r>
      <w:r>
        <w:rPr>
          <w:rStyle w:val="VerbatimChar"/>
        </w:rPr>
        <w:t>NarrativeGenerator</w:t>
      </w:r>
      <w:r>
        <w:t xml:space="preserve"> component converts this structured record into plain-language summaries calibrated for non-technical stakeholders, ensuring that a RED classification is communicated with the specific diagnostic evidence that produced it rather than as a bare label. Together these components satisfy the REMIT auditability requirement in a form that is both technically rigorous and institutionally accessible.</w:t>
      </w:r>
    </w:p>
    <w:p w14:paraId="5D041577" w14:textId="77777777" w:rsidR="00842324" w:rsidRDefault="00000000">
      <w:r>
        <w:pict w14:anchorId="5D041618">
          <v:rect id="_x0000_i1088" style="width:0;height:1.5pt" o:hralign="center" o:hrstd="t" o:hr="t"/>
        </w:pict>
      </w:r>
    </w:p>
    <w:p w14:paraId="5D041578" w14:textId="77777777" w:rsidR="00842324" w:rsidRDefault="00000000">
      <w:pPr>
        <w:pStyle w:val="Heading2"/>
      </w:pPr>
      <w:bookmarkStart w:id="206" w:name="X1d8be648420896f3d9e8c0aefa7c011ad391839"/>
      <w:bookmarkStart w:id="207" w:name="_Toc225682112"/>
      <w:bookmarkEnd w:id="202"/>
      <w:bookmarkEnd w:id="205"/>
      <w:r>
        <w:t>6. The Role of Conformal Augmentation in Governance</w:t>
      </w:r>
      <w:bookmarkEnd w:id="207"/>
    </w:p>
    <w:p w14:paraId="5D041579" w14:textId="77777777" w:rsidR="00842324" w:rsidRDefault="00000000">
      <w:pPr>
        <w:pStyle w:val="FirstParagraph"/>
      </w:pPr>
      <w:r>
        <w:t>Conformal augmentation occupies a specific and bounded role in the governance architecture. It is not a substitute for model re-estimation and it does not correct distributional shape failures — it corrects interval width. The distinction matters:</w:t>
      </w:r>
    </w:p>
    <w:p w14:paraId="5D04157A" w14:textId="77777777" w:rsidR="00842324" w:rsidRDefault="00000000">
      <w:pPr>
        <w:pStyle w:val="Compact"/>
        <w:numPr>
          <w:ilvl w:val="0"/>
          <w:numId w:val="22"/>
        </w:numPr>
      </w:pPr>
      <w:r>
        <w:t xml:space="preserve">If a model fails on </w:t>
      </w:r>
      <w:r>
        <w:rPr>
          <w:b/>
          <w:bCs/>
        </w:rPr>
        <w:t>interval coverage only</w:t>
      </w:r>
      <w:r>
        <w:t xml:space="preserve"> (breach rate too high but PIT diagnostics acceptable), conformal expansion is an appropriate post-hoc correction that restores nominal coverage with finite-sample guarantees (Angelopoulos and Bates, 2023).</w:t>
      </w:r>
    </w:p>
    <w:p w14:paraId="5D04157B" w14:textId="77777777" w:rsidR="00842324" w:rsidRDefault="00000000">
      <w:pPr>
        <w:pStyle w:val="Compact"/>
        <w:numPr>
          <w:ilvl w:val="0"/>
          <w:numId w:val="22"/>
        </w:numPr>
      </w:pPr>
      <w:r>
        <w:t xml:space="preserve">If a model fails on </w:t>
      </w:r>
      <w:r>
        <w:rPr>
          <w:b/>
          <w:bCs/>
        </w:rPr>
        <w:t>PIT uniformity or independence</w:t>
      </w:r>
      <w:r>
        <w:t xml:space="preserve"> (the ENTSO-E, PV, and wind cases), conformal expansion can restore marginal interval coverage but does not fix </w:t>
      </w:r>
      <w:r>
        <w:lastRenderedPageBreak/>
        <w:t>the underlying distributional misspecification. The model will still produce unreliable quantile estimates at levels other than the conformal-corrected interval.</w:t>
      </w:r>
    </w:p>
    <w:p w14:paraId="5D04157C" w14:textId="77777777" w:rsidR="00842324" w:rsidRDefault="00000000">
      <w:pPr>
        <w:pStyle w:val="FirstParagraph"/>
      </w:pPr>
      <w:r>
        <w:t xml:space="preserve">The feasibility study on the ENTSO-E development sample (Chapter 3, Section 8; 04_conformal_wrapping.ipynb) confirms this: base interval + conformal expansion restores 89.9% empirical coverage at α = 0.1 (from a pre-conformal 82.5%), but the underlying PIT failures would remain present if tested on the conformal-adjusted outputs. Conformal augmentation is therefore best understood as a </w:t>
      </w:r>
      <w:r>
        <w:rPr>
          <w:b/>
          <w:bCs/>
        </w:rPr>
        <w:t>coverage stabiliser</w:t>
      </w:r>
      <w:r>
        <w:t xml:space="preserve"> within the governance architecture — a first-line remediation while structural model improvement is underway, not a permanent fix.</w:t>
      </w:r>
    </w:p>
    <w:p w14:paraId="5D04157D" w14:textId="77777777" w:rsidR="00842324" w:rsidRDefault="00000000">
      <w:pPr>
        <w:pStyle w:val="BodyText"/>
      </w:pPr>
      <w:r>
        <w:t xml:space="preserve">For governance purposes, a model that is RED pre-conformal and GREEN on interval coverage post-conformal should be classified as </w:t>
      </w:r>
      <w:r>
        <w:rPr>
          <w:b/>
          <w:bCs/>
        </w:rPr>
        <w:t>GREEN (with conformal adjustment, pending structural review)</w:t>
      </w:r>
      <w:r>
        <w:t xml:space="preserve"> — not simply GREEN. The governance record should document the adjustment and require periodic re-assessment.</w:t>
      </w:r>
    </w:p>
    <w:p w14:paraId="5D04157E" w14:textId="77777777" w:rsidR="00842324" w:rsidRDefault="00000000">
      <w:r>
        <w:pict w14:anchorId="5D041619">
          <v:rect id="_x0000_i1089" style="width:0;height:1.5pt" o:hralign="center" o:hrstd="t" o:hr="t"/>
        </w:pict>
      </w:r>
    </w:p>
    <w:p w14:paraId="5D04157F" w14:textId="77777777" w:rsidR="00842324" w:rsidRDefault="00000000">
      <w:pPr>
        <w:pStyle w:val="Heading2"/>
      </w:pPr>
      <w:bookmarkStart w:id="208" w:name="limitations-and-future-extensions"/>
      <w:bookmarkStart w:id="209" w:name="_Toc225682113"/>
      <w:bookmarkEnd w:id="206"/>
      <w:r>
        <w:t>7. Limitations and Future Extensions</w:t>
      </w:r>
      <w:bookmarkEnd w:id="209"/>
    </w:p>
    <w:p w14:paraId="5D041580" w14:textId="77777777" w:rsidR="00842324" w:rsidRDefault="00000000">
      <w:pPr>
        <w:pStyle w:val="FirstParagraph"/>
      </w:pPr>
      <w:r>
        <w:t>Several limitations of the current framework are relevant to governance practitioners.</w:t>
      </w:r>
    </w:p>
    <w:p w14:paraId="5D041581" w14:textId="77777777" w:rsidR="00842324" w:rsidRDefault="00000000">
      <w:pPr>
        <w:pStyle w:val="BodyText"/>
      </w:pPr>
      <w:r>
        <w:rPr>
          <w:b/>
          <w:bCs/>
        </w:rPr>
        <w:t>PIT diagnostics unavailable for simulation model class.</w:t>
      </w:r>
      <w:r>
        <w:t xml:space="preserve"> The synthetic simulation runs (run_004, run_004b) pass quantile-based interval diagnostics but do not produce PIT statistics, because the current pipeline passes only quantile bounds rather than full distributional samples to the diagnostic layer. A governance policy that relies on PIT-layer evidence for simulation models would require persisting the full path ensemble quantile CDFs — a straightforward extension that is deferred from the current implementation.</w:t>
      </w:r>
    </w:p>
    <w:p w14:paraId="5D041582" w14:textId="77777777" w:rsidR="00842324" w:rsidRDefault="00000000">
      <w:pPr>
        <w:pStyle w:val="BodyText"/>
      </w:pPr>
      <w:r>
        <w:rPr>
          <w:b/>
          <w:bCs/>
        </w:rPr>
        <w:t>Sample size constraints on renewable datasets.</w:t>
      </w:r>
      <w:r>
        <w:t xml:space="preserve"> After nighttime exclusion and rolling warmup, the PV evaluation sample reduces to n = 4,287 observations. At this sample size, the Anfuso interval test has substantially reduced power relative to the ENTSO-E run (n = 209,555). A GREEN Anfuso result on PV should be interpreted conservatively.</w:t>
      </w:r>
    </w:p>
    <w:p w14:paraId="5D041583" w14:textId="77777777" w:rsidR="00842324" w:rsidRDefault="00000000">
      <w:pPr>
        <w:pStyle w:val="BodyText"/>
      </w:pPr>
      <w:r>
        <w:rPr>
          <w:b/>
          <w:bCs/>
        </w:rPr>
        <w:t>Multivariate coverage is partial.</w:t>
      </w:r>
      <w:r>
        <w:t xml:space="preserve"> The run_005 multivariate analysis covers only PV and wind on their shared hourly index. The industry partner has expressed interest in expanding the framework to additional commodity classes (natural gas, carbon, electricity price). The architecture is designed to accommodate this expansion: the diagnostic modules are asset-agnostic, and the build scripts can be extended to additional datasets. Synthetic extensions to additional commodity classes using the simulation notebook are planned as a next step.</w:t>
      </w:r>
    </w:p>
    <w:p w14:paraId="5D041584" w14:textId="77777777" w:rsidR="00842324" w:rsidRDefault="00000000">
      <w:pPr>
        <w:pStyle w:val="BodyText"/>
      </w:pPr>
      <w:r>
        <w:rPr>
          <w:b/>
          <w:bCs/>
        </w:rPr>
        <w:t>Conformal augmentation evaluated on development sample only.</w:t>
      </w:r>
      <w:r>
        <w:t xml:space="preserve"> The conformal feasibility study uses the 90-day ENTSO-E development sample (n = 2,544 test observations). Full-dataset conformal evaluation and extension to PV and wind are deferred. The governance implications of conformal augmentation for the renewable </w:t>
      </w:r>
      <w:r>
        <w:lastRenderedPageBreak/>
        <w:t>datasets — where the pre-conformal coverage shortfalls are smaller — remain to be quantified.</w:t>
      </w:r>
    </w:p>
    <w:p w14:paraId="5D041585" w14:textId="77777777" w:rsidR="00842324" w:rsidRDefault="00000000">
      <w:pPr>
        <w:pStyle w:val="BodyText"/>
      </w:pPr>
      <w:r>
        <w:rPr>
          <w:b/>
          <w:bCs/>
        </w:rPr>
        <w:t>Reconstruction is horizon-specific.</w:t>
      </w:r>
      <w:r>
        <w:t xml:space="preserve"> The daily aggregation robustness checks (run_009b, run_010b) reveal that rolling quantile intervals calibrated at hourly resolution produce substantial overcoverage (97–98%) when evaluated against daily mean targets. Any production deployment of the framework must calibrate the reconstruction at the intended evaluation horizon. Transferring hourly-calibrated intervals to daily or weekly governance evaluation without re-calibration will produce misleadingly conservative coverage estimates and may incorrectly classify a structurally sound model as over-conservative.</w:t>
      </w:r>
    </w:p>
    <w:p w14:paraId="5D041586" w14:textId="77777777" w:rsidR="00842324" w:rsidRDefault="00000000">
      <w:r>
        <w:pict w14:anchorId="5D04161A">
          <v:rect id="_x0000_i1090" style="width:0;height:1.5pt" o:hralign="center" o:hrstd="t" o:hr="t"/>
        </w:pict>
      </w:r>
    </w:p>
    <w:p w14:paraId="5D041587" w14:textId="77777777" w:rsidR="00842324" w:rsidRDefault="00000000">
      <w:pPr>
        <w:pStyle w:val="Heading2"/>
      </w:pPr>
      <w:bookmarkStart w:id="210" w:name="regime-conditioned-governance"/>
      <w:bookmarkStart w:id="211" w:name="_Toc225682114"/>
      <w:bookmarkEnd w:id="208"/>
      <w:r>
        <w:t>8. Regime-Conditioned Governance</w:t>
      </w:r>
      <w:bookmarkEnd w:id="211"/>
    </w:p>
    <w:p w14:paraId="5D041588" w14:textId="77777777" w:rsidR="00842324" w:rsidRDefault="00000000">
      <w:pPr>
        <w:pStyle w:val="Heading3"/>
      </w:pPr>
      <w:bookmarkStart w:id="212" w:name="motivation-2"/>
      <w:r>
        <w:t>8.1 Motivation</w:t>
      </w:r>
    </w:p>
    <w:p w14:paraId="5D041589" w14:textId="77777777" w:rsidR="00842324" w:rsidRDefault="00000000">
      <w:pPr>
        <w:pStyle w:val="FirstParagraph"/>
      </w:pPr>
      <w:r>
        <w:t>The governance framework described in Sections 2–5 applies a single global policy threshold across all evaluation windows. This is appropriate as a baseline but may be overly conservative in heterogeneous market environments: a model that achieves 87% empirical coverage in a high volatility regime may be performing as well as can reasonably be expected, while the same coverage in a stable regime would indicate a clear failure. Applying the same 90% threshold uniformly penalises the model for the inherent difficulty of the forecasting task rather than for genuine miscalibration. This concern motivates regime-stratified evaluation, consistent with the broader literature on forecast comparison in unstable environments (Giacomini and Rossi, 2010).</w:t>
      </w:r>
    </w:p>
    <w:p w14:paraId="5D04158A" w14:textId="77777777" w:rsidR="00842324" w:rsidRDefault="00000000">
      <w:pPr>
        <w:pStyle w:val="BodyText"/>
      </w:pPr>
      <w:r>
        <w:t xml:space="preserve">The </w:t>
      </w:r>
      <w:r>
        <w:rPr>
          <w:rStyle w:val="VerbatimChar"/>
        </w:rPr>
        <w:t>RegimeTagger</w:t>
      </w:r>
      <w:r>
        <w:t xml:space="preserve"> and </w:t>
      </w:r>
      <w:r>
        <w:rPr>
          <w:rStyle w:val="VerbatimChar"/>
        </w:rPr>
        <w:t>ThresholdCalibrator</w:t>
      </w:r>
      <w:r>
        <w:t xml:space="preserve"> components address this by enabling regime-conditioned governance — calibrating GREEN/YELLOW/RED thresholds separately for each identified market regime.</w:t>
      </w:r>
    </w:p>
    <w:p w14:paraId="5D04158B" w14:textId="77777777" w:rsidR="00842324" w:rsidRDefault="00000000">
      <w:pPr>
        <w:pStyle w:val="Heading3"/>
      </w:pPr>
      <w:bookmarkStart w:id="213" w:name="regime-tagging"/>
      <w:bookmarkEnd w:id="212"/>
      <w:r>
        <w:t>8.2 Regime Tagging</w:t>
      </w:r>
    </w:p>
    <w:p w14:paraId="5D04158C" w14:textId="77777777" w:rsidR="00842324" w:rsidRDefault="00000000">
      <w:pPr>
        <w:pStyle w:val="FirstParagraph"/>
      </w:pPr>
      <w:r>
        <w:rPr>
          <w:rStyle w:val="VerbatimChar"/>
        </w:rPr>
        <w:t>RegimeTagger</w:t>
      </w:r>
      <w:r>
        <w:t xml:space="preserve"> assigns a regime label to each rolling evaluation window using a composable rule system. Three built-in rules are available:</w:t>
      </w:r>
    </w:p>
    <w:p w14:paraId="5D04158D" w14:textId="77777777" w:rsidR="00842324" w:rsidRDefault="00000000">
      <w:pPr>
        <w:pStyle w:val="Compact"/>
        <w:numPr>
          <w:ilvl w:val="0"/>
          <w:numId w:val="23"/>
        </w:numPr>
      </w:pPr>
      <w:r>
        <w:rPr>
          <w:b/>
          <w:bCs/>
        </w:rPr>
        <w:t>SeasonalRule:</w:t>
      </w:r>
      <w:r>
        <w:t xml:space="preserve"> assigns </w:t>
      </w:r>
      <w:r>
        <w:rPr>
          <w:rStyle w:val="VerbatimChar"/>
        </w:rPr>
        <w:t>regime_winter</w:t>
      </w:r>
      <w:r>
        <w:t xml:space="preserve"> (November–February) or </w:t>
      </w:r>
      <w:r>
        <w:rPr>
          <w:rStyle w:val="VerbatimChar"/>
        </w:rPr>
        <w:t>regime_summer</w:t>
      </w:r>
      <w:r>
        <w:t xml:space="preserve"> (May–August) based on the dominant month in the window. This captures the demand-driven seasonality in electricity load and the irradiance-driven seasonality in PV generation.</w:t>
      </w:r>
    </w:p>
    <w:p w14:paraId="5D04158E" w14:textId="77777777" w:rsidR="00842324" w:rsidRDefault="00000000">
      <w:pPr>
        <w:pStyle w:val="Compact"/>
        <w:numPr>
          <w:ilvl w:val="0"/>
          <w:numId w:val="23"/>
        </w:numPr>
      </w:pPr>
      <w:r>
        <w:rPr>
          <w:b/>
          <w:bCs/>
        </w:rPr>
        <w:t>VolatilityRule:</w:t>
      </w:r>
      <w:r>
        <w:t xml:space="preserve"> assigns </w:t>
      </w:r>
      <w:r>
        <w:rPr>
          <w:rStyle w:val="VerbatimChar"/>
        </w:rPr>
        <w:t>regime_high_vol</w:t>
      </w:r>
      <w:r>
        <w:t xml:space="preserve"> or </w:t>
      </w:r>
      <w:r>
        <w:rPr>
          <w:rStyle w:val="VerbatimChar"/>
        </w:rPr>
        <w:t>regime_low_vol</w:t>
      </w:r>
      <w:r>
        <w:t xml:space="preserve"> based on the window’s standard deviation relative to pre-computed percentile thresholds across all calibration windows. This captures periods of market turbulence (e.g., extreme weather, supply shocks) that are known to strain probabilistic models.</w:t>
      </w:r>
    </w:p>
    <w:p w14:paraId="5D04158F" w14:textId="77777777" w:rsidR="00842324" w:rsidRDefault="00000000">
      <w:pPr>
        <w:pStyle w:val="Compact"/>
        <w:numPr>
          <w:ilvl w:val="0"/>
          <w:numId w:val="23"/>
        </w:numPr>
      </w:pPr>
      <w:r>
        <w:rPr>
          <w:b/>
          <w:bCs/>
        </w:rPr>
        <w:lastRenderedPageBreak/>
        <w:t>BreakFlagRule:</w:t>
      </w:r>
      <w:r>
        <w:t xml:space="preserve"> flags windows where the variance ratio between the first and second halves exceeds a threshold, identifying structural breaks within a rolling window.</w:t>
      </w:r>
    </w:p>
    <w:p w14:paraId="5D041590" w14:textId="77777777" w:rsidR="00842324" w:rsidRDefault="00000000">
      <w:pPr>
        <w:pStyle w:val="FirstParagraph"/>
      </w:pPr>
      <w:r>
        <w:t xml:space="preserve">Rules are evaluated in priority order; the first matching rule wins. Custom rules can be added as callables with signature </w:t>
      </w:r>
      <w:r>
        <w:rPr>
          <w:rStyle w:val="VerbatimChar"/>
        </w:rPr>
        <w:t>(t, y) → str | None</w:t>
      </w:r>
      <w:r>
        <w:t>, making the tagger extensible to commodity-specific regime definitions without modifying core framework code.</w:t>
      </w:r>
    </w:p>
    <w:p w14:paraId="5D041591" w14:textId="77777777" w:rsidR="00842324" w:rsidRDefault="00000000">
      <w:pPr>
        <w:pStyle w:val="Heading3"/>
      </w:pPr>
      <w:bookmarkStart w:id="214" w:name="threshold-calibration"/>
      <w:bookmarkEnd w:id="213"/>
      <w:r>
        <w:t>8.3 Threshold Calibration</w:t>
      </w:r>
    </w:p>
    <w:p w14:paraId="5D041592" w14:textId="77777777" w:rsidR="00842324" w:rsidRDefault="00000000">
      <w:pPr>
        <w:pStyle w:val="FirstParagraph"/>
      </w:pPr>
      <w:r>
        <w:rPr>
          <w:rStyle w:val="VerbatimChar"/>
        </w:rPr>
        <w:t>ThresholdCalibrator</w:t>
      </w:r>
      <w:r>
        <w:t xml:space="preserve"> uses the empirical distribution of coverage values observed in calibration windows per regime to set regime-specific GREEN thresholds. The GREEN threshold for regime </w:t>
      </w:r>
      <m:oMath>
        <m:r>
          <w:rPr>
            <w:rFonts w:ascii="Cambria Math" w:hAnsi="Cambria Math"/>
          </w:rPr>
          <m:t>r</m:t>
        </m:r>
      </m:oMath>
      <w:r>
        <w:t xml:space="preserve"> is set at the </w:t>
      </w:r>
      <m:oMath>
        <m:sSub>
          <m:sSubPr>
            <m:ctrlPr>
              <w:rPr>
                <w:rFonts w:ascii="Cambria Math" w:hAnsi="Cambria Math"/>
              </w:rPr>
            </m:ctrlPr>
          </m:sSubPr>
          <m:e>
            <m:r>
              <w:rPr>
                <w:rFonts w:ascii="Cambria Math" w:hAnsi="Cambria Math"/>
              </w:rPr>
              <m:t>q</m:t>
            </m:r>
          </m:e>
          <m:sub>
            <m:r>
              <m:rPr>
                <m:nor/>
              </m:rPr>
              <m:t>green</m:t>
            </m:r>
          </m:sub>
        </m:sSub>
      </m:oMath>
      <w:r>
        <w:t xml:space="preserve">-th percentile of observed coverage in calibration windows assigned to </w:t>
      </w:r>
      <m:oMath>
        <m:r>
          <w:rPr>
            <w:rFonts w:ascii="Cambria Math" w:hAnsi="Cambria Math"/>
          </w:rPr>
          <m:t>r</m:t>
        </m:r>
      </m:oMath>
      <w:r>
        <w:t xml:space="preserve"> (default: 10th percentile). This ensures the threshold reflects what is achievable in that regime rather than a fixed nominal target.</w:t>
      </w:r>
    </w:p>
    <w:p w14:paraId="5D041593" w14:textId="77777777" w:rsidR="00842324" w:rsidRDefault="00000000">
      <w:pPr>
        <w:pStyle w:val="BodyText"/>
      </w:pPr>
      <w:r>
        <w:t xml:space="preserve">A </w:t>
      </w:r>
      <w:r>
        <w:rPr>
          <w:rStyle w:val="VerbatimChar"/>
        </w:rPr>
        <w:t>relax_factor</w:t>
      </w:r>
      <w:r>
        <w:t xml:space="preserve"> parameter bounds the maximum downward adjustment from the global target (default: 15 percentage points), preventing over-relaxation on sparsely populated regimes. Regimes with fewer than </w:t>
      </w:r>
      <w:r>
        <w:rPr>
          <w:rStyle w:val="VerbatimChar"/>
        </w:rPr>
        <w:t>N_min_hard</w:t>
      </w:r>
      <w:r>
        <w:t xml:space="preserve"> calibration windows (default: 10) fall back to the global policy, ensuring statistical discipline is maintained even when regime-specific calibration data is limited.</w:t>
      </w:r>
    </w:p>
    <w:p w14:paraId="5D041594" w14:textId="77777777" w:rsidR="00842324" w:rsidRDefault="00000000">
      <w:pPr>
        <w:pStyle w:val="Heading3"/>
      </w:pPr>
      <w:bookmarkStart w:id="215" w:name="governance-implications-2"/>
      <w:bookmarkEnd w:id="214"/>
      <w:r>
        <w:t>8.4 Governance Implications</w:t>
      </w:r>
    </w:p>
    <w:p w14:paraId="5D041595" w14:textId="77777777" w:rsidR="00842324" w:rsidRDefault="00000000">
      <w:pPr>
        <w:pStyle w:val="FirstParagraph"/>
      </w:pPr>
      <w:r>
        <w:t>Regime-conditioned governance has two practical implications. First, it reduces false RED classifications in inherently difficult regimes — winter peak demand, low-wind periods — where a model achieving 85% coverage may be performing optimally given the available information. Treating these windows under the same threshold as stable periods conflates model failure with task difficulty.</w:t>
      </w:r>
    </w:p>
    <w:p w14:paraId="5D041596" w14:textId="77777777" w:rsidR="00842324" w:rsidRDefault="00000000">
      <w:pPr>
        <w:pStyle w:val="BodyText"/>
      </w:pPr>
      <w:r>
        <w:t>Second, it exposes regime-specific weaknesses that aggregate analysis obscures. A model that achieves 91% average coverage but only 82% in high-volatility windows is not uniformly calibrated — its risk contribution is concentrated in the regimes where it matters most. Regime-stratified governance surfaced this structure explicitly, enabling targeted remediation rather than global re-estimation.</w:t>
      </w:r>
    </w:p>
    <w:p w14:paraId="5D041597" w14:textId="77777777" w:rsidR="00842324" w:rsidRDefault="00000000">
      <w:pPr>
        <w:pStyle w:val="BodyText"/>
      </w:pPr>
      <w:r>
        <w:t xml:space="preserve">The current thesis does not evaluate regime-conditioned governance on the empirical datasets — the rolling CSVs do not include pre-computed regime tags, and calibration of the </w:t>
      </w:r>
      <w:r>
        <w:rPr>
          <w:rStyle w:val="VerbatimChar"/>
        </w:rPr>
        <w:t>ThresholdCalibrator</w:t>
      </w:r>
      <w:r>
        <w:t xml:space="preserve"> requires a dedicated holdout period. These components are implemented, tested (451 passing tests), and available for deployment; their empirical evaluation on the ENTSO-E and renewable datasets is identified as a priority next step.</w:t>
      </w:r>
    </w:p>
    <w:p w14:paraId="5D041598" w14:textId="77777777" w:rsidR="00842324" w:rsidRDefault="00000000">
      <w:pPr>
        <w:pStyle w:val="Heading1"/>
      </w:pPr>
      <w:bookmarkStart w:id="216" w:name="references"/>
      <w:bookmarkStart w:id="217" w:name="_Toc225682115"/>
      <w:bookmarkEnd w:id="186"/>
      <w:bookmarkEnd w:id="210"/>
      <w:bookmarkEnd w:id="215"/>
      <w:r>
        <w:lastRenderedPageBreak/>
        <w:t>References</w:t>
      </w:r>
      <w:bookmarkEnd w:id="217"/>
    </w:p>
    <w:p w14:paraId="5D041599" w14:textId="77777777" w:rsidR="00842324" w:rsidRDefault="00000000">
      <w:pPr>
        <w:pStyle w:val="FirstParagraph"/>
      </w:pPr>
      <w:r>
        <w:t xml:space="preserve">Anderson, T.W. and Darling, D.A. (1952). Asymptotic theory of certain goodness-of-fit criteria based on stochastic processes. </w:t>
      </w:r>
      <w:r>
        <w:rPr>
          <w:i/>
          <w:iCs/>
        </w:rPr>
        <w:t>Annals of Mathematical Statistics</w:t>
      </w:r>
      <w:r>
        <w:t>, 23(2), pp. 193–212.</w:t>
      </w:r>
    </w:p>
    <w:p w14:paraId="5D04159A" w14:textId="77777777" w:rsidR="00842324" w:rsidRDefault="00000000">
      <w:pPr>
        <w:pStyle w:val="BodyText"/>
      </w:pPr>
      <w:r>
        <w:t xml:space="preserve">Angelopoulos, A.N. and Bates, S. (2023). Conformal prediction: A gentle introduction. </w:t>
      </w:r>
      <w:r>
        <w:rPr>
          <w:i/>
          <w:iCs/>
        </w:rPr>
        <w:t>Foundations and Trends in Machine Learning</w:t>
      </w:r>
      <w:r>
        <w:t>, 16(4), pp. 494–591.</w:t>
      </w:r>
    </w:p>
    <w:p w14:paraId="5D04159B" w14:textId="77777777" w:rsidR="00842324" w:rsidRDefault="00000000">
      <w:pPr>
        <w:pStyle w:val="BodyText"/>
      </w:pPr>
      <w:r>
        <w:t>Angelopoulos, A.N., Barber, R.F. and Bates, S. (2024). Online conformal prediction with decaying step sizes. arXiv preprint arXiv:2402.01139 [stat.ML]. Available at: https://arxiv.org/abs/2402.01139</w:t>
      </w:r>
    </w:p>
    <w:p w14:paraId="5D04159C" w14:textId="77777777" w:rsidR="00842324" w:rsidRDefault="00000000">
      <w:pPr>
        <w:pStyle w:val="BodyText"/>
      </w:pPr>
      <w:r>
        <w:t xml:space="preserve">Anfuso, F., Karyampas, D. and Nawroth, A. (2017). A sound modelling and backtesting framework for forecasting initial margin requirements. </w:t>
      </w:r>
      <w:r>
        <w:rPr>
          <w:i/>
          <w:iCs/>
        </w:rPr>
        <w:t>The Journal of Risk</w:t>
      </w:r>
      <w:r>
        <w:t>, 19(5), pp. 77–105.</w:t>
      </w:r>
    </w:p>
    <w:p w14:paraId="5D04159D" w14:textId="77777777" w:rsidR="00842324" w:rsidRDefault="00000000">
      <w:pPr>
        <w:pStyle w:val="BodyText"/>
      </w:pPr>
      <w:r>
        <w:t xml:space="preserve">Barber, R.F., Candès, E.J., Ramdas, A. and Tibshirani, R.J. (2023). Conformal prediction beyond exchangeability. </w:t>
      </w:r>
      <w:r>
        <w:rPr>
          <w:i/>
          <w:iCs/>
        </w:rPr>
        <w:t>Annals of Statistics</w:t>
      </w:r>
      <w:r>
        <w:t>, 51(2), pp. 816–845.</w:t>
      </w:r>
    </w:p>
    <w:p w14:paraId="5D04159E" w14:textId="77777777" w:rsidR="00842324" w:rsidRDefault="00000000">
      <w:pPr>
        <w:pStyle w:val="BodyText"/>
      </w:pPr>
      <w:r>
        <w:t xml:space="preserve">Basel Committee on Banking Supervision (1996). </w:t>
      </w:r>
      <w:r>
        <w:rPr>
          <w:i/>
          <w:iCs/>
        </w:rPr>
        <w:t>Supervisory framework for the use of backtesting in conjunction with the internal models approach to market risk capital requirements</w:t>
      </w:r>
      <w:r>
        <w:t>. Bank for International Settlements, Basel.</w:t>
      </w:r>
    </w:p>
    <w:p w14:paraId="5D04159F" w14:textId="77777777" w:rsidR="00842324" w:rsidRDefault="00000000">
      <w:pPr>
        <w:pStyle w:val="BodyText"/>
      </w:pPr>
      <w:r>
        <w:t xml:space="preserve">Basel Committee on Banking Supervision (2010). </w:t>
      </w:r>
      <w:r>
        <w:rPr>
          <w:i/>
          <w:iCs/>
        </w:rPr>
        <w:t>Basel III: A global regulatory framework for more resilient banks and banking systems</w:t>
      </w:r>
      <w:r>
        <w:t>. Bank for International Settlements, Basel.</w:t>
      </w:r>
    </w:p>
    <w:p w14:paraId="5D0415A0" w14:textId="77777777" w:rsidR="00842324" w:rsidRDefault="00000000">
      <w:pPr>
        <w:pStyle w:val="BodyText"/>
      </w:pPr>
      <w:r>
        <w:t xml:space="preserve">Berkowitz, J. (2001). Testing density forecasts, with applications to risk management. </w:t>
      </w:r>
      <w:r>
        <w:rPr>
          <w:i/>
          <w:iCs/>
        </w:rPr>
        <w:t>Journal of Business and Economic Statistics</w:t>
      </w:r>
      <w:r>
        <w:t>, 19(4), pp. 465–474.</w:t>
      </w:r>
    </w:p>
    <w:p w14:paraId="5D0415A1" w14:textId="77777777" w:rsidR="00842324" w:rsidRDefault="00000000">
      <w:pPr>
        <w:pStyle w:val="BodyText"/>
      </w:pPr>
      <w:r>
        <w:t xml:space="preserve">Chen, H.H., Mohammad, A., Totsuka, T., Laliashvili, A. and Navarro, M. (2024). Evaluation of probabilistic electricity demand forecasts. In </w:t>
      </w:r>
      <w:r>
        <w:rPr>
          <w:i/>
          <w:iCs/>
        </w:rPr>
        <w:t>Proceedings of the 2024 IEEE Innovative Smart Grid Technologies — Asia Pacific (ISGT-Asia Pacific)</w:t>
      </w:r>
      <w:r>
        <w:t>. IEEE.</w:t>
      </w:r>
    </w:p>
    <w:p w14:paraId="5D0415A2" w14:textId="77777777" w:rsidR="00842324" w:rsidRDefault="00000000">
      <w:pPr>
        <w:pStyle w:val="BodyText"/>
      </w:pPr>
      <w:r>
        <w:t xml:space="preserve">Christoffersen, P.F. (1998). Evaluating interval forecasts. </w:t>
      </w:r>
      <w:r>
        <w:rPr>
          <w:i/>
          <w:iCs/>
        </w:rPr>
        <w:t>International Economic Review</w:t>
      </w:r>
      <w:r>
        <w:t>, 39(4), pp. 841–862.</w:t>
      </w:r>
    </w:p>
    <w:p w14:paraId="5D0415A3" w14:textId="77777777" w:rsidR="00842324" w:rsidRDefault="00000000">
      <w:pPr>
        <w:pStyle w:val="BodyText"/>
      </w:pPr>
      <w:r>
        <w:t xml:space="preserve">Cramér, H. (1928). On the composition of elementary errors. </w:t>
      </w:r>
      <w:r>
        <w:rPr>
          <w:i/>
          <w:iCs/>
        </w:rPr>
        <w:t>Scandinavian Actuarial Journal</w:t>
      </w:r>
      <w:r>
        <w:t>, 1928(1), pp. 13–74.</w:t>
      </w:r>
    </w:p>
    <w:p w14:paraId="5D0415A4" w14:textId="77777777" w:rsidR="00842324" w:rsidRDefault="00000000">
      <w:pPr>
        <w:pStyle w:val="BodyText"/>
      </w:pPr>
      <w:r>
        <w:t xml:space="preserve">Dawid, A.P. (1984). Present position and potential developments: Some personal views — statistical theory — the prequential approach. </w:t>
      </w:r>
      <w:r>
        <w:rPr>
          <w:i/>
          <w:iCs/>
        </w:rPr>
        <w:t>Journal of the Royal Statistical Society: Series A</w:t>
      </w:r>
      <w:r>
        <w:t>, 147(2), pp. 278–292.</w:t>
      </w:r>
    </w:p>
    <w:p w14:paraId="5D0415A5" w14:textId="77777777" w:rsidR="00842324" w:rsidRDefault="00000000">
      <w:pPr>
        <w:pStyle w:val="BodyText"/>
      </w:pPr>
      <w:r>
        <w:t xml:space="preserve">Diebold, F.X., Gunther, T.A. and Tay, A.S. (1998). Evaluating density forecasts with applications to financial risk management. </w:t>
      </w:r>
      <w:r>
        <w:rPr>
          <w:i/>
          <w:iCs/>
        </w:rPr>
        <w:t>International Economic Review</w:t>
      </w:r>
      <w:r>
        <w:t>, 39(4), pp. 863–883.</w:t>
      </w:r>
    </w:p>
    <w:p w14:paraId="5D0415A6" w14:textId="77777777" w:rsidR="00842324" w:rsidRDefault="00000000">
      <w:pPr>
        <w:pStyle w:val="BodyText"/>
      </w:pPr>
      <w:r>
        <w:lastRenderedPageBreak/>
        <w:t xml:space="preserve">Diebold, F.X. (2015). Comparing predictive accuracy, twenty years later: A personal perspective on the use and abuse of Diebold–Mariano tests. </w:t>
      </w:r>
      <w:r>
        <w:rPr>
          <w:i/>
          <w:iCs/>
        </w:rPr>
        <w:t>Journal of Business and Economic Statistics</w:t>
      </w:r>
      <w:r>
        <w:t>, 33(1), pp. 1–9.</w:t>
      </w:r>
    </w:p>
    <w:p w14:paraId="5D0415A7" w14:textId="77777777" w:rsidR="00842324" w:rsidRDefault="00000000">
      <w:pPr>
        <w:pStyle w:val="BodyText"/>
      </w:pPr>
      <w:r>
        <w:t xml:space="preserve">European Parliament (2011). Regulation (EU) No 1227/2011 of the European Parliament and of the Council on wholesale energy market integrity and transparency (REMIT). </w:t>
      </w:r>
      <w:r>
        <w:rPr>
          <w:i/>
          <w:iCs/>
        </w:rPr>
        <w:t>Official Journal of the European Union</w:t>
      </w:r>
      <w:r>
        <w:t>, L 326, pp. 1–16.</w:t>
      </w:r>
    </w:p>
    <w:p w14:paraId="5D0415A8" w14:textId="77777777" w:rsidR="00842324" w:rsidRDefault="00000000">
      <w:pPr>
        <w:pStyle w:val="BodyText"/>
      </w:pPr>
      <w:r>
        <w:t xml:space="preserve">Giacomini, R. and Rossi, B. (2010). Forecast comparisons in unstable environments. </w:t>
      </w:r>
      <w:r>
        <w:rPr>
          <w:i/>
          <w:iCs/>
        </w:rPr>
        <w:t>Journal of Applied Econometrics</w:t>
      </w:r>
      <w:r>
        <w:t>, 25(4), pp. 595–620.</w:t>
      </w:r>
    </w:p>
    <w:p w14:paraId="5D0415A9" w14:textId="77777777" w:rsidR="00842324" w:rsidRDefault="00000000">
      <w:pPr>
        <w:pStyle w:val="BodyText"/>
      </w:pPr>
      <w:r>
        <w:t xml:space="preserve">Gneiting, T. and Katzfuss, M. (2014). Probabilistic forecasting. </w:t>
      </w:r>
      <w:r>
        <w:rPr>
          <w:i/>
          <w:iCs/>
        </w:rPr>
        <w:t>Annual Review of Statistics and Its Application</w:t>
      </w:r>
      <w:r>
        <w:t>, 1, pp. 125–151.</w:t>
      </w:r>
    </w:p>
    <w:p w14:paraId="5D0415AA" w14:textId="77777777" w:rsidR="00842324" w:rsidRDefault="00000000">
      <w:pPr>
        <w:pStyle w:val="BodyText"/>
      </w:pPr>
      <w:r>
        <w:t xml:space="preserve">Gneiting, T. and Raftery, A.E. (2007). Strictly proper scoring rules, prediction, and estimation. </w:t>
      </w:r>
      <w:r>
        <w:rPr>
          <w:i/>
          <w:iCs/>
        </w:rPr>
        <w:t>Journal of the American Statistical Association</w:t>
      </w:r>
      <w:r>
        <w:t>, 102(477), pp. 359–378.</w:t>
      </w:r>
    </w:p>
    <w:p w14:paraId="5D0415AB" w14:textId="77777777" w:rsidR="00842324" w:rsidRDefault="00000000">
      <w:pPr>
        <w:pStyle w:val="BodyText"/>
      </w:pPr>
      <w:r>
        <w:t xml:space="preserve">Gneiting, T., Stanberry, L.I., Grimit, E.P., Held, L. and Johnson, N.A. (2008). Assessing probabilistic forecasts of multivariate quantities, with an application to ensemble predictions of surface winds. </w:t>
      </w:r>
      <w:r>
        <w:rPr>
          <w:i/>
          <w:iCs/>
        </w:rPr>
        <w:t>Test</w:t>
      </w:r>
      <w:r>
        <w:t>, 17(2), pp. 211–235.</w:t>
      </w:r>
    </w:p>
    <w:p w14:paraId="5D0415AC" w14:textId="77777777" w:rsidR="00842324" w:rsidRDefault="00000000">
      <w:pPr>
        <w:pStyle w:val="BodyText"/>
      </w:pPr>
      <w:r>
        <w:t xml:space="preserve">Goude, Y. and Nédellec, R. (2015). </w:t>
      </w:r>
      <w:r>
        <w:rPr>
          <w:i/>
          <w:iCs/>
        </w:rPr>
        <w:t>Probabilistic load forecasts at EDF: EDF R&amp;D SAMba</w:t>
      </w:r>
      <w:r>
        <w:t>. Presented at the International Symposium on Forecasting, Skype meeting, 23 April 2015.</w:t>
      </w:r>
    </w:p>
    <w:p w14:paraId="5D0415AD" w14:textId="77777777" w:rsidR="00842324" w:rsidRDefault="00000000">
      <w:pPr>
        <w:pStyle w:val="BodyText"/>
      </w:pPr>
      <w:r>
        <w:t xml:space="preserve">Hong, T. and Fan, S. (2016). Probabilistic electric load forecasting: A tutorial review. </w:t>
      </w:r>
      <w:r>
        <w:rPr>
          <w:i/>
          <w:iCs/>
        </w:rPr>
        <w:t>International Journal of Forecasting</w:t>
      </w:r>
      <w:r>
        <w:t>, 32(3), pp. 914–938.</w:t>
      </w:r>
    </w:p>
    <w:p w14:paraId="5D0415AE" w14:textId="77777777" w:rsidR="00842324" w:rsidRDefault="00000000">
      <w:pPr>
        <w:pStyle w:val="BodyText"/>
      </w:pPr>
      <w:r>
        <w:t xml:space="preserve">Hong, T., Pinson, P., Fan, S., Zareipour, H., Troccoli, A. and Hyndman, R.J. (2016). Probabilistic energy forecasting: Global energy forecasting competition 2014 and beyond. </w:t>
      </w:r>
      <w:r>
        <w:rPr>
          <w:i/>
          <w:iCs/>
        </w:rPr>
        <w:t>International Journal of Forecasting</w:t>
      </w:r>
      <w:r>
        <w:t>, 32(3), pp. 896–913.</w:t>
      </w:r>
    </w:p>
    <w:p w14:paraId="5D0415AF" w14:textId="77777777" w:rsidR="00842324" w:rsidRDefault="00000000">
      <w:pPr>
        <w:pStyle w:val="BodyText"/>
      </w:pPr>
      <w:r>
        <w:t xml:space="preserve">Kath, C. and Ziel, F. (2021). Conformal prediction interval estimation and applications to day-ahead and intraday power markets. </w:t>
      </w:r>
      <w:r>
        <w:rPr>
          <w:i/>
          <w:iCs/>
        </w:rPr>
        <w:t>International Journal of Forecasting</w:t>
      </w:r>
      <w:r>
        <w:t>, 37(2), pp. 777–799.</w:t>
      </w:r>
    </w:p>
    <w:p w14:paraId="5D0415B0" w14:textId="77777777" w:rsidR="00842324" w:rsidRDefault="00000000">
      <w:pPr>
        <w:pStyle w:val="BodyText"/>
      </w:pPr>
      <w:r>
        <w:t xml:space="preserve">Kenyon, C. and Stamm, R. (2012). </w:t>
      </w:r>
      <w:r>
        <w:rPr>
          <w:i/>
          <w:iCs/>
        </w:rPr>
        <w:t>Discounting, LIBOR, CVA and Funding: Interest Rate and Credit Pricing</w:t>
      </w:r>
      <w:r>
        <w:t>. Palgrave Macmillan, Basingstoke. Chapter 11: Backtesting.</w:t>
      </w:r>
    </w:p>
    <w:p w14:paraId="5D0415B1" w14:textId="77777777" w:rsidR="00842324" w:rsidRDefault="00000000">
      <w:pPr>
        <w:pStyle w:val="BodyText"/>
      </w:pPr>
      <w:r>
        <w:t xml:space="preserve">Koenker, R. and Bassett, G. (1978). Regression quantiles. </w:t>
      </w:r>
      <w:r>
        <w:rPr>
          <w:i/>
          <w:iCs/>
        </w:rPr>
        <w:t>Econometrica</w:t>
      </w:r>
      <w:r>
        <w:t>, 46(1), pp. 33–50.</w:t>
      </w:r>
    </w:p>
    <w:p w14:paraId="5D0415B2" w14:textId="77777777" w:rsidR="00842324" w:rsidRDefault="00000000">
      <w:pPr>
        <w:pStyle w:val="BodyText"/>
      </w:pPr>
      <w:r>
        <w:t xml:space="preserve">Kolmogorov, A.N. (1933). Sulla determinazione empirica di una legge di distribuzione. </w:t>
      </w:r>
      <w:r>
        <w:rPr>
          <w:i/>
          <w:iCs/>
        </w:rPr>
        <w:t>Giornale dell’Istituto Italiano degli Attuari</w:t>
      </w:r>
      <w:r>
        <w:t>, 4, pp. 83–91.</w:t>
      </w:r>
    </w:p>
    <w:p w14:paraId="5D0415B3" w14:textId="77777777" w:rsidR="00842324" w:rsidRDefault="00000000">
      <w:pPr>
        <w:pStyle w:val="BodyText"/>
      </w:pPr>
      <w:r>
        <w:t xml:space="preserve">Kupiec, P.H. (1995). Techniques for verifying the accuracy of risk measurement models. </w:t>
      </w:r>
      <w:r>
        <w:rPr>
          <w:i/>
          <w:iCs/>
        </w:rPr>
        <w:t>The Journal of Derivatives</w:t>
      </w:r>
      <w:r>
        <w:t>, 3(2), pp. 73–84.</w:t>
      </w:r>
    </w:p>
    <w:p w14:paraId="5D0415B4" w14:textId="77777777" w:rsidR="00842324" w:rsidRDefault="00000000">
      <w:pPr>
        <w:pStyle w:val="BodyText"/>
      </w:pPr>
      <w:r>
        <w:t xml:space="preserve">Ljung, G.M. and Box, G.E.P. (1978). On a measure of lack of fit in time series models. </w:t>
      </w:r>
      <w:r>
        <w:rPr>
          <w:i/>
          <w:iCs/>
        </w:rPr>
        <w:t>Biometrika</w:t>
      </w:r>
      <w:r>
        <w:t>, 65(2), pp. 297–303.</w:t>
      </w:r>
    </w:p>
    <w:p w14:paraId="5D0415B5" w14:textId="77777777" w:rsidR="00842324" w:rsidRDefault="00000000">
      <w:pPr>
        <w:pStyle w:val="BodyText"/>
      </w:pPr>
      <w:r>
        <w:lastRenderedPageBreak/>
        <w:t xml:space="preserve">Lorenz, E., Hurka, J., Heinemann, D. and Beyer, H.G. (2009). Irradiance forecasting for the power prediction of grid-connected photovoltaic systems. </w:t>
      </w:r>
      <w:r>
        <w:rPr>
          <w:i/>
          <w:iCs/>
        </w:rPr>
        <w:t>IEEE Journal of Selected Topics in Applied Earth Observations and Remote Sensing</w:t>
      </w:r>
      <w:r>
        <w:t>, 2(1), pp. 2–10.</w:t>
      </w:r>
    </w:p>
    <w:p w14:paraId="5D0415B6" w14:textId="77777777" w:rsidR="00842324" w:rsidRDefault="00000000">
      <w:pPr>
        <w:pStyle w:val="BodyText"/>
      </w:pPr>
      <w:r>
        <w:t xml:space="preserve">McNeil, A.J., Frey, R. and Embrechts, P. (2005). </w:t>
      </w:r>
      <w:r>
        <w:rPr>
          <w:i/>
          <w:iCs/>
        </w:rPr>
        <w:t>Quantitative Risk Management: Concepts, Techniques and Tools</w:t>
      </w:r>
      <w:r>
        <w:t>. Princeton University Press, Princeton.</w:t>
      </w:r>
    </w:p>
    <w:p w14:paraId="5D0415B7" w14:textId="77777777" w:rsidR="00842324" w:rsidRDefault="00000000">
      <w:pPr>
        <w:pStyle w:val="BodyText"/>
      </w:pPr>
      <w:r>
        <w:t xml:space="preserve">Nowotarski, J. and Weron, R. (2018). Recent advances in electricity price forecasting: A review of probabilistic forecasting. </w:t>
      </w:r>
      <w:r>
        <w:rPr>
          <w:i/>
          <w:iCs/>
        </w:rPr>
        <w:t>Renewable and Sustainable Energy Reviews</w:t>
      </w:r>
      <w:r>
        <w:t>, 81, pp. 1548–1568.</w:t>
      </w:r>
    </w:p>
    <w:p w14:paraId="5D0415B8" w14:textId="77777777" w:rsidR="00842324" w:rsidRDefault="00000000">
      <w:pPr>
        <w:pStyle w:val="BodyText"/>
      </w:pPr>
      <w:r>
        <w:t>O’Connor, C., Bahloul, M., Rossi, R., Prestwich, S. and Visentin, A. (2025). Conformal prediction for electricity price forecasting in the day-ahead and real-time balancing market. arXiv preprint arXiv:2502.04935 [cs.LG]. Available at: https://arxiv.org/abs/2502.04935</w:t>
      </w:r>
    </w:p>
    <w:p w14:paraId="5D0415B9" w14:textId="77777777" w:rsidR="00842324" w:rsidRDefault="00000000">
      <w:pPr>
        <w:pStyle w:val="BodyText"/>
      </w:pPr>
      <w:r>
        <w:t xml:space="preserve">Pinson, P. and Girard, R. (2012). Evaluating the quality of scenarios of short-term wind power generation. </w:t>
      </w:r>
      <w:r>
        <w:rPr>
          <w:i/>
          <w:iCs/>
        </w:rPr>
        <w:t>Applied Energy</w:t>
      </w:r>
      <w:r>
        <w:t>, 96, pp. 12–20.</w:t>
      </w:r>
    </w:p>
    <w:p w14:paraId="5D0415BA" w14:textId="77777777" w:rsidR="00842324" w:rsidRDefault="00000000">
      <w:pPr>
        <w:pStyle w:val="BodyText"/>
      </w:pPr>
      <w:r>
        <w:t xml:space="preserve">Rosenblatt, M. (1952). Remarks on a multivariate transformation. </w:t>
      </w:r>
      <w:r>
        <w:rPr>
          <w:i/>
          <w:iCs/>
        </w:rPr>
        <w:t>Annals of Mathematical Statistics</w:t>
      </w:r>
      <w:r>
        <w:t>, 23(3), pp. 470–472.</w:t>
      </w:r>
    </w:p>
    <w:p w14:paraId="5D0415BB" w14:textId="77777777" w:rsidR="00842324" w:rsidRDefault="00000000">
      <w:pPr>
        <w:pStyle w:val="BodyText"/>
      </w:pPr>
      <w:r>
        <w:t xml:space="preserve">Ruiz, I. (2012). Backtesting counterparty risk: how good is your model? </w:t>
      </w:r>
      <w:r>
        <w:rPr>
          <w:i/>
          <w:iCs/>
        </w:rPr>
        <w:t>Journal of Credit Risk</w:t>
      </w:r>
      <w:r>
        <w:t>, 8(3), pp. 1–33.</w:t>
      </w:r>
    </w:p>
    <w:p w14:paraId="5D0415BC" w14:textId="77777777" w:rsidR="00842324" w:rsidRDefault="00000000">
      <w:pPr>
        <w:pStyle w:val="BodyText"/>
      </w:pPr>
      <w:r>
        <w:t xml:space="preserve">Shafer, G. and Vovk, V. (2008). A tutorial on conformal prediction. </w:t>
      </w:r>
      <w:r>
        <w:rPr>
          <w:i/>
          <w:iCs/>
        </w:rPr>
        <w:t>Journal of Machine Learning Research</w:t>
      </w:r>
      <w:r>
        <w:t>, 9, pp. 371–421.</w:t>
      </w:r>
    </w:p>
    <w:p w14:paraId="5D0415BD" w14:textId="77777777" w:rsidR="00842324" w:rsidRDefault="00000000">
      <w:pPr>
        <w:pStyle w:val="BodyText"/>
      </w:pPr>
      <w:r>
        <w:t xml:space="preserve">Smirnov, N. (1948). Table for estimating the goodness of fit of empirical distributions. </w:t>
      </w:r>
      <w:r>
        <w:rPr>
          <w:i/>
          <w:iCs/>
        </w:rPr>
        <w:t>Annals of Mathematical Statistics</w:t>
      </w:r>
      <w:r>
        <w:t>, 19(2), pp. 279–281.</w:t>
      </w:r>
    </w:p>
    <w:p w14:paraId="5D0415BE" w14:textId="77777777" w:rsidR="00842324" w:rsidRDefault="00000000">
      <w:pPr>
        <w:pStyle w:val="BodyText"/>
      </w:pPr>
      <w:r>
        <w:t xml:space="preserve">Tibshirani, R.J., Barber, R.F., Candès, E. and Ramdas, A. (2019). Conformal prediction under covariate shift. In </w:t>
      </w:r>
      <w:r>
        <w:rPr>
          <w:i/>
          <w:iCs/>
        </w:rPr>
        <w:t>Advances in Neural Information Processing Systems</w:t>
      </w:r>
      <w:r>
        <w:t xml:space="preserve"> (NeurIPS 2019), 32, pp. 2530–2540.</w:t>
      </w:r>
    </w:p>
    <w:p w14:paraId="5D0415BF" w14:textId="77777777" w:rsidR="00842324" w:rsidRDefault="00000000">
      <w:pPr>
        <w:pStyle w:val="BodyText"/>
      </w:pPr>
      <w:r>
        <w:t>Uniejewski, B. and Ziel, F. (2025). Probabilistic forecasts of load, solar and wind for electricity price forecasting. arXiv preprint arXiv:2501.06180 [stat.AP]. Available at: https://arxiv.org/abs/2501.06180</w:t>
      </w:r>
    </w:p>
    <w:p w14:paraId="5D0415C0" w14:textId="77777777" w:rsidR="00842324" w:rsidRDefault="00000000">
      <w:pPr>
        <w:pStyle w:val="BodyText"/>
      </w:pPr>
      <w:r>
        <w:t xml:space="preserve">Vovk, V., Gammerman, A. and Shafer, G. (2005). </w:t>
      </w:r>
      <w:r>
        <w:rPr>
          <w:i/>
          <w:iCs/>
        </w:rPr>
        <w:t>Algorithmic Learning in a Random World</w:t>
      </w:r>
      <w:r>
        <w:t>. Springer, New York.</w:t>
      </w:r>
    </w:p>
    <w:p w14:paraId="5D0415C1" w14:textId="77777777" w:rsidR="00842324" w:rsidRDefault="00000000">
      <w:pPr>
        <w:pStyle w:val="BodyText"/>
      </w:pPr>
      <w:r>
        <w:t xml:space="preserve">Weron, R. (2014). Electricity price forecasting: A review of the state-of-the-art with a look into the future. </w:t>
      </w:r>
      <w:r>
        <w:rPr>
          <w:i/>
          <w:iCs/>
        </w:rPr>
        <w:t>International Journal of Forecasting</w:t>
      </w:r>
      <w:r>
        <w:t>, 30(4), pp. 1030–1081.</w:t>
      </w:r>
    </w:p>
    <w:p w14:paraId="5D0415C2" w14:textId="77777777" w:rsidR="00842324" w:rsidRDefault="00000000">
      <w:pPr>
        <w:pStyle w:val="BodyText"/>
      </w:pPr>
      <w:r>
        <w:t xml:space="preserve">Zaffran, M., Féron, O., Goude, Y., Josse, J. and Dieuleveut, A. (2022). Adaptive conformal predictions for time series. In </w:t>
      </w:r>
      <w:r>
        <w:rPr>
          <w:i/>
          <w:iCs/>
        </w:rPr>
        <w:t>Proceedings of the 39th International Conference on Machine Learning</w:t>
      </w:r>
      <w:r>
        <w:t xml:space="preserve"> (ICML 2022), PMLR 162, pp. 25834–25866.</w:t>
      </w:r>
    </w:p>
    <w:p w14:paraId="5D0415C3" w14:textId="77777777" w:rsidR="00842324" w:rsidRDefault="00000000">
      <w:pPr>
        <w:pStyle w:val="BodyText"/>
      </w:pPr>
      <w:r>
        <w:lastRenderedPageBreak/>
        <w:t xml:space="preserve">Ziel, F. and Weron, R. (2018). Day-ahead electricity price forecasting with high-dimensional structures: Univariate vs. multivariate modeling frameworks. </w:t>
      </w:r>
      <w:r>
        <w:rPr>
          <w:i/>
          <w:iCs/>
        </w:rPr>
        <w:t>Energy Economics</w:t>
      </w:r>
      <w:r>
        <w:t>, 70, pp. 396–420.</w:t>
      </w:r>
    </w:p>
    <w:p w14:paraId="5D0415C4" w14:textId="77777777" w:rsidR="00842324" w:rsidRDefault="00000000">
      <w:r>
        <w:pict w14:anchorId="5D04161B">
          <v:rect id="_x0000_i1091" style="width:0;height:1.5pt" o:hralign="center" o:hrstd="t" o:hr="t"/>
        </w:pict>
      </w:r>
    </w:p>
    <w:p w14:paraId="5D0415C5" w14:textId="77777777" w:rsidR="00842324" w:rsidRDefault="00000000">
      <w:pPr>
        <w:pStyle w:val="Heading1"/>
      </w:pPr>
      <w:bookmarkStart w:id="218" w:name="ai-statement"/>
      <w:bookmarkStart w:id="219" w:name="_Toc225682116"/>
      <w:bookmarkEnd w:id="216"/>
      <w:r>
        <w:t>AI Statement</w:t>
      </w:r>
      <w:bookmarkEnd w:id="219"/>
    </w:p>
    <w:p w14:paraId="5D0415C6" w14:textId="77777777" w:rsidR="00842324" w:rsidRDefault="00000000">
      <w:pPr>
        <w:pStyle w:val="FirstParagraph"/>
      </w:pPr>
      <w:r>
        <w:rPr>
          <w:b/>
          <w:bCs/>
        </w:rPr>
        <w:t>Tools used:</w:t>
      </w:r>
      <w:r>
        <w:t xml:space="preserve"> Claude (Anthropic, claude.ai)</w:t>
      </w:r>
    </w:p>
    <w:p w14:paraId="5D0415C7" w14:textId="77777777" w:rsidR="00842324" w:rsidRDefault="00000000">
      <w:pPr>
        <w:pStyle w:val="BodyText"/>
      </w:pPr>
      <w:r>
        <w:t>Generative AI was used to support the following aspects of this thesis:</w:t>
      </w:r>
    </w:p>
    <w:p w14:paraId="5D0415C8" w14:textId="77777777" w:rsidR="00842324" w:rsidRDefault="00000000">
      <w:pPr>
        <w:numPr>
          <w:ilvl w:val="0"/>
          <w:numId w:val="24"/>
        </w:numPr>
      </w:pPr>
      <w:r>
        <w:rPr>
          <w:b/>
          <w:bCs/>
        </w:rPr>
        <w:t>Software implementation.</w:t>
      </w:r>
      <w:r>
        <w:t xml:space="preserve"> The unified probabilistic validation framework (</w:t>
      </w:r>
      <w:r>
        <w:rPr>
          <w:rStyle w:val="VerbatimChar"/>
        </w:rPr>
        <w:t>src/</w:t>
      </w:r>
      <w:r>
        <w:t>) was developed with Claude’s assistance. Claude provided implementation guidance, debugging support, and architectural design suggestions.</w:t>
      </w:r>
    </w:p>
    <w:p w14:paraId="5D0415C9" w14:textId="77777777" w:rsidR="00842324" w:rsidRDefault="00000000">
      <w:pPr>
        <w:numPr>
          <w:ilvl w:val="0"/>
          <w:numId w:val="24"/>
        </w:numPr>
      </w:pPr>
      <w:r>
        <w:rPr>
          <w:b/>
          <w:bCs/>
        </w:rPr>
        <w:t>Deployment.</w:t>
      </w:r>
      <w:r>
        <w:t xml:space="preserve"> The Streamlit web application (app.py, deployed at unified-probabilistic-validation.streamlit.app), and SKILL.md framework documentation were implemented with Claude’s assistance.</w:t>
      </w:r>
    </w:p>
    <w:p w14:paraId="5D0415CA" w14:textId="77777777" w:rsidR="00842324" w:rsidRDefault="00000000">
      <w:pPr>
        <w:numPr>
          <w:ilvl w:val="0"/>
          <w:numId w:val="24"/>
        </w:numPr>
      </w:pPr>
      <w:r>
        <w:rPr>
          <w:b/>
          <w:bCs/>
        </w:rPr>
        <w:t>Writing assistance.</w:t>
      </w:r>
      <w:r>
        <w:t xml:space="preserve"> Chapter drafts were produced collaboratively with Claude providing initial structure and prose, subsequently reviewed, revised, and approved by the authors. All empirical interpretations, theoretical arguments, research question framings, and conclusions are the authors’ own.</w:t>
      </w:r>
    </w:p>
    <w:p w14:paraId="5D0415CB" w14:textId="77777777" w:rsidR="00842324" w:rsidRDefault="00000000">
      <w:pPr>
        <w:numPr>
          <w:ilvl w:val="0"/>
          <w:numId w:val="24"/>
        </w:numPr>
      </w:pPr>
      <w:r>
        <w:rPr>
          <w:b/>
          <w:bCs/>
        </w:rPr>
        <w:t>AI narrative generation (documented contribution).</w:t>
      </w:r>
      <w:r>
        <w:t xml:space="preserve"> The NarrativeGenerator component calls the Anthropic API (Claude Sonnet) to produce governance narratives from structured diagnostic outputs. This is an explicit, documented part of the submitted framework described in Section 9.9 of the Methodology chapter, not an undisclosed use of AI.</w:t>
      </w:r>
    </w:p>
    <w:p w14:paraId="5D0415CC" w14:textId="77777777" w:rsidR="00842324" w:rsidRDefault="00000000">
      <w:pPr>
        <w:pStyle w:val="FirstParagraph"/>
      </w:pPr>
      <w:r>
        <w:t>All topic selection, research questions, methodological choices, empirical analysis, interpretations, and conclusions were carried out by the authors. The industry partner (Rikard Green, Energy Quant Solutions Sweden AB) provided domain guidance, dataset access, and feedback on framework design throughout the project.</w:t>
      </w:r>
      <w:bookmarkEnd w:id="218"/>
    </w:p>
    <w:sectPr w:rsidR="0084232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1CBB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FEFC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E82A7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5640982">
    <w:abstractNumId w:val="0"/>
  </w:num>
  <w:num w:numId="2" w16cid:durableId="1497453016">
    <w:abstractNumId w:val="1"/>
  </w:num>
  <w:num w:numId="3" w16cid:durableId="2079596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0426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0155003">
    <w:abstractNumId w:val="1"/>
  </w:num>
  <w:num w:numId="6" w16cid:durableId="1971275715">
    <w:abstractNumId w:val="1"/>
  </w:num>
  <w:num w:numId="7" w16cid:durableId="64961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3059044">
    <w:abstractNumId w:val="1"/>
  </w:num>
  <w:num w:numId="9" w16cid:durableId="994793784">
    <w:abstractNumId w:val="1"/>
  </w:num>
  <w:num w:numId="10" w16cid:durableId="1897274207">
    <w:abstractNumId w:val="1"/>
  </w:num>
  <w:num w:numId="11" w16cid:durableId="900679660">
    <w:abstractNumId w:val="1"/>
  </w:num>
  <w:num w:numId="12" w16cid:durableId="2143645730">
    <w:abstractNumId w:val="1"/>
  </w:num>
  <w:num w:numId="13" w16cid:durableId="319775254">
    <w:abstractNumId w:val="1"/>
  </w:num>
  <w:num w:numId="14" w16cid:durableId="50231165">
    <w:abstractNumId w:val="1"/>
  </w:num>
  <w:num w:numId="15" w16cid:durableId="1977762015">
    <w:abstractNumId w:val="1"/>
  </w:num>
  <w:num w:numId="16" w16cid:durableId="896434159">
    <w:abstractNumId w:val="1"/>
  </w:num>
  <w:num w:numId="17" w16cid:durableId="248779073">
    <w:abstractNumId w:val="1"/>
  </w:num>
  <w:num w:numId="18" w16cid:durableId="1783108770">
    <w:abstractNumId w:val="1"/>
  </w:num>
  <w:num w:numId="19" w16cid:durableId="164833067">
    <w:abstractNumId w:val="1"/>
  </w:num>
  <w:num w:numId="20" w16cid:durableId="1027632560">
    <w:abstractNumId w:val="1"/>
  </w:num>
  <w:num w:numId="21" w16cid:durableId="44180234">
    <w:abstractNumId w:val="1"/>
  </w:num>
  <w:num w:numId="22" w16cid:durableId="1205555175">
    <w:abstractNumId w:val="1"/>
  </w:num>
  <w:num w:numId="23" w16cid:durableId="2041081948">
    <w:abstractNumId w:val="1"/>
  </w:num>
  <w:num w:numId="24" w16cid:durableId="1892422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42324"/>
    <w:rsid w:val="0040035E"/>
    <w:rsid w:val="007A1A72"/>
    <w:rsid w:val="00842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0F0C"/>
  <w15:docId w15:val="{C9456E55-973F-4C02-A55C-3318B22E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7A1A72"/>
    <w:pPr>
      <w:spacing w:after="100"/>
    </w:pPr>
  </w:style>
  <w:style w:type="paragraph" w:styleId="TOC2">
    <w:name w:val="toc 2"/>
    <w:basedOn w:val="Normal"/>
    <w:next w:val="Normal"/>
    <w:autoRedefine/>
    <w:uiPriority w:val="39"/>
    <w:rsid w:val="007A1A7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70</Pages>
  <Words>23885</Words>
  <Characters>136150</Characters>
  <Application>Microsoft Office Word</Application>
  <DocSecurity>0</DocSecurity>
  <Lines>1134</Lines>
  <Paragraphs>319</Paragraphs>
  <ScaleCrop>false</ScaleCrop>
  <Company/>
  <LinksUpToDate>false</LinksUpToDate>
  <CharactersWithSpaces>159716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Probabilistic Validation for Energy Markets: A Production-Grade Architecture for Simulation and Forecasting Models</dc:title>
  <dc:creator>Authors: Jia Yang Le &amp; Komila Askarova;Study programme: Data Analytics and Business Economics;Supervisor: Luca Margaritella;Industry Supervisor: Rikard Green, Energy Quant Solutions Sweden AB;Year of defence: 2026</dc:creator>
  <cp:keywords/>
  <cp:lastModifiedBy>Le Jiayang</cp:lastModifiedBy>
  <cp:revision>2</cp:revision>
  <cp:lastPrinted>2026-03-29T11:08:00Z</cp:lastPrinted>
  <dcterms:created xsi:type="dcterms:W3CDTF">2026-03-29T11:06:00Z</dcterms:created>
  <dcterms:modified xsi:type="dcterms:W3CDTF">2026-03-29T11:08:00Z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12pt</vt:lpwstr>
  </property>
  <property fmtid="{D5CDD505-2E9C-101B-9397-08002B2CF9AE}" pid="4" name="geometry">
    <vt:lpwstr>a4paper, top=2.5cm, bottom=2.5cm, left=2.5cm, right=2.5cm</vt:lpwstr>
  </property>
  <property fmtid="{D5CDD505-2E9C-101B-9397-08002B2CF9AE}" pid="5" name="header-includes">
    <vt:lpwstr/>
  </property>
  <property fmtid="{D5CDD505-2E9C-101B-9397-08002B2CF9AE}" pid="6" name="linestretch">
    <vt:lpwstr>1.5</vt:lpwstr>
  </property>
  <property fmtid="{D5CDD505-2E9C-101B-9397-08002B2CF9AE}" pid="7" name="mainfont">
    <vt:lpwstr>Arial</vt:lpwstr>
  </property>
  <property fmtid="{D5CDD505-2E9C-101B-9397-08002B2CF9AE}" pid="8" name="numbersections">
    <vt:lpwstr>True</vt:lpwstr>
  </property>
  <property fmtid="{D5CDD505-2E9C-101B-9397-08002B2CF9AE}" pid="9" name="subtitle">
    <vt:lpwstr>Master’s Thesis</vt:lpwstr>
  </property>
  <property fmtid="{D5CDD505-2E9C-101B-9397-08002B2CF9AE}" pid="10" name="toc">
    <vt:lpwstr>True</vt:lpwstr>
  </property>
  <property fmtid="{D5CDD505-2E9C-101B-9397-08002B2CF9AE}" pid="11" name="toc-depth">
    <vt:lpwstr>2</vt:lpwstr>
  </property>
</Properties>
</file>