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Unified Probabilistic Validation for Energy Markets: A Production-Grade Architecture for Simulation and Forecasting Models</w:t>
      </w:r>
    </w:p>
    <w:p>
      <w:pPr>
        <w:pStyle w:val="Subtitle"/>
      </w:pPr>
      <w:r>
        <w:t xml:space="preserve">Master’s Thesis</w:t>
      </w:r>
    </w:p>
    <w:p>
      <w:pPr>
        <w:pStyle w:val="Author"/>
      </w:pPr>
      <w:r>
        <w:t xml:space="preserve">Authors: Jia Yang Le &amp; Komila Askarova</w:t>
      </w:r>
    </w:p>
    <w:p>
      <w:pPr>
        <w:pStyle w:val="Author"/>
      </w:pPr>
      <w:r>
        <w:t xml:space="preserve">Study programme: Data Analytics and Business Economics</w:t>
      </w:r>
    </w:p>
    <w:p>
      <w:pPr>
        <w:pStyle w:val="Author"/>
      </w:pPr>
      <w:r>
        <w:t xml:space="preserve">Supervisor: Luca Margaritella</w:t>
      </w:r>
    </w:p>
    <w:p>
      <w:pPr>
        <w:pStyle w:val="Author"/>
      </w:pPr>
      <w:r>
        <w:t xml:space="preserve">Industry Supervisor: Rikard Green, Energy Quant Solutions Sweden AB</w:t>
      </w:r>
    </w:p>
    <w:p>
      <w:pPr>
        <w:pStyle w:val="Author"/>
      </w:pPr>
      <w:r>
        <w:t xml:space="preserve">Year of defence: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Energy market models span structurally heterogeneous classes — Monte Carlo</w:t>
      </w:r>
      <w:r>
        <w:t xml:space="preserve"> </w:t>
      </w:r>
      <w:r>
        <w:t xml:space="preserve">simulation engines, short-term operational forecasting systems, and</w:t>
      </w:r>
      <w:r>
        <w:t xml:space="preserve"> </w:t>
      </w:r>
      <w:r>
        <w:t xml:space="preserve">long-horizon renewable generation models — yet validation practice remains</w:t>
      </w:r>
      <w:r>
        <w:t xml:space="preserve"> </w:t>
      </w:r>
      <w:r>
        <w:t xml:space="preserve">fragmented along model class boundaries, with each class inheriting its</w:t>
      </w:r>
      <w:r>
        <w:t xml:space="preserve"> </w:t>
      </w:r>
      <w:r>
        <w:t xml:space="preserve">own evaluation culture and none providing a complete picture of</w:t>
      </w:r>
      <w:r>
        <w:t xml:space="preserve"> </w:t>
      </w:r>
      <w:r>
        <w:t xml:space="preserve">probabilistic reliability. This thesis constructs a unified probabilistic</w:t>
      </w:r>
      <w:r>
        <w:t xml:space="preserve"> </w:t>
      </w:r>
      <w:r>
        <w:t xml:space="preserve">validation framework that evaluates all three model classes within a shared</w:t>
      </w:r>
      <w:r>
        <w:t xml:space="preserve"> </w:t>
      </w:r>
      <w:r>
        <w:t xml:space="preserve">reliability space defined by distributional calibration, proper scoring,</w:t>
      </w:r>
      <w:r>
        <w:t xml:space="preserve"> </w:t>
      </w:r>
      <w:r>
        <w:t xml:space="preserve">and governance-oriented aggregation.</w:t>
      </w:r>
    </w:p>
    <w:p>
      <w:pPr>
        <w:pStyle w:val="BodyText"/>
      </w:pPr>
      <w:r>
        <w:t xml:space="preserve">The framework comprises eleven software components organised into five</w:t>
      </w:r>
      <w:r>
        <w:t xml:space="preserve"> </w:t>
      </w:r>
      <w:r>
        <w:t xml:space="preserve">layers: a canonical data contract and model-class adapters that normalise</w:t>
      </w:r>
      <w:r>
        <w:t xml:space="preserve"> </w:t>
      </w:r>
      <w:r>
        <w:t xml:space="preserve">heterogeneous inputs into evaluable predictive distributions; a</w:t>
      </w:r>
      <w:r>
        <w:t xml:space="preserve"> </w:t>
      </w:r>
      <w:r>
        <w:t xml:space="preserve">capability-aware diagnostics gateway routing inputs to PIT uniformity,</w:t>
      </w:r>
      <w:r>
        <w:t xml:space="preserve"> </w:t>
      </w:r>
      <w:r>
        <w:t xml:space="preserve">serial independence, interval backtesting, pinball loss, and sharpness</w:t>
      </w:r>
      <w:r>
        <w:t xml:space="preserve"> </w:t>
      </w:r>
      <w:r>
        <w:t xml:space="preserve">diagnostics; a regime tagger and threshold calibrator enabling</w:t>
      </w:r>
      <w:r>
        <w:t xml:space="preserve"> </w:t>
      </w:r>
      <w:r>
        <w:t xml:space="preserve">regime-conditioned governance; a decision engine producing structured</w:t>
      </w:r>
      <w:r>
        <w:t xml:space="preserve"> </w:t>
      </w:r>
      <w:r>
        <w:t xml:space="preserve">governance decisions with full provenance audit trails; and an AI-powered</w:t>
      </w:r>
      <w:r>
        <w:t xml:space="preserve"> </w:t>
      </w:r>
      <w:r>
        <w:t xml:space="preserve">narrative generator translating decisions into technical and plain-language</w:t>
      </w:r>
      <w:r>
        <w:t xml:space="preserve"> </w:t>
      </w:r>
      <w:r>
        <w:t xml:space="preserve">summaries. The framework is deployed as a Streamlit web application and</w:t>
      </w:r>
      <w:r>
        <w:t xml:space="preserve"> </w:t>
      </w:r>
      <w:r>
        <w:t xml:space="preserve">validated by 451 automated tests.</w:t>
      </w:r>
    </w:p>
    <w:p>
      <w:pPr>
        <w:pStyle w:val="BodyText"/>
      </w:pPr>
      <w:r>
        <w:t xml:space="preserve">Empirically, all three real-data model classes receive RED governance</w:t>
      </w:r>
      <w:r>
        <w:t xml:space="preserve"> </w:t>
      </w:r>
      <w:r>
        <w:t xml:space="preserve">classifications, each with a structurally distinct failure mode: bilateral</w:t>
      </w:r>
      <w:r>
        <w:t xml:space="preserve"> </w:t>
      </w:r>
      <w:r>
        <w:t xml:space="preserve">miscalibration in the ENTSO-E electricity load model, distributional</w:t>
      </w:r>
      <w:r>
        <w:t xml:space="preserve"> </w:t>
      </w:r>
      <w:r>
        <w:t xml:space="preserve">failure without interval failure in PV solar generation, and asymmetric</w:t>
      </w:r>
      <w:r>
        <w:t xml:space="preserve"> </w:t>
      </w:r>
      <w:r>
        <w:t xml:space="preserve">lower-tail failure in onshore wind generation. The synthetic positive</w:t>
      </w:r>
      <w:r>
        <w:t xml:space="preserve"> </w:t>
      </w:r>
      <w:r>
        <w:t xml:space="preserve">control confirms the framework is not over-strict. The key governance</w:t>
      </w:r>
      <w:r>
        <w:t xml:space="preserve"> </w:t>
      </w:r>
      <w:r>
        <w:t xml:space="preserve">finding is the PV divergence: coverage-only regulation would reduce</w:t>
      </w:r>
      <w:r>
        <w:t xml:space="preserve"> </w:t>
      </w:r>
      <w:r>
        <w:t xml:space="preserve">capital requirements for a model that multi-layer diagnostics correctly</w:t>
      </w:r>
      <w:r>
        <w:t xml:space="preserve"> </w:t>
      </w:r>
      <w:r>
        <w:t xml:space="preserve">identify as structurally misspecified — a concrete empirical demonstration</w:t>
      </w:r>
      <w:r>
        <w:t xml:space="preserve"> </w:t>
      </w:r>
      <w:r>
        <w:t xml:space="preserve">that interval coverage alone is insufficient for energy market governance.</w:t>
      </w:r>
      <w:r>
        <w:t xml:space="preserve"> </w:t>
      </w:r>
      <w:r>
        <w:t xml:space="preserve">Conformal augmentation restores near-nominal coverage under temporal</w:t>
      </w:r>
      <w:r>
        <w:t xml:space="preserve"> </w:t>
      </w:r>
      <w:r>
        <w:t xml:space="preserve">distribution shift but does not resolve distributional misspecification,</w:t>
      </w:r>
      <w:r>
        <w:t xml:space="preserve"> </w:t>
      </w:r>
      <w:r>
        <w:t xml:space="preserve">establishing the two methods as complementary rather than substitutable.</w:t>
      </w:r>
    </w:p>
    <w:p>
      <w:pPr>
        <w:pStyle w:val="BodyText"/>
      </w:pPr>
      <w:r>
        <w:t xml:space="preserve">The framework is open-source at</w:t>
      </w:r>
      <w:r>
        <w:t xml:space="preserve"> </w:t>
      </w:r>
      <w:r>
        <w:t xml:space="preserve">github.com/LeJ7-commits/unified-probabilistic-validation.</w:t>
      </w:r>
    </w:p>
    <w:p>
      <w:pPr>
        <w:pStyle w:val="BodyText"/>
      </w:pPr>
      <w:r>
        <w:rPr>
          <w:b/>
          <w:bCs/>
        </w:rPr>
        <w:t xml:space="preserve">JEL Classification:</w:t>
      </w:r>
      <w:r>
        <w:t xml:space="preserve"> </w:t>
      </w:r>
      <w:r>
        <w:t xml:space="preserve">C12, C15, C52, Q47, G32</w:t>
      </w:r>
    </w:p>
    <w:p>
      <w:pPr>
        <w:pStyle w:val="BodyText"/>
      </w:pPr>
      <w:r>
        <w:rPr>
          <w:b/>
          <w:bCs/>
        </w:rPr>
        <w:t xml:space="preserve">Keywords:</w:t>
      </w:r>
      <w:r>
        <w:t xml:space="preserve"> </w:t>
      </w:r>
      <w:r>
        <w:t xml:space="preserve">probabilistic validation, energy markets, PIT diagnostics, conformal prediction, governance classification, Basel traffic-light, model risk</w:t>
      </w:r>
    </w:p>
    <w:bookmarkEnd w:id="9"/>
    <w:bookmarkStart w:id="10" w:name="acknowledgements"/>
    <w:p>
      <w:pPr>
        <w:pStyle w:val="Heading1"/>
      </w:pPr>
      <w:r>
        <w:t xml:space="preserve">Acknowledgements</w:t>
      </w:r>
    </w:p>
    <w:p>
      <w:pPr>
        <w:pStyle w:val="FirstParagraph"/>
      </w:pPr>
      <w:r>
        <w:rPr>
          <w:i/>
          <w:iCs/>
        </w:rPr>
        <w:t xml:space="preserve">Insert acknowledgements here.</w:t>
      </w:r>
    </w:p>
    <w:bookmarkEnd w:id="10"/>
    <w:bookmarkStart w:id="11" w:name="introduction"/>
    <w:p>
      <w:pPr>
        <w:pStyle w:val="Heading1"/>
      </w:pPr>
      <w:r>
        <w:t xml:space="preserve">Introduction</w:t>
      </w:r>
    </w:p>
    <w:bookmarkEnd w:id="11"/>
    <w:bookmarkStart w:id="18" w:name="introduction-1"/>
    <w:p>
      <w:pPr>
        <w:pStyle w:val="Heading1"/>
      </w:pPr>
      <w:r>
        <w:t xml:space="preserve">Introduction</w:t>
      </w:r>
    </w:p>
    <w:bookmarkStart w:id="12" w:name="background-and-motivation"/>
    <w:p>
      <w:pPr>
        <w:pStyle w:val="Heading2"/>
      </w:pPr>
      <w:r>
        <w:t xml:space="preserve">1.1 Background and Motivation</w:t>
      </w:r>
    </w:p>
    <w:p>
      <w:pPr>
        <w:pStyle w:val="FirstParagraph"/>
      </w:pPr>
      <w:r>
        <w:t xml:space="preserve">Energy markets are governed by uncertainty. The physical quantities that</w:t>
      </w:r>
      <w:r>
        <w:t xml:space="preserve"> </w:t>
      </w:r>
      <w:r>
        <w:t xml:space="preserve">determine price formation — electricity demand, wind generation, solar</w:t>
      </w:r>
      <w:r>
        <w:t xml:space="preserve"> </w:t>
      </w:r>
      <w:r>
        <w:t xml:space="preserve">output, temperature — are inherently stochastic, and the models that</w:t>
      </w:r>
      <w:r>
        <w:t xml:space="preserve"> </w:t>
      </w:r>
      <w:r>
        <w:t xml:space="preserve">represent them must ultimately be evaluated not only for their point</w:t>
      </w:r>
      <w:r>
        <w:t xml:space="preserve"> </w:t>
      </w:r>
      <w:r>
        <w:t xml:space="preserve">accuracy but for the reliability of the uncertainty they express. A</w:t>
      </w:r>
      <w:r>
        <w:t xml:space="preserve"> </w:t>
      </w:r>
      <w:r>
        <w:t xml:space="preserve">short-term load forecast that is directionally correct but consistently</w:t>
      </w:r>
      <w:r>
        <w:t xml:space="preserve"> </w:t>
      </w:r>
      <w:r>
        <w:t xml:space="preserve">overconfident in its distributional tails will underestimate reserve</w:t>
      </w:r>
      <w:r>
        <w:t xml:space="preserve"> </w:t>
      </w:r>
      <w:r>
        <w:t xml:space="preserve">requirements. A wind generation simulation that produces well-shaped paths</w:t>
      </w:r>
      <w:r>
        <w:t xml:space="preserve"> </w:t>
      </w:r>
      <w:r>
        <w:t xml:space="preserve">on average but fails to capture persistent low-generation regimes will</w:t>
      </w:r>
      <w:r>
        <w:t xml:space="preserve"> </w:t>
      </w:r>
      <w:r>
        <w:t xml:space="preserve">mislead portfolio hedging decisions. The question of whether a model’s</w:t>
      </w:r>
      <w:r>
        <w:t xml:space="preserve"> </w:t>
      </w:r>
      <w:r>
        <w:t xml:space="preserve">stated probabilistic uncertainty is trustworthy is therefore not a</w:t>
      </w:r>
      <w:r>
        <w:t xml:space="preserve"> </w:t>
      </w:r>
      <w:r>
        <w:t xml:space="preserve">statistical nicety — it is a practical prerequisite for sound market and</w:t>
      </w:r>
      <w:r>
        <w:t xml:space="preserve"> </w:t>
      </w:r>
      <w:r>
        <w:t xml:space="preserve">risk management.</w:t>
      </w:r>
    </w:p>
    <w:p>
      <w:pPr>
        <w:pStyle w:val="BodyText"/>
      </w:pPr>
      <w:r>
        <w:t xml:space="preserve">Yet validation practice across the energy industry remains largely</w:t>
      </w:r>
      <w:r>
        <w:t xml:space="preserve"> </w:t>
      </w:r>
      <w:r>
        <w:t xml:space="preserve">fragmented along model class boundaries. Simulation models — Monte Carlo</w:t>
      </w:r>
      <w:r>
        <w:t xml:space="preserve"> </w:t>
      </w:r>
      <w:r>
        <w:t xml:space="preserve">engines used for pricing and risk analysis — are typically assessed via</w:t>
      </w:r>
      <w:r>
        <w:t xml:space="preserve"> </w:t>
      </w:r>
      <w:r>
        <w:t xml:space="preserve">Value-at-Risk (VaR) exceedance testing and other coverage-based backtesting</w:t>
      </w:r>
      <w:r>
        <w:t xml:space="preserve"> </w:t>
      </w:r>
      <w:r>
        <w:t xml:space="preserve">procedures. Short-term operational forecasting models are most commonly</w:t>
      </w:r>
      <w:r>
        <w:t xml:space="preserve"> </w:t>
      </w:r>
      <w:r>
        <w:t xml:space="preserve">evaluated using deterministic error metrics such as MAE or RMSE, which</w:t>
      </w:r>
      <w:r>
        <w:t xml:space="preserve"> </w:t>
      </w:r>
      <w:r>
        <w:t xml:space="preserve">carry no information about distributional reliability. Quantile regression and probabilistic forecasting models are evaluated via</w:t>
      </w:r>
      <w:r>
        <w:t xml:space="preserve"> </w:t>
      </w:r>
      <w:r>
        <w:t xml:space="preserve">pinball loss (Koenker and Bassett, 1978), which penalises individual</w:t>
      </w:r>
      <w:r>
        <w:t xml:space="preserve"> </w:t>
      </w:r>
      <w:r>
        <w:t xml:space="preserve">quantile violations but does not diagnose the shape or serial structure</w:t>
      </w:r>
      <w:r>
        <w:t xml:space="preserve"> </w:t>
      </w:r>
      <w:r>
        <w:t xml:space="preserve">of the full predictive distribution. Each model class</w:t>
      </w:r>
      <w:r>
        <w:t xml:space="preserve"> </w:t>
      </w:r>
      <w:r>
        <w:t xml:space="preserve">has inherited its own evaluation culture; none of these cultures shares a</w:t>
      </w:r>
      <w:r>
        <w:t xml:space="preserve"> </w:t>
      </w:r>
      <w:r>
        <w:t xml:space="preserve">common language, and none provides a complete picture of probabilistic</w:t>
      </w:r>
      <w:r>
        <w:t xml:space="preserve"> </w:t>
      </w:r>
      <w:r>
        <w:t xml:space="preserve">reliability on its own.</w:t>
      </w:r>
    </w:p>
    <w:p>
      <w:pPr>
        <w:pStyle w:val="BodyText"/>
      </w:pPr>
      <w:r>
        <w:t xml:space="preserve">This fragmentation creates at least three structural compromises. First,</w:t>
      </w:r>
      <w:r>
        <w:t xml:space="preserve"> </w:t>
      </w:r>
      <w:r>
        <w:t xml:space="preserve">reduced comparability across model classes: a GREEN result on a simulation</w:t>
      </w:r>
      <w:r>
        <w:t xml:space="preserve"> </w:t>
      </w:r>
      <w:r>
        <w:t xml:space="preserve">exceedance test and a GREEN result on a pinball loss benchmark are not</w:t>
      </w:r>
      <w:r>
        <w:t xml:space="preserve"> </w:t>
      </w:r>
      <w:r>
        <w:t xml:space="preserve">calibrated to the same standard. Second, opaque aggregation of diagnostics</w:t>
      </w:r>
      <w:r>
        <w:t xml:space="preserve"> </w:t>
      </w:r>
      <w:r>
        <w:t xml:space="preserve">into decision-ready risk segmentations — without a shared framework,</w:t>
      </w:r>
      <w:r>
        <w:t xml:space="preserve"> </w:t>
      </w:r>
      <w:r>
        <w:t xml:space="preserve">governance conclusions rest on informal judgements rather than transparent</w:t>
      </w:r>
      <w:r>
        <w:t xml:space="preserve"> </w:t>
      </w:r>
      <w:r>
        <w:t xml:space="preserve">diagnostic evidence. Third, a distal relationship between economic</w:t>
      </w:r>
      <w:r>
        <w:t xml:space="preserve"> </w:t>
      </w:r>
      <w:r>
        <w:t xml:space="preserve">interpretation and statistical diagnostics, where model risk decisions lack</w:t>
      </w:r>
      <w:r>
        <w:t xml:space="preserve"> </w:t>
      </w:r>
      <w:r>
        <w:t xml:space="preserve">a principled connection to the underlying calibration evidence.</w:t>
      </w:r>
    </w:p>
    <w:p>
      <w:pPr>
        <w:pStyle w:val="BodyText"/>
      </w:pPr>
      <w:r>
        <w:t xml:space="preserve">This thesis addresses these insufficiencies by constructing a</w:t>
      </w:r>
      <w:r>
        <w:t xml:space="preserve"> </w:t>
      </w:r>
      <w:r>
        <w:t xml:space="preserve">reliability-based evaluation system anchored in distributional calibration.</w:t>
      </w:r>
      <w:r>
        <w:t xml:space="preserve"> </w:t>
      </w:r>
      <w:r>
        <w:t xml:space="preserve">Formally, a unified validation architecture is defined as a mapping ℳ that</w:t>
      </w:r>
      <w:r>
        <w:t xml:space="preserve"> </w:t>
      </w:r>
      <w:r>
        <w:t xml:space="preserve">transforms heterogeneous model outputs into predictive distribution space,</w:t>
      </w:r>
      <w:r>
        <w:t xml:space="preserve"> </w:t>
      </w:r>
      <w:r>
        <w:t xml:space="preserve">followed by evaluation under a common probabilistic loss and calibration</w:t>
      </w:r>
      <w:r>
        <w:t xml:space="preserve"> </w:t>
      </w:r>
      <w:r>
        <w:t xml:space="preserve">functional ℒ(F_t, y_t), and aggregation via statistically calibrated</w:t>
      </w:r>
      <w:r>
        <w:t xml:space="preserve"> </w:t>
      </w:r>
      <w:r>
        <w:t xml:space="preserve">governance thresholds. Under this definition, unification signifies</w:t>
      </w:r>
      <w:r>
        <w:t xml:space="preserve"> </w:t>
      </w:r>
      <w:r>
        <w:t xml:space="preserve">comparability within a shared probabilistic reliability space — not</w:t>
      </w:r>
      <w:r>
        <w:t xml:space="preserve"> </w:t>
      </w:r>
      <w:r>
        <w:t xml:space="preserve">methodological homogenisation of the underlying models.</w:t>
      </w:r>
    </w:p>
    <w:p>
      <w:pPr>
        <w:pStyle w:val="BodyText"/>
      </w:pPr>
      <w:r>
        <w:t xml:space="preserve">The core diagnostic tool is the Probability Integral Transform (PIT),</w:t>
      </w:r>
      <w:r>
        <w:t xml:space="preserve"> </w:t>
      </w:r>
      <w:r>
        <w:t xml:space="preserve">which provides a model-class-agnostic basis for assessing distributional</w:t>
      </w:r>
      <w:r>
        <w:t xml:space="preserve"> </w:t>
      </w:r>
      <w:r>
        <w:t xml:space="preserve">calibration: under correct probabilistic specification, the PIT of any</w:t>
      </w:r>
      <w:r>
        <w:t xml:space="preserve"> </w:t>
      </w:r>
      <w:r>
        <w:t xml:space="preserve">forecast should be uniformly distributed and serially independent</w:t>
      </w:r>
      <w:r>
        <w:t xml:space="preserve"> </w:t>
      </w:r>
      <w:r>
        <w:t xml:space="preserve">(Diebold, Gunther, and Tay, 1998; Dawid, 1985). Deviations from these</w:t>
      </w:r>
      <w:r>
        <w:t xml:space="preserve"> </w:t>
      </w:r>
      <w:r>
        <w:t xml:space="preserve">properties are diagnosed using a multi-layer test battery — interval</w:t>
      </w:r>
      <w:r>
        <w:t xml:space="preserve"> </w:t>
      </w:r>
      <w:r>
        <w:t xml:space="preserve">backtesting via the Anfuso traffic-light framework, PIT uniformity and</w:t>
      </w:r>
      <w:r>
        <w:t xml:space="preserve"> </w:t>
      </w:r>
      <w:r>
        <w:t xml:space="preserve">independence testing via formal goodness-of-fit procedures, and proper</w:t>
      </w:r>
      <w:r>
        <w:t xml:space="preserve"> </w:t>
      </w:r>
      <w:r>
        <w:t xml:space="preserve">scoring via the Continuous Ranked Probability Score. A conformal prediction</w:t>
      </w:r>
      <w:r>
        <w:t xml:space="preserve"> </w:t>
      </w:r>
      <w:r>
        <w:t xml:space="preserve">augmentation layer extends the architecture to provide finite-sample</w:t>
      </w:r>
      <w:r>
        <w:t xml:space="preserve"> </w:t>
      </w:r>
      <w:r>
        <w:t xml:space="preserve">coverage guarantees under distributional shift (Tibshirani et al., 2019;</w:t>
      </w:r>
      <w:r>
        <w:t xml:space="preserve"> </w:t>
      </w:r>
      <w:r>
        <w:t xml:space="preserve">Angelopoulos et al., 2024). A governance aggregation layer translates</w:t>
      </w:r>
      <w:r>
        <w:t xml:space="preserve"> </w:t>
      </w:r>
      <w:r>
        <w:t xml:space="preserve">diagnostic signals into structured traffic-light classifications grounded</w:t>
      </w:r>
      <w:r>
        <w:t xml:space="preserve"> </w:t>
      </w:r>
      <w:r>
        <w:t xml:space="preserve">in the Basel backtesting framework (Basel Committee, 1996; 2010), adapted</w:t>
      </w:r>
      <w:r>
        <w:t xml:space="preserve"> </w:t>
      </w:r>
      <w:r>
        <w:t xml:space="preserve">to the energy market and REMIT regulatory context.</w:t>
      </w:r>
    </w:p>
    <w:p>
      <w:r>
        <w:pict>
          <v:rect style="width:0;height:1.5pt" o:hralign="center" o:hrstd="t" o:hr="t"/>
        </w:pict>
      </w:r>
    </w:p>
    <w:bookmarkEnd w:id="12"/>
    <w:bookmarkStart w:id="13" w:name="research-questions"/>
    <w:p>
      <w:pPr>
        <w:pStyle w:val="Heading2"/>
      </w:pPr>
      <w:r>
        <w:t xml:space="preserve">1.2 Research Questions</w:t>
      </w:r>
    </w:p>
    <w:p>
      <w:pPr>
        <w:pStyle w:val="FirstParagraph"/>
      </w:pPr>
      <w:r>
        <w:t xml:space="preserve">The thesis is structured around three core research questions:</w:t>
      </w:r>
    </w:p>
    <w:p>
      <w:pPr>
        <w:pStyle w:val="BodyText"/>
      </w:pPr>
      <w:r>
        <w:rPr>
          <w:b/>
          <w:bCs/>
        </w:rPr>
        <w:t xml:space="preserve">RQ1:</w:t>
      </w:r>
      <w:r>
        <w:t xml:space="preserve"> </w:t>
      </w:r>
      <w:r>
        <w:t xml:space="preserve">Can heterogeneous energy-market models (Monte Carlo simulation,</w:t>
      </w:r>
      <w:r>
        <w:t xml:space="preserve"> </w:t>
      </w:r>
      <w:r>
        <w:t xml:space="preserve">short-term operational forecasting, and long-term renewable forecasting)</w:t>
      </w:r>
      <w:r>
        <w:t xml:space="preserve"> </w:t>
      </w:r>
      <w:r>
        <w:t xml:space="preserve">be evaluated within a unified probabilistic reliability architecture without</w:t>
      </w:r>
      <w:r>
        <w:t xml:space="preserve"> </w:t>
      </w:r>
      <w:r>
        <w:t xml:space="preserve">compromising diagnostic depth or interpretability?</w:t>
      </w:r>
    </w:p>
    <w:p>
      <w:pPr>
        <w:pStyle w:val="BodyText"/>
      </w:pPr>
      <w:r>
        <w:rPr>
          <w:b/>
          <w:bCs/>
        </w:rPr>
        <w:t xml:space="preserve">RQ2:</w:t>
      </w:r>
      <w:r>
        <w:t xml:space="preserve"> </w:t>
      </w:r>
      <w:r>
        <w:t xml:space="preserve">Under which market conditions do conformal augmentation methods</w:t>
      </w:r>
      <w:r>
        <w:t xml:space="preserve"> </w:t>
      </w:r>
      <w:r>
        <w:t xml:space="preserve">improve finite-sample coverage stability relative to classical PIT-based</w:t>
      </w:r>
      <w:r>
        <w:t xml:space="preserve"> </w:t>
      </w:r>
      <w:r>
        <w:t xml:space="preserve">calibration diagnostics under regime shifts and temporal dependence?</w:t>
      </w:r>
    </w:p>
    <w:p>
      <w:pPr>
        <w:pStyle w:val="BodyText"/>
      </w:pPr>
      <w:r>
        <w:rPr>
          <w:b/>
          <w:bCs/>
        </w:rPr>
        <w:t xml:space="preserve">RQ3:</w:t>
      </w:r>
      <w:r>
        <w:t xml:space="preserve"> </w:t>
      </w:r>
      <w:r>
        <w:t xml:space="preserve">Can probabilistic calibration diagnostics and scoring-rule outcomes</w:t>
      </w:r>
      <w:r>
        <w:t xml:space="preserve"> </w:t>
      </w:r>
      <w:r>
        <w:t xml:space="preserve">be aggregated into statistically defensible governance classifications</w:t>
      </w:r>
      <w:r>
        <w:t xml:space="preserve"> </w:t>
      </w:r>
      <w:r>
        <w:t xml:space="preserve">comparable to Basel-style traffic-light backtesting systems?</w:t>
      </w:r>
    </w:p>
    <w:p>
      <w:r>
        <w:pict>
          <v:rect style="width:0;height:1.5pt" o:hralign="center" o:hrstd="t" o:hr="t"/>
        </w:pict>
      </w:r>
    </w:p>
    <w:bookmarkEnd w:id="13"/>
    <w:bookmarkStart w:id="14" w:name="scope-and-contributions"/>
    <w:p>
      <w:pPr>
        <w:pStyle w:val="Heading2"/>
      </w:pPr>
      <w:r>
        <w:t xml:space="preserve">1.3 Scope and Contributions</w:t>
      </w:r>
    </w:p>
    <w:p>
      <w:pPr>
        <w:pStyle w:val="FirstParagraph"/>
      </w:pPr>
      <w:r>
        <w:t xml:space="preserve">The framework is developed and evaluated on four model classes:</w:t>
      </w:r>
    </w:p>
    <w:p>
      <w:pPr>
        <w:pStyle w:val="Compact"/>
        <w:numPr>
          <w:ilvl w:val="0"/>
          <w:numId w:val="1001"/>
        </w:numPr>
      </w:pPr>
      <w:r>
        <w:rPr>
          <w:b/>
          <w:bCs/>
        </w:rPr>
        <w:t xml:space="preserve">Short-term electricity load forecasting</w:t>
      </w:r>
      <w:r>
        <w:t xml:space="preserve"> </w:t>
      </w:r>
      <w:r>
        <w:t xml:space="preserve">(ENTSO-E dataset):</w:t>
      </w:r>
      <w:r>
        <w:t xml:space="preserve"> </w:t>
      </w:r>
      <w:r>
        <w:t xml:space="preserve">a machine learning point forecast of next-day quarter-hourly electricity</w:t>
      </w:r>
      <w:r>
        <w:t xml:space="preserve"> </w:t>
      </w:r>
      <w:r>
        <w:t xml:space="preserve">consumption for the German power system, representative of operational</w:t>
      </w:r>
      <w:r>
        <w:t xml:space="preserve"> </w:t>
      </w:r>
      <w:r>
        <w:t xml:space="preserve">short-term energy forecasting.</w:t>
      </w:r>
    </w:p>
    <w:p>
      <w:pPr>
        <w:pStyle w:val="Compact"/>
        <w:numPr>
          <w:ilvl w:val="0"/>
          <w:numId w:val="1001"/>
        </w:numPr>
      </w:pPr>
      <w:r>
        <w:rPr>
          <w:b/>
          <w:bCs/>
        </w:rPr>
        <w:t xml:space="preserve">Long-term PV generation simulation</w:t>
      </w:r>
      <w:r>
        <w:t xml:space="preserve"> </w:t>
      </w:r>
      <w:r>
        <w:t xml:space="preserve">(PV solar dataset): a</w:t>
      </w:r>
      <w:r>
        <w:t xml:space="preserve"> </w:t>
      </w:r>
      <w:r>
        <w:t xml:space="preserve">physical-parametric model converting irradiance forecasts to expected</w:t>
      </w:r>
      <w:r>
        <w:t xml:space="preserve"> </w:t>
      </w:r>
      <w:r>
        <w:t xml:space="preserve">power output via a panel response function, representative of long-horizon</w:t>
      </w:r>
      <w:r>
        <w:t xml:space="preserve"> </w:t>
      </w:r>
      <w:r>
        <w:t xml:space="preserve">renewable capacity planning models.</w:t>
      </w:r>
    </w:p>
    <w:p>
      <w:pPr>
        <w:pStyle w:val="Compact"/>
        <w:numPr>
          <w:ilvl w:val="0"/>
          <w:numId w:val="1001"/>
        </w:numPr>
      </w:pPr>
      <w:r>
        <w:rPr>
          <w:b/>
          <w:bCs/>
        </w:rPr>
        <w:t xml:space="preserve">Long-term wind generation simulation</w:t>
      </w:r>
      <w:r>
        <w:t xml:space="preserve"> </w:t>
      </w:r>
      <w:r>
        <w:t xml:space="preserve">(wind dataset): structurally</w:t>
      </w:r>
      <w:r>
        <w:t xml:space="preserve"> </w:t>
      </w:r>
      <w:r>
        <w:t xml:space="preserve">analogous to PV, deriving expected power output from wind speed forecasts</w:t>
      </w:r>
      <w:r>
        <w:t xml:space="preserve"> </w:t>
      </w:r>
      <w:r>
        <w:t xml:space="preserve">via a turbine power curve with site-specific technical parameters.</w:t>
      </w:r>
    </w:p>
    <w:p>
      <w:pPr>
        <w:pStyle w:val="Compact"/>
        <w:numPr>
          <w:ilvl w:val="0"/>
          <w:numId w:val="1001"/>
        </w:numPr>
      </w:pPr>
      <w:r>
        <w:rPr>
          <w:b/>
          <w:bCs/>
        </w:rPr>
        <w:t xml:space="preserve">Synthetic Monte Carlo simulation</w:t>
      </w:r>
      <w:r>
        <w:t xml:space="preserve"> </w:t>
      </w:r>
      <w:r>
        <w:t xml:space="preserve">(synthetic dataset): a controlled</w:t>
      </w:r>
      <w:r>
        <w:t xml:space="preserve"> </w:t>
      </w:r>
      <w:r>
        <w:t xml:space="preserve">positive-control case in which the model DGP is fully known, enabling</w:t>
      </w:r>
      <w:r>
        <w:t xml:space="preserve"> </w:t>
      </w:r>
      <w:r>
        <w:t xml:space="preserve">the framework’s discriminative validity to be tested against three</w:t>
      </w:r>
      <w:r>
        <w:t xml:space="preserve"> </w:t>
      </w:r>
      <w:r>
        <w:t xml:space="preserve">deliberate misspecification scenarios.</w:t>
      </w:r>
    </w:p>
    <w:p>
      <w:pPr>
        <w:pStyle w:val="FirstParagraph"/>
      </w:pPr>
      <w:r>
        <w:t xml:space="preserve">For the first three model classes — which provide only point forecasts —</w:t>
      </w:r>
      <w:r>
        <w:t xml:space="preserve"> </w:t>
      </w:r>
      <w:r>
        <w:t xml:space="preserve">the framework includes a distribution reconstruction layer that constructs</w:t>
      </w:r>
      <w:r>
        <w:t xml:space="preserve"> </w:t>
      </w:r>
      <w:r>
        <w:t xml:space="preserve">evaluable predictive intervals from historical residuals using rolling</w:t>
      </w:r>
      <w:r>
        <w:t xml:space="preserve"> </w:t>
      </w:r>
      <w:r>
        <w:t xml:space="preserve">empirical quantile methods with time-of-day conditioning. This</w:t>
      </w:r>
      <w:r>
        <w:t xml:space="preserve"> </w:t>
      </w:r>
      <w:r>
        <w:t xml:space="preserve">reconstruction is a prerequisite for applying PIT-based diagnostics to</w:t>
      </w:r>
      <w:r>
        <w:t xml:space="preserve"> </w:t>
      </w:r>
      <w:r>
        <w:t xml:space="preserve">model classes that do not natively produce distributional output, and</w:t>
      </w:r>
      <w:r>
        <w:t xml:space="preserve"> </w:t>
      </w:r>
      <w:r>
        <w:t xml:space="preserve">follows the approach of Goude and Nédellec (2015).</w:t>
      </w:r>
    </w:p>
    <w:p>
      <w:pPr>
        <w:pStyle w:val="BodyText"/>
      </w:pPr>
      <w:r>
        <w:t xml:space="preserve">The primary contributions of this thesis are:</w:t>
      </w:r>
    </w:p>
    <w:p>
      <w:pPr>
        <w:numPr>
          <w:ilvl w:val="0"/>
          <w:numId w:val="1002"/>
        </w:numPr>
      </w:pPr>
      <w:r>
        <w:t xml:space="preserve">A</w:t>
      </w:r>
      <w:r>
        <w:t xml:space="preserve"> </w:t>
      </w:r>
      <w:r>
        <w:rPr>
          <w:b/>
          <w:bCs/>
        </w:rPr>
        <w:t xml:space="preserve">modular, reproducible validation pipeline</w:t>
      </w:r>
      <w:r>
        <w:t xml:space="preserve"> </w:t>
      </w:r>
      <w:r>
        <w:t xml:space="preserve">that evaluates</w:t>
      </w:r>
      <w:r>
        <w:t xml:space="preserve"> </w:t>
      </w:r>
      <w:r>
        <w:t xml:space="preserve">heterogeneous energy market model classes under a unified probabilistic</w:t>
      </w:r>
      <w:r>
        <w:t xml:space="preserve"> </w:t>
      </w:r>
      <w:r>
        <w:t xml:space="preserve">standard, implemented as an open-source Python framework.</w:t>
      </w:r>
    </w:p>
    <w:p>
      <w:pPr>
        <w:numPr>
          <w:ilvl w:val="0"/>
          <w:numId w:val="1002"/>
        </w:numPr>
      </w:pPr>
      <w:r>
        <w:t xml:space="preserve">A</w:t>
      </w:r>
      <w:r>
        <w:t xml:space="preserve"> </w:t>
      </w:r>
      <w:r>
        <w:rPr>
          <w:b/>
          <w:bCs/>
        </w:rPr>
        <w:t xml:space="preserve">multi-layer diagnostic architecture</w:t>
      </w:r>
      <w:r>
        <w:t xml:space="preserve"> </w:t>
      </w:r>
      <w:r>
        <w:t xml:space="preserve">that separates interval</w:t>
      </w:r>
      <w:r>
        <w:t xml:space="preserve"> </w:t>
      </w:r>
      <w:r>
        <w:t xml:space="preserve">coverage (Anfuso traffic-light), distributional shape (PIT uniformity),</w:t>
      </w:r>
      <w:r>
        <w:t xml:space="preserve"> </w:t>
      </w:r>
      <w:r>
        <w:t xml:space="preserve">and temporal dependence (Ljung–Box independence), demonstrating that</w:t>
      </w:r>
      <w:r>
        <w:t xml:space="preserve"> </w:t>
      </w:r>
      <w:r>
        <w:t xml:space="preserve">these layers are not redundant — a model can pass one layer while</w:t>
      </w:r>
      <w:r>
        <w:t xml:space="preserve"> </w:t>
      </w:r>
      <w:r>
        <w:t xml:space="preserve">failing another.</w:t>
      </w:r>
    </w:p>
    <w:p>
      <w:pPr>
        <w:numPr>
          <w:ilvl w:val="0"/>
          <w:numId w:val="1002"/>
        </w:numPr>
      </w:pPr>
      <w:r>
        <w:t xml:space="preserve">An</w:t>
      </w:r>
      <w:r>
        <w:t xml:space="preserve"> </w:t>
      </w:r>
      <w:r>
        <w:rPr>
          <w:b/>
          <w:bCs/>
        </w:rPr>
        <w:t xml:space="preserve">empirical cross-dataset comparison</w:t>
      </w:r>
      <w:r>
        <w:t xml:space="preserve"> </w:t>
      </w:r>
      <w:r>
        <w:t xml:space="preserve">revealing structurally</w:t>
      </w:r>
      <w:r>
        <w:t xml:space="preserve"> </w:t>
      </w:r>
      <w:r>
        <w:t xml:space="preserve">distinct failure modes: bilateral miscalibration in the short-term</w:t>
      </w:r>
      <w:r>
        <w:t xml:space="preserve"> </w:t>
      </w:r>
      <w:r>
        <w:t xml:space="preserve">electricity load model, asymmetric lower-tail failure in wind generation,</w:t>
      </w:r>
      <w:r>
        <w:t xml:space="preserve"> </w:t>
      </w:r>
      <w:r>
        <w:t xml:space="preserve">distributional failure without interval failure in PV solar, and</w:t>
      </w:r>
      <w:r>
        <w:t xml:space="preserve"> </w:t>
      </w:r>
      <w:r>
        <w:t xml:space="preserve">full-pass in the synthetic positive control.</w:t>
      </w:r>
    </w:p>
    <w:p>
      <w:pPr>
        <w:numPr>
          <w:ilvl w:val="0"/>
          <w:numId w:val="1002"/>
        </w:numPr>
      </w:pPr>
      <w:r>
        <w:t xml:space="preserve">A</w:t>
      </w:r>
      <w:r>
        <w:t xml:space="preserve"> </w:t>
      </w:r>
      <w:r>
        <w:rPr>
          <w:b/>
          <w:bCs/>
        </w:rPr>
        <w:t xml:space="preserve">conformal augmentation feasibility study</w:t>
      </w:r>
      <w:r>
        <w:t xml:space="preserve"> </w:t>
      </w:r>
      <w:r>
        <w:t xml:space="preserve">demonstrating that base</w:t>
      </w:r>
      <w:r>
        <w:t xml:space="preserve"> </w:t>
      </w:r>
      <w:r>
        <w:t xml:space="preserve">interval + conformal expansion restores near-nominal coverage (89.9%</w:t>
      </w:r>
      <w:r>
        <w:t xml:space="preserve"> </w:t>
      </w:r>
      <w:r>
        <w:t xml:space="preserve">at α = 0.1) on the ENTSO-E series under temporal distribution shift,</w:t>
      </w:r>
      <w:r>
        <w:t xml:space="preserve"> </w:t>
      </w:r>
      <w:r>
        <w:t xml:space="preserve">with a 12% interval width increase — the best calibration–sharpness</w:t>
      </w:r>
      <w:r>
        <w:t xml:space="preserve"> </w:t>
      </w:r>
      <w:r>
        <w:t xml:space="preserve">trade-off among five evaluated conformal variants.</w:t>
      </w:r>
    </w:p>
    <w:p>
      <w:pPr>
        <w:numPr>
          <w:ilvl w:val="0"/>
          <w:numId w:val="1002"/>
        </w:numPr>
      </w:pPr>
      <w:r>
        <w:t xml:space="preserve">A</w:t>
      </w:r>
      <w:r>
        <w:t xml:space="preserve"> </w:t>
      </w:r>
      <w:r>
        <w:rPr>
          <w:b/>
          <w:bCs/>
        </w:rPr>
        <w:t xml:space="preserve">misspecification detection analysis</w:t>
      </w:r>
      <w:r>
        <w:t xml:space="preserve"> </w:t>
      </w:r>
      <w:r>
        <w:t xml:space="preserve">showing that the framework</w:t>
      </w:r>
      <w:r>
        <w:t xml:space="preserve"> </w:t>
      </w:r>
      <w:r>
        <w:t xml:space="preserve">correctly classifies variance inflation and mean bias as RED while</w:t>
      </w:r>
      <w:r>
        <w:t xml:space="preserve"> </w:t>
      </w:r>
      <w:r>
        <w:t xml:space="preserve">exposing a power boundary: heavy-tail misspecification at t(df=3) is</w:t>
      </w:r>
      <w:r>
        <w:t xml:space="preserve"> </w:t>
      </w:r>
      <w:r>
        <w:t xml:space="preserve">not detected by interval backtesting at n = 365, with direct practical</w:t>
      </w:r>
      <w:r>
        <w:t xml:space="preserve"> </w:t>
      </w:r>
      <w:r>
        <w:t xml:space="preserve">implications for minimum evaluation horizon requirements.</w:t>
      </w:r>
    </w:p>
    <w:p>
      <w:pPr>
        <w:numPr>
          <w:ilvl w:val="0"/>
          <w:numId w:val="1002"/>
        </w:numPr>
      </w:pPr>
      <w:r>
        <w:t xml:space="preserve">A</w:t>
      </w:r>
      <w:r>
        <w:t xml:space="preserve"> </w:t>
      </w:r>
      <w:r>
        <w:rPr>
          <w:b/>
          <w:bCs/>
        </w:rPr>
        <w:t xml:space="preserve">governance framework</w:t>
      </w:r>
      <w:r>
        <w:t xml:space="preserve"> </w:t>
      </w:r>
      <w:r>
        <w:t xml:space="preserve">aggregating diagnostic signals into</w:t>
      </w:r>
      <w:r>
        <w:t xml:space="preserve"> </w:t>
      </w:r>
      <w:r>
        <w:t xml:space="preserve">structured traffic-light classifications, with explicit regulatory</w:t>
      </w:r>
      <w:r>
        <w:t xml:space="preserve"> </w:t>
      </w:r>
      <w:r>
        <w:t xml:space="preserve">grounding in the Basel backtesting literature and the REMIT context,</w:t>
      </w:r>
      <w:r>
        <w:t xml:space="preserve"> </w:t>
      </w:r>
      <w:r>
        <w:t xml:space="preserve">and a multivariate extension evaluating joint PIT residual dependence</w:t>
      </w:r>
      <w:r>
        <w:t xml:space="preserve"> </w:t>
      </w:r>
      <w:r>
        <w:t xml:space="preserve">across correlated renewable assets.</w:t>
      </w:r>
    </w:p>
    <w:p>
      <w:pPr>
        <w:numPr>
          <w:ilvl w:val="0"/>
          <w:numId w:val="1002"/>
        </w:numPr>
      </w:pPr>
      <w:r>
        <w:t xml:space="preserve">A</w:t>
      </w:r>
      <w:r>
        <w:t xml:space="preserve"> </w:t>
      </w:r>
      <w:r>
        <w:rPr>
          <w:b/>
          <w:bCs/>
        </w:rPr>
        <w:t xml:space="preserve">production-grade validation architecture</w:t>
      </w:r>
      <w:r>
        <w:t xml:space="preserve"> </w:t>
      </w:r>
      <w:r>
        <w:t xml:space="preserve">implementing eleven</w:t>
      </w:r>
      <w:r>
        <w:t xml:space="preserve"> </w:t>
      </w:r>
      <w:r>
        <w:t xml:space="preserve">software components — DataContract, three model-class adapters</w:t>
      </w:r>
      <w:r>
        <w:t xml:space="preserve"> </w:t>
      </w:r>
      <w:r>
        <w:t xml:space="preserve">(Adapter_PointForecast, Adapter_SimulationJoint, Adapter_Quantiles),</w:t>
      </w:r>
      <w:r>
        <w:t xml:space="preserve"> </w:t>
      </w:r>
      <w:r>
        <w:t xml:space="preserve">a distribution builder (BuildDist_FromResiduals), a diagnostics gateway</w:t>
      </w:r>
      <w:r>
        <w:t xml:space="preserve"> </w:t>
      </w:r>
      <w:r>
        <w:t xml:space="preserve">(Diagnostics_Input), two scoring components (Score_Pinball,</w:t>
      </w:r>
      <w:r>
        <w:t xml:space="preserve"> </w:t>
      </w:r>
      <w:r>
        <w:t xml:space="preserve">Interval_Sharpness), a regime tagger (RegimeTagger), a threshold</w:t>
      </w:r>
      <w:r>
        <w:t xml:space="preserve"> </w:t>
      </w:r>
      <w:r>
        <w:t xml:space="preserve">calibrator (ThresholdCalibrator), and a decision engine (DecisionEngine)</w:t>
      </w:r>
      <w:r>
        <w:t xml:space="preserve"> </w:t>
      </w:r>
      <w:r>
        <w:t xml:space="preserve">— together comprising 451 passing unit and integration tests. The</w:t>
      </w:r>
      <w:r>
        <w:t xml:space="preserve"> </w:t>
      </w:r>
      <w:r>
        <w:t xml:space="preserve">architecture enforces strict input validation via a canonical data</w:t>
      </w:r>
      <w:r>
        <w:t xml:space="preserve"> </w:t>
      </w:r>
      <w:r>
        <w:t xml:space="preserve">contract, routes heterogeneous model types through appropriate</w:t>
      </w:r>
      <w:r>
        <w:t xml:space="preserve"> </w:t>
      </w:r>
      <w:r>
        <w:t xml:space="preserve">transformations, and produces structured governance decisions with full</w:t>
      </w:r>
      <w:r>
        <w:t xml:space="preserve"> </w:t>
      </w:r>
      <w:r>
        <w:t xml:space="preserve">provenance audit trails.</w:t>
      </w:r>
    </w:p>
    <w:p>
      <w:pPr>
        <w:numPr>
          <w:ilvl w:val="0"/>
          <w:numId w:val="1002"/>
        </w:numPr>
      </w:pPr>
      <w:r>
        <w:t xml:space="preserve">An</w:t>
      </w:r>
      <w:r>
        <w:t xml:space="preserve"> </w:t>
      </w:r>
      <w:r>
        <w:rPr>
          <w:b/>
          <w:bCs/>
        </w:rPr>
        <w:t xml:space="preserve">AI-powered narrative generation layer</w:t>
      </w:r>
      <w:r>
        <w:t xml:space="preserve"> </w:t>
      </w:r>
      <w:r>
        <w:t xml:space="preserve">(NarrativeGenerator) that</w:t>
      </w:r>
      <w:r>
        <w:t xml:space="preserve"> </w:t>
      </w:r>
      <w:r>
        <w:t xml:space="preserve">converts structured governance decisions into both technical summaries</w:t>
      </w:r>
      <w:r>
        <w:t xml:space="preserve"> </w:t>
      </w:r>
      <w:r>
        <w:t xml:space="preserve">(for quantitative risk officers) and plain-language explanations (for</w:t>
      </w:r>
      <w:r>
        <w:t xml:space="preserve"> </w:t>
      </w:r>
      <w:r>
        <w:t xml:space="preserve">non-technical stakeholders) via the Anthropic API, and a</w:t>
      </w:r>
      <w:r>
        <w:t xml:space="preserve"> </w:t>
      </w:r>
      <w:r>
        <w:rPr>
          <w:b/>
          <w:bCs/>
        </w:rPr>
        <w:t xml:space="preserve">Streamlit</w:t>
      </w:r>
      <w:r>
        <w:rPr>
          <w:b/>
          <w:bCs/>
        </w:rPr>
        <w:t xml:space="preserve"> </w:t>
      </w:r>
      <w:r>
        <w:rPr>
          <w:b/>
          <w:bCs/>
        </w:rPr>
        <w:t xml:space="preserve">web application</w:t>
      </w:r>
      <w:r>
        <w:t xml:space="preserve"> </w:t>
      </w:r>
      <w:r>
        <w:t xml:space="preserve">deployed at</w:t>
      </w:r>
      <w:r>
        <w:t xml:space="preserve"> </w:t>
      </w:r>
      <w:r>
        <w:rPr>
          <w:rStyle w:val="VerbatimChar"/>
        </w:rPr>
        <w:t xml:space="preserve">unified-probabilistic-validation.streamlit.app</w:t>
      </w:r>
      <w:r>
        <w:t xml:space="preserve"> </w:t>
      </w:r>
      <w:r>
        <w:t xml:space="preserve">that exposes the full</w:t>
      </w:r>
      <w:r>
        <w:t xml:space="preserve"> </w:t>
      </w:r>
      <w:r>
        <w:t xml:space="preserve">validation pipeline to non-Python users via CSV upload, enabling</w:t>
      </w:r>
      <w:r>
        <w:t xml:space="preserve"> </w:t>
      </w:r>
      <w:r>
        <w:t xml:space="preserve">governance classification without local installation.</w:t>
      </w:r>
    </w:p>
    <w:p>
      <w:pPr>
        <w:pStyle w:val="FirstParagraph"/>
      </w:pPr>
      <w:r>
        <w:t xml:space="preserve">The framework does not develop new forecasting algorithms, optimise</w:t>
      </w:r>
      <w:r>
        <w:t xml:space="preserve"> </w:t>
      </w:r>
      <w:r>
        <w:t xml:space="preserve">trading strategies, or guarantee conditional coverage under arbitrary</w:t>
      </w:r>
      <w:r>
        <w:t xml:space="preserve"> </w:t>
      </w:r>
      <w:r>
        <w:t xml:space="preserve">covariate partitions. Its scope is confined to probabilistic validation,</w:t>
      </w:r>
      <w:r>
        <w:t xml:space="preserve"> </w:t>
      </w:r>
      <w:r>
        <w:t xml:space="preserve">reliability diagnostics, and governance translation of model outputs.</w:t>
      </w:r>
    </w:p>
    <w:p>
      <w:r>
        <w:pict>
          <v:rect style="width:0;height:1.5pt" o:hralign="center" o:hrstd="t" o:hr="t"/>
        </w:pict>
      </w:r>
    </w:p>
    <w:bookmarkEnd w:id="14"/>
    <w:bookmarkStart w:id="15" w:name="industry-context"/>
    <w:p>
      <w:pPr>
        <w:pStyle w:val="Heading2"/>
      </w:pPr>
      <w:r>
        <w:t xml:space="preserve">1.4 Industry Context</w:t>
      </w:r>
    </w:p>
    <w:p>
      <w:pPr>
        <w:pStyle w:val="FirstParagraph"/>
      </w:pPr>
      <w:r>
        <w:t xml:space="preserve">This thesis was conducted in collaboration with Energy Quant Solutions</w:t>
      </w:r>
      <w:r>
        <w:t xml:space="preserve"> </w:t>
      </w:r>
      <w:r>
        <w:t xml:space="preserve">Sweden AB (EnBW group). The industry partnership shaped the applied scope</w:t>
      </w:r>
      <w:r>
        <w:t xml:space="preserve"> </w:t>
      </w:r>
      <w:r>
        <w:t xml:space="preserve">of the framework — in particular the selection of model classes, the</w:t>
      </w:r>
      <w:r>
        <w:t xml:space="preserve"> </w:t>
      </w:r>
      <w:r>
        <w:t xml:space="preserve">treatment of y_hat as a machine learning or physical-parametric point</w:t>
      </w:r>
      <w:r>
        <w:t xml:space="preserve"> </w:t>
      </w:r>
      <w:r>
        <w:t xml:space="preserve">forecast, the governance framing of the traffic-light classification, and</w:t>
      </w:r>
      <w:r>
        <w:t xml:space="preserve"> </w:t>
      </w:r>
      <w:r>
        <w:t xml:space="preserve">the practical interpretation of RED classifications in an institutional</w:t>
      </w:r>
      <w:r>
        <w:t xml:space="preserve"> </w:t>
      </w:r>
      <w:r>
        <w:t xml:space="preserve">model risk context. Research questions and methodology were developed</w:t>
      </w:r>
      <w:r>
        <w:t xml:space="preserve"> </w:t>
      </w:r>
      <w:r>
        <w:t xml:space="preserve">jointly with the academic supervisor and the industry partner.</w:t>
      </w:r>
    </w:p>
    <w:p>
      <w:r>
        <w:pict>
          <v:rect style="width:0;height:1.5pt" o:hralign="center" o:hrstd="t" o:hr="t"/>
        </w:pict>
      </w:r>
    </w:p>
    <w:bookmarkEnd w:id="15"/>
    <w:bookmarkStart w:id="16" w:name="literature-positioning"/>
    <w:p>
      <w:pPr>
        <w:pStyle w:val="Heading2"/>
      </w:pPr>
      <w:r>
        <w:t xml:space="preserve">1.5 Literature Positioning</w:t>
      </w:r>
    </w:p>
    <w:p>
      <w:pPr>
        <w:pStyle w:val="FirstParagraph"/>
      </w:pPr>
      <w:r>
        <w:t xml:space="preserve">This thesis sits at the confluence of three research streams.</w:t>
      </w:r>
    </w:p>
    <w:p>
      <w:pPr>
        <w:pStyle w:val="BodyText"/>
      </w:pPr>
      <w:r>
        <w:t xml:space="preserve">The first is</w:t>
      </w:r>
      <w:r>
        <w:t xml:space="preserve"> </w:t>
      </w:r>
      <w:r>
        <w:rPr>
          <w:b/>
          <w:bCs/>
        </w:rPr>
        <w:t xml:space="preserve">density forecast evaluation and calibration theory</w:t>
      </w:r>
      <w:r>
        <w:t xml:space="preserve">. Since</w:t>
      </w:r>
      <w:r>
        <w:t xml:space="preserve"> </w:t>
      </w:r>
      <w:r>
        <w:t xml:space="preserve">Dawid (1985) formalised calibration as an empirical notion of probability,</w:t>
      </w:r>
      <w:r>
        <w:t xml:space="preserve"> </w:t>
      </w:r>
      <w:r>
        <w:t xml:space="preserve">and Diebold, Gunther, and Tay (1998) introduced PIT as a practical</w:t>
      </w:r>
      <w:r>
        <w:t xml:space="preserve"> </w:t>
      </w:r>
      <w:r>
        <w:t xml:space="preserve">diagnostic instrument, the field has developed strictly proper scoring</w:t>
      </w:r>
      <w:r>
        <w:t xml:space="preserve"> </w:t>
      </w:r>
      <w:r>
        <w:t xml:space="preserve">rules (Gneiting and Raftery, 2007) and the principle of maximising</w:t>
      </w:r>
      <w:r>
        <w:t xml:space="preserve"> </w:t>
      </w:r>
      <w:r>
        <w:t xml:space="preserve">sharpness subject to calibration (Gneiting and Katzfuss, 2014). More</w:t>
      </w:r>
      <w:r>
        <w:t xml:space="preserve"> </w:t>
      </w:r>
      <w:r>
        <w:t xml:space="preserve">recently, conformal prediction provides distribution-free finite-sample</w:t>
      </w:r>
      <w:r>
        <w:t xml:space="preserve"> </w:t>
      </w:r>
      <w:r>
        <w:t xml:space="preserve">coverage guarantees (Vovk, Gammerman and Shafer, 2005; Tibshirani et al., 2019), with adaptive online</w:t>
      </w:r>
      <w:r>
        <w:t xml:space="preserve"> </w:t>
      </w:r>
      <w:r>
        <w:t xml:space="preserve">variants for non-stationary environments (Angelopoulos et al., 2024).</w:t>
      </w:r>
    </w:p>
    <w:p>
      <w:pPr>
        <w:pStyle w:val="BodyText"/>
      </w:pPr>
      <w:r>
        <w:t xml:space="preserve">The second is</w:t>
      </w:r>
      <w:r>
        <w:t xml:space="preserve"> </w:t>
      </w:r>
      <w:r>
        <w:rPr>
          <w:b/>
          <w:bCs/>
        </w:rPr>
        <w:t xml:space="preserve">probabilistic forecasting in energy systems</w:t>
      </w:r>
      <w:r>
        <w:t xml:space="preserve">. Industrial</w:t>
      </w:r>
      <w:r>
        <w:t xml:space="preserve"> </w:t>
      </w:r>
      <w:r>
        <w:t xml:space="preserve">practice has shifted from deterministic to probabilistic modelling (Goude</w:t>
      </w:r>
      <w:r>
        <w:t xml:space="preserve"> </w:t>
      </w:r>
      <w:r>
        <w:t xml:space="preserve">and Nédellec, 2015), and probabilistic load forecasting has matured into</w:t>
      </w:r>
      <w:r>
        <w:t xml:space="preserve"> </w:t>
      </w:r>
      <w:r>
        <w:t xml:space="preserve">a standard operational tool (Hong and Fan, 2016). Large-scale competitions</w:t>
      </w:r>
      <w:r>
        <w:t xml:space="preserve"> </w:t>
      </w:r>
      <w:r>
        <w:t xml:space="preserve">such as GEFCom have underscored quantile-based evaluation (Hong et al.,</w:t>
      </w:r>
      <w:r>
        <w:t xml:space="preserve"> </w:t>
      </w:r>
      <w:r>
        <w:t xml:space="preserve">2016), while the broader electricity price forecasting literature has</w:t>
      </w:r>
      <w:r>
        <w:t xml:space="preserve"> </w:t>
      </w:r>
      <w:r>
        <w:t xml:space="preserve">documented the benefits of distributional over point forecasts (Weron,</w:t>
      </w:r>
      <w:r>
        <w:t xml:space="preserve"> </w:t>
      </w:r>
      <w:r>
        <w:t xml:space="preserve">2014; Nowotarski and Weron, 2018). Conformal prediction has recently been</w:t>
      </w:r>
      <w:r>
        <w:t xml:space="preserve"> </w:t>
      </w:r>
      <w:r>
        <w:t xml:space="preserve">applied directly to electricity price forecasting, demonstrating reliable</w:t>
      </w:r>
      <w:r>
        <w:t xml:space="preserve"> </w:t>
      </w:r>
      <w:r>
        <w:t xml:space="preserve">interval coverage under market regime shifts (Kath and Ziel, 2021;</w:t>
      </w:r>
      <w:r>
        <w:t xml:space="preserve"> </w:t>
      </w:r>
      <w:r>
        <w:t xml:space="preserve">O’Connor et al., 2025). Evaluation of probabilistic demand forecasts using</w:t>
      </w:r>
      <w:r>
        <w:t xml:space="preserve"> </w:t>
      </w:r>
      <w:r>
        <w:t xml:space="preserve">PIT, CRPS, and pinball loss in industry settings confirms the multi-metric</w:t>
      </w:r>
      <w:r>
        <w:t xml:space="preserve"> </w:t>
      </w:r>
      <w:r>
        <w:t xml:space="preserve">approach adopted here (Chen et al., 2024). Recent work further documents</w:t>
      </w:r>
      <w:r>
        <w:t xml:space="preserve"> </w:t>
      </w:r>
      <w:r>
        <w:t xml:space="preserve">benefits of integrating probabilistic inputs into electricity price</w:t>
      </w:r>
      <w:r>
        <w:t xml:space="preserve"> </w:t>
      </w:r>
      <w:r>
        <w:t xml:space="preserve">forecasting (Uniejewski and Ziel, 2025). However, systematic multi-class</w:t>
      </w:r>
      <w:r>
        <w:t xml:space="preserve"> </w:t>
      </w:r>
      <w:r>
        <w:t xml:space="preserve">evaluation integrating calibration theory with governance classification</w:t>
      </w:r>
      <w:r>
        <w:t xml:space="preserve"> </w:t>
      </w:r>
      <w:r>
        <w:t xml:space="preserve">remains limited.</w:t>
      </w:r>
    </w:p>
    <w:p>
      <w:pPr>
        <w:pStyle w:val="BodyText"/>
      </w:pPr>
      <w:r>
        <w:t xml:space="preserve">The third is</w:t>
      </w:r>
      <w:r>
        <w:t xml:space="preserve"> </w:t>
      </w:r>
      <w:r>
        <w:rPr>
          <w:b/>
          <w:bCs/>
        </w:rPr>
        <w:t xml:space="preserve">financial backtesting and governance</w:t>
      </w:r>
      <w:r>
        <w:t xml:space="preserve">. From Kupiec (1995) and Christoffersen (1998) through Berkowitz (2001),</w:t>
      </w:r>
      <w:r>
        <w:t xml:space="preserve"> </w:t>
      </w:r>
      <w:r>
        <w:t xml:space="preserve">statistical backtesting procedures constitute the backbone of Basel</w:t>
      </w:r>
      <w:r>
        <w:t xml:space="preserve"> </w:t>
      </w:r>
      <w:r>
        <w:t xml:space="preserve">regulatory traffic-light systems (Basel Committee, 1996; 2010). The</w:t>
      </w:r>
      <w:r>
        <w:t xml:space="preserve"> </w:t>
      </w:r>
      <w:r>
        <w:t xml:space="preserve">quantitative risk management literature has formalised VaR backtesting</w:t>
      </w:r>
      <w:r>
        <w:t xml:space="preserve"> </w:t>
      </w:r>
      <w:r>
        <w:t xml:space="preserve">as a governance mechanism (McNeil, Frey and Embrechts, 2005) extended to counterparty credit risk by</w:t>
      </w:r>
      <w:r>
        <w:t xml:space="preserve"> </w:t>
      </w:r>
      <w:r>
        <w:t xml:space="preserve">Ruiz (2012) and Kenyon and Stamm (2012). The translation of these</w:t>
      </w:r>
      <w:r>
        <w:t xml:space="preserve"> </w:t>
      </w:r>
      <w:r>
        <w:t xml:space="preserve">governance-oriented paradigms into energy analytics remains comparatively</w:t>
      </w:r>
      <w:r>
        <w:t xml:space="preserve"> </w:t>
      </w:r>
      <w:r>
        <w:t xml:space="preserve">limited.</w:t>
      </w:r>
    </w:p>
    <w:p>
      <w:pPr>
        <w:pStyle w:val="BodyText"/>
      </w:pPr>
      <w:r>
        <w:t xml:space="preserve">The research frontier lies in the systematic integration of all three</w:t>
      </w:r>
      <w:r>
        <w:t xml:space="preserve"> </w:t>
      </w:r>
      <w:r>
        <w:t xml:space="preserve">streams — calibration theory, energy forecasting evaluation, and</w:t>
      </w:r>
      <w:r>
        <w:t xml:space="preserve"> </w:t>
      </w:r>
      <w:r>
        <w:t xml:space="preserve">financial-style governance — into a coherent reliability architecture</w:t>
      </w:r>
      <w:r>
        <w:t xml:space="preserve"> </w:t>
      </w:r>
      <w:r>
        <w:t xml:space="preserve">operating across diverse model classes.</w:t>
      </w:r>
    </w:p>
    <w:p>
      <w:r>
        <w:pict>
          <v:rect style="width:0;height:1.5pt" o:hralign="center" o:hrstd="t" o:hr="t"/>
        </w:pict>
      </w:r>
    </w:p>
    <w:bookmarkEnd w:id="16"/>
    <w:bookmarkStart w:id="17" w:name="thesis-structure"/>
    <w:p>
      <w:pPr>
        <w:pStyle w:val="Heading2"/>
      </w:pPr>
      <w:r>
        <w:t xml:space="preserve">1.6 Thesis Structure</w:t>
      </w:r>
    </w:p>
    <w:p>
      <w:pPr>
        <w:pStyle w:val="FirstParagraph"/>
      </w:pPr>
      <w:r>
        <w:rPr>
          <w:b/>
          <w:bCs/>
        </w:rPr>
        <w:t xml:space="preserve">Chapter 2 — Methodology</w:t>
      </w:r>
      <w:r>
        <w:t xml:space="preserve"> </w:t>
      </w:r>
      <w:r>
        <w:t xml:space="preserve">describes the unified validation architecture:</w:t>
      </w:r>
      <w:r>
        <w:t xml:space="preserve"> </w:t>
      </w:r>
      <w:r>
        <w:t xml:space="preserve">distribution reconstruction, diagnostic evaluation, conformal augmentation,</w:t>
      </w:r>
      <w:r>
        <w:t xml:space="preserve"> </w:t>
      </w:r>
      <w:r>
        <w:t xml:space="preserve">governance classification, the multivariate extension, and the production</w:t>
      </w:r>
      <w:r>
        <w:t xml:space="preserve"> </w:t>
      </w:r>
      <w:r>
        <w:t xml:space="preserve">integration layer comprising the data contract, model-class adapters,</w:t>
      </w:r>
      <w:r>
        <w:t xml:space="preserve"> </w:t>
      </w:r>
      <w:r>
        <w:t xml:space="preserve">distribution builder, diagnostics gateway, scoring components, regime</w:t>
      </w:r>
      <w:r>
        <w:t xml:space="preserve"> </w:t>
      </w:r>
      <w:r>
        <w:t xml:space="preserve">tagger, threshold calibrator, decision engine, and deployment interfaces.</w:t>
      </w:r>
    </w:p>
    <w:p>
      <w:pPr>
        <w:pStyle w:val="BodyText"/>
      </w:pPr>
      <w:r>
        <w:rPr>
          <w:b/>
          <w:bCs/>
        </w:rPr>
        <w:t xml:space="preserve">Chapter 3 — Results</w:t>
      </w:r>
      <w:r>
        <w:t xml:space="preserve"> </w:t>
      </w:r>
      <w:r>
        <w:t xml:space="preserve">reports empirical findings across all four model</w:t>
      </w:r>
      <w:r>
        <w:t xml:space="preserve"> </w:t>
      </w:r>
      <w:r>
        <w:t xml:space="preserve">classes and misspecification scenarios, structured as a cross-dataset</w:t>
      </w:r>
      <w:r>
        <w:t xml:space="preserve"> </w:t>
      </w:r>
      <w:r>
        <w:t xml:space="preserve">comparison with full diagnostic tables.</w:t>
      </w:r>
    </w:p>
    <w:p>
      <w:pPr>
        <w:pStyle w:val="BodyText"/>
      </w:pPr>
      <w:r>
        <w:rPr>
          <w:b/>
          <w:bCs/>
        </w:rPr>
        <w:t xml:space="preserve">Chapter 4 — Discussion</w:t>
      </w:r>
      <w:r>
        <w:t xml:space="preserve"> </w:t>
      </w:r>
      <w:r>
        <w:t xml:space="preserve">interprets results in relation to the three</w:t>
      </w:r>
      <w:r>
        <w:t xml:space="preserve"> </w:t>
      </w:r>
      <w:r>
        <w:t xml:space="preserve">research questions, addresses limitations, and situates findings within</w:t>
      </w:r>
      <w:r>
        <w:t xml:space="preserve"> </w:t>
      </w:r>
      <w:r>
        <w:t xml:space="preserve">the broader literature.</w:t>
      </w:r>
    </w:p>
    <w:p>
      <w:pPr>
        <w:pStyle w:val="BodyText"/>
      </w:pPr>
      <w:r>
        <w:rPr>
          <w:b/>
          <w:bCs/>
        </w:rPr>
        <w:t xml:space="preserve">Chapter 5 — Governance Implications</w:t>
      </w:r>
      <w:r>
        <w:t xml:space="preserve"> </w:t>
      </w:r>
      <w:r>
        <w:t xml:space="preserve">translates diagnostic findings</w:t>
      </w:r>
      <w:r>
        <w:t xml:space="preserve"> </w:t>
      </w:r>
      <w:r>
        <w:t xml:space="preserve">into practical governance recommendations, with reference to Basel and</w:t>
      </w:r>
      <w:r>
        <w:t xml:space="preserve"> </w:t>
      </w:r>
      <w:r>
        <w:t xml:space="preserve">REMIT regulatory frameworks and the role of conformal augmentation in</w:t>
      </w:r>
      <w:r>
        <w:t xml:space="preserve"> </w:t>
      </w:r>
      <w:r>
        <w:t xml:space="preserve">model risk management.</w:t>
      </w:r>
    </w:p>
    <w:bookmarkEnd w:id="17"/>
    <w:bookmarkEnd w:id="18"/>
    <w:bookmarkStart w:id="19" w:name="methodology"/>
    <w:p>
      <w:pPr>
        <w:pStyle w:val="Heading1"/>
      </w:pPr>
      <w:r>
        <w:t xml:space="preserve">Methodology</w:t>
      </w:r>
    </w:p>
    <w:bookmarkEnd w:id="19"/>
    <w:bookmarkStart w:id="58" w:name="methodology-1"/>
    <w:p>
      <w:pPr>
        <w:pStyle w:val="Heading1"/>
      </w:pPr>
      <w:r>
        <w:t xml:space="preserve">Methodology</w:t>
      </w:r>
    </w:p>
    <w:bookmarkStart w:id="20" w:name="framework-overview"/>
    <w:p>
      <w:pPr>
        <w:pStyle w:val="Heading2"/>
      </w:pPr>
      <w:r>
        <w:t xml:space="preserve">1. Framework Overview</w:t>
      </w:r>
    </w:p>
    <w:p>
      <w:pPr>
        <w:pStyle w:val="FirstParagraph"/>
      </w:pPr>
      <w:r>
        <w:t xml:space="preserve">This chapter describes the unified probabilistic validation architecture</w:t>
      </w:r>
      <w:r>
        <w:t xml:space="preserve"> </w:t>
      </w:r>
      <w:r>
        <w:t xml:space="preserve">developed to evaluate and govern heterogeneous energy market models. The</w:t>
      </w:r>
      <w:r>
        <w:t xml:space="preserve"> </w:t>
      </w:r>
      <w:r>
        <w:t xml:space="preserve">framework is organised into four layers, applied uniformly across all model</w:t>
      </w:r>
      <w:r>
        <w:t xml:space="preserve"> </w:t>
      </w:r>
      <w:r>
        <w:t xml:space="preserve">classes:</w:t>
      </w:r>
    </w:p>
    <w:p>
      <w:pPr>
        <w:pStyle w:val="Compact"/>
        <w:numPr>
          <w:ilvl w:val="0"/>
          <w:numId w:val="1003"/>
        </w:numPr>
      </w:pPr>
      <w:r>
        <w:rPr>
          <w:b/>
          <w:bCs/>
        </w:rPr>
        <w:t xml:space="preserve">Distribution reconstruction</w:t>
      </w:r>
      <w:r>
        <w:t xml:space="preserve"> </w:t>
      </w:r>
      <w:r>
        <w:t xml:space="preserve">— converting model outputs into evaluable</w:t>
      </w:r>
      <w:r>
        <w:t xml:space="preserve"> </w:t>
      </w:r>
      <w:r>
        <w:t xml:space="preserve">predictive distributions where only point forecasts are available.</w:t>
      </w:r>
    </w:p>
    <w:p>
      <w:pPr>
        <w:pStyle w:val="Compact"/>
        <w:numPr>
          <w:ilvl w:val="0"/>
          <w:numId w:val="1003"/>
        </w:numPr>
      </w:pPr>
      <w:r>
        <w:rPr>
          <w:b/>
          <w:bCs/>
        </w:rPr>
        <w:t xml:space="preserve">Diagnostic evaluation</w:t>
      </w:r>
      <w:r>
        <w:t xml:space="preserve"> </w:t>
      </w:r>
      <w:r>
        <w:t xml:space="preserve">— applying a multi-layer battery of statistical</w:t>
      </w:r>
      <w:r>
        <w:t xml:space="preserve"> </w:t>
      </w:r>
      <w:r>
        <w:t xml:space="preserve">tests to assess calibration, distributional correctness, and temporal</w:t>
      </w:r>
      <w:r>
        <w:t xml:space="preserve"> </w:t>
      </w:r>
      <w:r>
        <w:t xml:space="preserve">independence.</w:t>
      </w:r>
    </w:p>
    <w:p>
      <w:pPr>
        <w:pStyle w:val="Compact"/>
        <w:numPr>
          <w:ilvl w:val="0"/>
          <w:numId w:val="1003"/>
        </w:numPr>
      </w:pPr>
      <w:r>
        <w:rPr>
          <w:b/>
          <w:bCs/>
        </w:rPr>
        <w:t xml:space="preserve">Conformal augmentation</w:t>
      </w:r>
      <w:r>
        <w:t xml:space="preserve"> </w:t>
      </w:r>
      <w:r>
        <w:t xml:space="preserve">— applying distribution-free post-hoc</w:t>
      </w:r>
      <w:r>
        <w:t xml:space="preserve"> </w:t>
      </w:r>
      <w:r>
        <w:t xml:space="preserve">recalibration to restore nominal coverage under distributional shift.</w:t>
      </w:r>
    </w:p>
    <w:p>
      <w:pPr>
        <w:pStyle w:val="Compact"/>
        <w:numPr>
          <w:ilvl w:val="0"/>
          <w:numId w:val="1003"/>
        </w:numPr>
      </w:pPr>
      <w:r>
        <w:rPr>
          <w:b/>
          <w:bCs/>
        </w:rPr>
        <w:t xml:space="preserve">Governance classification</w:t>
      </w:r>
      <w:r>
        <w:t xml:space="preserve"> </w:t>
      </w:r>
      <w:r>
        <w:t xml:space="preserve">— aggregating diagnostic signals into an</w:t>
      </w:r>
      <w:r>
        <w:t xml:space="preserve"> </w:t>
      </w:r>
      <w:r>
        <w:t xml:space="preserve">interpretable traffic-light decision for model use.</w:t>
      </w:r>
    </w:p>
    <w:p>
      <w:pPr>
        <w:pStyle w:val="FirstParagraph"/>
      </w:pPr>
      <w:r>
        <w:t xml:space="preserve">Each layer is described in turn below. The framework is implemented as a</w:t>
      </w:r>
      <w:r>
        <w:t xml:space="preserve"> </w:t>
      </w:r>
      <w:r>
        <w:t xml:space="preserve">reproducible Python pipeline; all build scripts, run scripts, and diagnostic</w:t>
      </w:r>
      <w:r>
        <w:t xml:space="preserve"> </w:t>
      </w:r>
      <w:r>
        <w:t xml:space="preserve">modules are version-controlled at</w:t>
      </w:r>
      <w:r>
        <w:t xml:space="preserve"> </w:t>
      </w:r>
      <w:r>
        <w:rPr>
          <w:rStyle w:val="VerbatimChar"/>
        </w:rPr>
        <w:t xml:space="preserve">github.com/LeJ7-commits/unified-probabilistic-validation</w:t>
      </w:r>
      <w:r>
        <w:t xml:space="preserve">.</w:t>
      </w:r>
    </w:p>
    <w:p>
      <w:pPr>
        <w:pStyle w:val="BodyText"/>
      </w:pPr>
      <w:r>
        <w:t xml:space="preserve">A fifth layer —</w:t>
      </w:r>
      <w:r>
        <w:t xml:space="preserve"> </w:t>
      </w:r>
      <w:r>
        <w:rPr>
          <w:b/>
          <w:bCs/>
        </w:rPr>
        <w:t xml:space="preserve">production integration</w:t>
      </w:r>
      <w:r>
        <w:t xml:space="preserve"> </w:t>
      </w:r>
      <w:r>
        <w:t xml:space="preserve">— wraps the above into a</w:t>
      </w:r>
      <w:r>
        <w:t xml:space="preserve"> </w:t>
      </w:r>
      <w:r>
        <w:t xml:space="preserve">unified execution architecture suitable for deployment in operational</w:t>
      </w:r>
      <w:r>
        <w:t xml:space="preserve"> </w:t>
      </w:r>
      <w:r>
        <w:t xml:space="preserve">settings. This layer comprises: a canonical data contract (DataContract)</w:t>
      </w:r>
      <w:r>
        <w:t xml:space="preserve"> </w:t>
      </w:r>
      <w:r>
        <w:t xml:space="preserve">that validates and normalises heterogeneous model inputs; a set of</w:t>
      </w:r>
      <w:r>
        <w:t xml:space="preserve"> </w:t>
      </w:r>
      <w:r>
        <w:t xml:space="preserve">model-class-specific adapters that convert raw outputs into evaluable</w:t>
      </w:r>
      <w:r>
        <w:t xml:space="preserve"> </w:t>
      </w:r>
      <w:r>
        <w:t xml:space="preserve">predictive distributions; a diagnostics gateway (Diagnostics_Input) that</w:t>
      </w:r>
      <w:r>
        <w:t xml:space="preserve"> </w:t>
      </w:r>
      <w:r>
        <w:t xml:space="preserve">routes inputs to the appropriate diagnostic branches based on available</w:t>
      </w:r>
      <w:r>
        <w:t xml:space="preserve"> </w:t>
      </w:r>
      <w:r>
        <w:t xml:space="preserve">data representations; a standalone decision engine (DecisionEngine) that</w:t>
      </w:r>
      <w:r>
        <w:t xml:space="preserve"> </w:t>
      </w:r>
      <w:r>
        <w:t xml:space="preserve">orchestrates the full diagnostic pipeline and produces a structured</w:t>
      </w:r>
      <w:r>
        <w:t xml:space="preserve"> </w:t>
      </w:r>
      <w:r>
        <w:t xml:space="preserve">governance decision with full provenance; an AI-powered narrative generator</w:t>
      </w:r>
      <w:r>
        <w:t xml:space="preserve"> </w:t>
      </w:r>
      <w:r>
        <w:t xml:space="preserve">(NarrativeGenerator) that converts structured decisions into plain-language</w:t>
      </w:r>
      <w:r>
        <w:t xml:space="preserve"> </w:t>
      </w:r>
      <w:r>
        <w:t xml:space="preserve">and technical governance summaries; and a Streamlit web application that</w:t>
      </w:r>
      <w:r>
        <w:t xml:space="preserve"> </w:t>
      </w:r>
      <w:r>
        <w:t xml:space="preserve">exposes the full pipeline to non-technical users via CSV upload. The</w:t>
      </w:r>
      <w:r>
        <w:t xml:space="preserve"> </w:t>
      </w:r>
      <w:r>
        <w:t xml:space="preserve">production layer is documented in Section 9.</w:t>
      </w:r>
    </w:p>
    <w:p>
      <w:r>
        <w:pict>
          <v:rect style="width:0;height:1.5pt" o:hralign="center" o:hrstd="t" o:hr="t"/>
        </w:pict>
      </w:r>
    </w:p>
    <w:bookmarkEnd w:id="20"/>
    <w:bookmarkStart w:id="26" w:name="model-classes-and-datasets"/>
    <w:p>
      <w:pPr>
        <w:pStyle w:val="Heading2"/>
      </w:pPr>
      <w:r>
        <w:t xml:space="preserve">2. Model Classes and Datasets</w:t>
      </w:r>
    </w:p>
    <w:p>
      <w:pPr>
        <w:pStyle w:val="FirstParagraph"/>
      </w:pPr>
      <w:r>
        <w:t xml:space="preserve">Four model classes are evaluated, spanning three real-world datasets and</w:t>
      </w:r>
      <w:r>
        <w:t xml:space="preserve"> </w:t>
      </w:r>
      <w:r>
        <w:t xml:space="preserve">one synthetic positive control.</w:t>
      </w:r>
    </w:p>
    <w:bookmarkStart w:id="21" w:name="Xa79501371aaa6d3330083b985dd927c5e9ca6cc"/>
    <w:p>
      <w:pPr>
        <w:pStyle w:val="Heading3"/>
      </w:pPr>
      <w:r>
        <w:t xml:space="preserve">2.1 Short-Term Electricity Load Forecasting (ENTSO-E)</w:t>
      </w:r>
    </w:p>
    <w:p>
      <w:pPr>
        <w:pStyle w:val="FirstParagraph"/>
      </w:pPr>
      <w:r>
        <w:t xml:space="preserve">The ENTSO-E dataset contains quarter-hourly electricity load observations</w:t>
      </w:r>
      <w:r>
        <w:t xml:space="preserve"> </w:t>
      </w:r>
      <w:r>
        <w:t xml:space="preserve">and corresponding point forecasts for a European transmission network,</w:t>
      </w:r>
      <w:r>
        <w:t xml:space="preserve"> </w:t>
      </w:r>
      <w:r>
        <w:t xml:space="preserve">covering a multi-year historical period (n = 210,427 raw rows; 209,555</w:t>
      </w:r>
      <w:r>
        <w:t xml:space="preserve"> </w:t>
      </w:r>
      <w:r>
        <w:t xml:space="preserve">evaluable after cleaning). The point forecast y_hat is treated as the</w:t>
      </w:r>
      <w:r>
        <w:t xml:space="preserve"> </w:t>
      </w:r>
      <w:r>
        <w:t xml:space="preserve">output of a machine learning model — specifically an ensemble of gradient</w:t>
      </w:r>
      <w:r>
        <w:t xml:space="preserve"> </w:t>
      </w:r>
      <w:r>
        <w:t xml:space="preserve">boosted trees (XGBoost or LightGBM class) trained on historical hourly</w:t>
      </w:r>
      <w:r>
        <w:t xml:space="preserve"> </w:t>
      </w:r>
      <w:r>
        <w:t xml:space="preserve">consumption data augmented with temperature lags and forecasts, and</w:t>
      </w:r>
      <w:r>
        <w:t xml:space="preserve"> </w:t>
      </w:r>
      <w:r>
        <w:t xml:space="preserve">calendar features (hour of day, day of week, month, public holiday</w:t>
      </w:r>
      <w:r>
        <w:t xml:space="preserve"> </w:t>
      </w:r>
      <w:r>
        <w:t xml:space="preserve">indicators). The forecast is generated at t = 0 to predict all 24 hours</w:t>
      </w:r>
      <w:r>
        <w:t xml:space="preserve"> </w:t>
      </w:r>
      <w:r>
        <w:t xml:space="preserve">of the following day. No distributional output is natively provided by</w:t>
      </w:r>
      <w:r>
        <w:t xml:space="preserve"> </w:t>
      </w:r>
      <w:r>
        <w:t xml:space="preserve">this class of model; the predictive distribution is reconstructed from</w:t>
      </w:r>
      <w:r>
        <w:t xml:space="preserve"> </w:t>
      </w:r>
      <w:r>
        <w:t xml:space="preserve">historical residuals (see Section 3).</w:t>
      </w:r>
    </w:p>
    <w:bookmarkEnd w:id="21"/>
    <w:bookmarkStart w:id="22" w:name="long-term-pv-generation-pv-solar"/>
    <w:p>
      <w:pPr>
        <w:pStyle w:val="Heading3"/>
      </w:pPr>
      <w:r>
        <w:t xml:space="preserve">2.2 Long-Term PV Generation (PV Solar)</w:t>
      </w:r>
    </w:p>
    <w:p>
      <w:pPr>
        <w:pStyle w:val="FirstParagraph"/>
      </w:pPr>
      <w:r>
        <w:t xml:space="preserve">The PV dataset contains hourly photovoltaic generation simulations and</w:t>
      </w:r>
      <w:r>
        <w:t xml:space="preserve"> </w:t>
      </w:r>
      <w:r>
        <w:t xml:space="preserve">corresponding actual generation measurements for a European solar site,</w:t>
      </w:r>
      <w:r>
        <w:t xml:space="preserve"> </w:t>
      </w:r>
      <w:r>
        <w:t xml:space="preserve">covering 2013–2015 (n = 26,280 raw rows). The simulation y_hat represents the expected power output derived from a</w:t>
      </w:r>
      <w:r>
        <w:t xml:space="preserve"> </w:t>
      </w:r>
      <w:r>
        <w:t xml:space="preserve">wind speed forecast via a power curve transformation: forecasted irradiance</w:t>
      </w:r>
      <w:r>
        <w:t xml:space="preserve"> </w:t>
      </w:r>
      <w:r>
        <w:t xml:space="preserve">is converted to expected generation using the turbine or panel’s</w:t>
      </w:r>
      <w:r>
        <w:t xml:space="preserve"> </w:t>
      </w:r>
      <w:r>
        <w:t xml:space="preserve">characteristic response function, adjusted for air density, system</w:t>
      </w:r>
      <w:r>
        <w:t xml:space="preserve"> </w:t>
      </w:r>
      <w:r>
        <w:t xml:space="preserve">efficiency, and estimated downtime. This is a standard physical-parametric</w:t>
      </w:r>
      <w:r>
        <w:t xml:space="preserve"> </w:t>
      </w:r>
      <w:r>
        <w:t xml:space="preserve">approach (Lorenz et al., 2009) and does not produce a</w:t>
      </w:r>
      <w:r>
        <w:t xml:space="preserve"> </w:t>
      </w:r>
      <w:r>
        <w:t xml:space="preserve">distributional output; the predictive distribution is reconstructed from</w:t>
      </w:r>
      <w:r>
        <w:t xml:space="preserve"> </w:t>
      </w:r>
      <w:r>
        <w:t xml:space="preserve">residuals. Structural nighttime hours — defined as observations where both</w:t>
      </w:r>
      <w:r>
        <w:t xml:space="preserve"> </w:t>
      </w:r>
      <w:r>
        <w:t xml:space="preserve">simulation and actuals fall below a threshold of 10⁻⁹ — are excluded from</w:t>
      </w:r>
      <w:r>
        <w:t xml:space="preserve"> </w:t>
      </w:r>
      <w:r>
        <w:t xml:space="preserve">calibration evaluation (see Section 3.3). This exclusion is consistent</w:t>
      </w:r>
      <w:r>
        <w:t xml:space="preserve"> </w:t>
      </w:r>
      <w:r>
        <w:t xml:space="preserve">with standard practice in solar generation assessment and is documented</w:t>
      </w:r>
      <w:r>
        <w:t xml:space="preserve"> </w:t>
      </w:r>
      <w:r>
        <w:t xml:space="preserve">explicitly in dataset metadata.</w:t>
      </w:r>
    </w:p>
    <w:bookmarkEnd w:id="22"/>
    <w:bookmarkStart w:id="23" w:name="long-term-wind-generation-wind"/>
    <w:p>
      <w:pPr>
        <w:pStyle w:val="Heading3"/>
      </w:pPr>
      <w:r>
        <w:t xml:space="preserve">2.3 Long-Term Wind Generation (Wind)</w:t>
      </w:r>
    </w:p>
    <w:p>
      <w:pPr>
        <w:pStyle w:val="FirstParagraph"/>
      </w:pPr>
      <w:r>
        <w:t xml:space="preserve">The wind dataset shares the same structure and time span as the PV dataset</w:t>
      </w:r>
      <w:r>
        <w:t xml:space="preserve"> </w:t>
      </w:r>
      <w:r>
        <w:t xml:space="preserve">(n = 26,280 raw rows, hourly, 2013–2015). The simulation y_hat is derived</w:t>
      </w:r>
      <w:r>
        <w:t xml:space="preserve"> </w:t>
      </w:r>
      <w:r>
        <w:t xml:space="preserve">by applying a wind turbine’s power curve to a forecasted wind speed time</w:t>
      </w:r>
      <w:r>
        <w:t xml:space="preserve"> </w:t>
      </w:r>
      <w:r>
        <w:t xml:space="preserve">series: the power curve maps wind speed at hub height to expected power</w:t>
      </w:r>
      <w:r>
        <w:t xml:space="preserve"> </w:t>
      </w:r>
      <w:r>
        <w:t xml:space="preserve">output, incorporating rated power, cut-in and cut-out wind speed</w:t>
      </w:r>
      <w:r>
        <w:t xml:space="preserve"> </w:t>
      </w:r>
      <w:r>
        <w:t xml:space="preserve">thresholds, and optional adjustments for air density and efficiency. The</w:t>
      </w:r>
      <w:r>
        <w:t xml:space="preserve"> </w:t>
      </w:r>
      <w:r>
        <w:t xml:space="preserve">forecast is generated at a multi-year planning horizon informed by long-term</w:t>
      </w:r>
      <w:r>
        <w:t xml:space="preserve"> </w:t>
      </w:r>
      <w:r>
        <w:t xml:space="preserve">weather scenarios and site-specific technical parameters (turbine size,</w:t>
      </w:r>
      <w:r>
        <w:t xml:space="preserve"> </w:t>
      </w:r>
      <w:r>
        <w:t xml:space="preserve">hub height, geolocation). Wind generates power around the clock; no</w:t>
      </w:r>
      <w:r>
        <w:t xml:space="preserve"> </w:t>
      </w:r>
      <w:r>
        <w:t xml:space="preserve">nighttime exclusion is applied.</w:t>
      </w:r>
    </w:p>
    <w:bookmarkEnd w:id="23"/>
    <w:bookmarkStart w:id="24" w:name="X533564940c853062947f2f9deb93afd8eb23183"/>
    <w:p>
      <w:pPr>
        <w:pStyle w:val="Heading3"/>
      </w:pPr>
      <w:r>
        <w:t xml:space="preserve">2.4 Synthetic Simulation Model (Price and Temperature)</w:t>
      </w:r>
    </w:p>
    <w:p>
      <w:pPr>
        <w:pStyle w:val="FirstParagraph"/>
      </w:pPr>
      <w:r>
        <w:t xml:space="preserve">The synthetic model generates correlated daily price and temperature</w:t>
      </w:r>
      <w:r>
        <w:t xml:space="preserve"> </w:t>
      </w:r>
      <w:r>
        <w:t xml:space="preserve">simulation paths from a known joint Gaussian data-generating process (DGP).</w:t>
      </w:r>
      <w:r>
        <w:t xml:space="preserve"> </w:t>
      </w:r>
      <w:r>
        <w:t xml:space="preserve">The DGP incorporates intraday seasonality (modelled via sine and cosine</w:t>
      </w:r>
      <w:r>
        <w:t xml:space="preserve"> </w:t>
      </w:r>
      <w:r>
        <w:t xml:space="preserve">functions of hour of day), annual seasonality (via cosine of day of year),</w:t>
      </w:r>
      <w:r>
        <w:t xml:space="preserve"> </w:t>
      </w:r>
      <w:r>
        <w:t xml:space="preserve">and cross-series correlation (ρ = 0.5) implemented via Cholesky</w:t>
      </w:r>
      <w:r>
        <w:t xml:space="preserve"> </w:t>
      </w:r>
      <w:r>
        <w:t xml:space="preserve">decomposition. Parameters are: base price 50, σ_price = 5.0; base</w:t>
      </w:r>
      <w:r>
        <w:t xml:space="preserve"> </w:t>
      </w:r>
      <w:r>
        <w:t xml:space="preserve">temperature 10, σ_temp = 3.0. The evaluation horizon is n_days = 365</w:t>
      </w:r>
      <w:r>
        <w:t xml:space="preserve"> </w:t>
      </w:r>
      <w:r>
        <w:t xml:space="preserve">as-of dates, each with 5,000 simulation paths of 8,760 hourly steps</w:t>
      </w:r>
      <w:r>
        <w:t xml:space="preserve"> </w:t>
      </w:r>
      <w:r>
        <w:t xml:space="preserve">(n_horizons = 8,760 ≈ one year). The predictive distribution is given</w:t>
      </w:r>
      <w:r>
        <w:t xml:space="preserve"> </w:t>
      </w:r>
      <w:r>
        <w:t xml:space="preserve">directly by the empirical quantiles of the 5,000 paths; no reconstruction</w:t>
      </w:r>
      <w:r>
        <w:t xml:space="preserve"> </w:t>
      </w:r>
      <w:r>
        <w:t xml:space="preserve">is required. This model class serves as a</w:t>
      </w:r>
      <w:r>
        <w:t xml:space="preserve"> </w:t>
      </w:r>
      <w:r>
        <w:rPr>
          <w:b/>
          <w:bCs/>
        </w:rPr>
        <w:t xml:space="preserve">positive control</w:t>
      </w:r>
      <w:r>
        <w:t xml:space="preserve">: since the</w:t>
      </w:r>
      <w:r>
        <w:t xml:space="preserve"> </w:t>
      </w:r>
      <w:r>
        <w:t xml:space="preserve">evaluation draws realisations from the same DGP as the simulation paths,</w:t>
      </w:r>
      <w:r>
        <w:t xml:space="preserve"> </w:t>
      </w:r>
      <w:r>
        <w:t xml:space="preserve">a correctly implemented framework should return GREEN classifications.</w:t>
      </w:r>
      <w:r>
        <w:t xml:space="preserve"> </w:t>
      </w:r>
      <w:r>
        <w:t xml:space="preserve">Three deliberate misspecification scenarios are also evaluated</w:t>
      </w:r>
      <w:r>
        <w:t xml:space="preserve"> </w:t>
      </w:r>
      <w:r>
        <w:t xml:space="preserve">(see Section 2.5).</w:t>
      </w:r>
    </w:p>
    <w:bookmarkEnd w:id="24"/>
    <w:bookmarkStart w:id="25" w:name="misspecification-scenarios"/>
    <w:p>
      <w:pPr>
        <w:pStyle w:val="Heading3"/>
      </w:pPr>
      <w:r>
        <w:t xml:space="preserve">2.5 Misspecification Scenarios</w:t>
      </w:r>
    </w:p>
    <w:p>
      <w:pPr>
        <w:pStyle w:val="FirstParagraph"/>
      </w:pPr>
      <w:r>
        <w:t xml:space="preserve">Three misspecification scenarios are applied to both price and temperature</w:t>
      </w:r>
      <w:r>
        <w:t xml:space="preserve"> </w:t>
      </w:r>
      <w:r>
        <w:t xml:space="preserve">series to test the framework’s discriminative validity:</w:t>
      </w:r>
    </w:p>
    <w:p>
      <w:pPr>
        <w:pStyle w:val="Compact"/>
        <w:numPr>
          <w:ilvl w:val="0"/>
          <w:numId w:val="1004"/>
        </w:numPr>
      </w:pPr>
      <w:r>
        <w:rPr>
          <w:b/>
          <w:bCs/>
        </w:rPr>
        <w:t xml:space="preserve">Variance inflation:</w:t>
      </w:r>
      <w:r>
        <w:t xml:space="preserve"> </w:t>
      </w:r>
      <w:r>
        <w:t xml:space="preserve">Realised values are drawn with standard deviation</w:t>
      </w:r>
      <w:r>
        <w:t xml:space="preserve"> </w:t>
      </w:r>
      <w:r>
        <w:t xml:space="preserve">2σ while the simulation paths use σ. This makes the predictive intervals</w:t>
      </w:r>
      <w:r>
        <w:t xml:space="preserve"> </w:t>
      </w:r>
      <w:r>
        <w:t xml:space="preserve">systematically half as wide as required, producing bilateral over-breaching.</w:t>
      </w:r>
    </w:p>
    <w:p>
      <w:pPr>
        <w:pStyle w:val="Compact"/>
        <w:numPr>
          <w:ilvl w:val="0"/>
          <w:numId w:val="1004"/>
        </w:numPr>
      </w:pPr>
      <w:r>
        <w:rPr>
          <w:b/>
          <w:bCs/>
        </w:rPr>
        <w:t xml:space="preserve">Mean bias:</w:t>
      </w:r>
      <w:r>
        <w:t xml:space="preserve"> </w:t>
      </w:r>
      <w:r>
        <w:t xml:space="preserve">Realised values are drawn with the mean shifted by +1σ</w:t>
      </w:r>
      <w:r>
        <w:t xml:space="preserve"> </w:t>
      </w:r>
      <w:r>
        <w:t xml:space="preserve">(price: +5.0 units; temperature: +3.0 units) while the simulation paths</w:t>
      </w:r>
      <w:r>
        <w:t xml:space="preserve"> </w:t>
      </w:r>
      <w:r>
        <w:t xml:space="preserve">use the unshifted mean. This produces systematic directional over-breaching</w:t>
      </w:r>
      <w:r>
        <w:t xml:space="preserve"> </w:t>
      </w:r>
      <w:r>
        <w:t xml:space="preserve">on one tail.</w:t>
      </w:r>
    </w:p>
    <w:p>
      <w:pPr>
        <w:pStyle w:val="Compact"/>
        <w:numPr>
          <w:ilvl w:val="0"/>
          <w:numId w:val="1004"/>
        </w:numPr>
      </w:pPr>
      <w:r>
        <w:rPr>
          <w:b/>
          <w:bCs/>
        </w:rPr>
        <w:t xml:space="preserve">Heavy tails:</w:t>
      </w:r>
      <w:r>
        <w:t xml:space="preserve"> </w:t>
      </w:r>
      <w:r>
        <w:t xml:space="preserve">Realised values are drawn from a Student’s t-distribution</w:t>
      </w:r>
      <w:r>
        <w:t xml:space="preserve"> </w:t>
      </w:r>
      <w:r>
        <w:t xml:space="preserve">with df = 3 (heavy tails) while the simulation paths remain Gaussian. This</w:t>
      </w:r>
      <w:r>
        <w:t xml:space="preserve"> </w:t>
      </w:r>
      <w:r>
        <w:t xml:space="preserve">tests the framework’s sensitivity to distributional shape misspecification.</w:t>
      </w:r>
    </w:p>
    <w:p>
      <w:pPr>
        <w:pStyle w:val="FirstParagraph"/>
      </w:pPr>
      <w:r>
        <w:t xml:space="preserve">Each scenario uses an independent random seed from the well-specified</w:t>
      </w:r>
      <w:r>
        <w:t xml:space="preserve"> </w:t>
      </w:r>
      <w:r>
        <w:t xml:space="preserve">positive control for methodological separation.</w:t>
      </w:r>
    </w:p>
    <w:p>
      <w:r>
        <w:pict>
          <v:rect style="width:0;height:1.5pt" o:hralign="center" o:hrstd="t" o:hr="t"/>
        </w:pict>
      </w:r>
    </w:p>
    <w:bookmarkEnd w:id="25"/>
    <w:bookmarkEnd w:id="26"/>
    <w:bookmarkStart w:id="31" w:name="distribution-reconstruction"/>
    <w:p>
      <w:pPr>
        <w:pStyle w:val="Heading2"/>
      </w:pPr>
      <w:r>
        <w:t xml:space="preserve">3. Distribution Reconstruction</w:t>
      </w:r>
    </w:p>
    <w:p>
      <w:pPr>
        <w:pStyle w:val="FirstParagraph"/>
      </w:pPr>
      <w:r>
        <w:t xml:space="preserve">For model classes that provide only point forecasts (ENTSO-E, PV, wind), a</w:t>
      </w:r>
      <w:r>
        <w:t xml:space="preserve"> </w:t>
      </w:r>
      <w:r>
        <w:t xml:space="preserve">predictive distribution must be reconstructed before any probabilistic</w:t>
      </w:r>
      <w:r>
        <w:t xml:space="preserve"> </w:t>
      </w:r>
      <w:r>
        <w:t xml:space="preserve">diagnostic can be applied. The reconstruction method serves as the</w:t>
      </w:r>
      <w:r>
        <w:t xml:space="preserve"> </w:t>
      </w:r>
      <w:r>
        <w:rPr>
          <w:b/>
          <w:bCs/>
        </w:rPr>
        <w:t xml:space="preserve">pre-conformal baseline</w:t>
      </w:r>
      <w:r>
        <w:t xml:space="preserve">: it represents the model’s implied predictive</w:t>
      </w:r>
      <w:r>
        <w:t xml:space="preserve"> </w:t>
      </w:r>
      <w:r>
        <w:t xml:space="preserve">uncertainty as honestly as possible given the available information, without</w:t>
      </w:r>
      <w:r>
        <w:t xml:space="preserve"> </w:t>
      </w:r>
      <w:r>
        <w:t xml:space="preserve">augmentation. Its residual miscalibration, if any, motivates the conformal</w:t>
      </w:r>
      <w:r>
        <w:t xml:space="preserve"> </w:t>
      </w:r>
      <w:r>
        <w:t xml:space="preserve">layer (Section 5).</w:t>
      </w:r>
    </w:p>
    <w:bookmarkStart w:id="27" w:name="residual-based-reconstruction"/>
    <w:p>
      <w:pPr>
        <w:pStyle w:val="Heading3"/>
      </w:pPr>
      <w:r>
        <w:t xml:space="preserve">3.1 Residual-Based Reconstruction</w:t>
      </w:r>
    </w:p>
    <w:p>
      <w:pPr>
        <w:pStyle w:val="FirstParagraph"/>
      </w:pPr>
      <w:r>
        <w:t xml:space="preserve">For each observation t, define the point forecast residual as:</w:t>
      </w:r>
    </w:p>
    <w:p>
      <w:pPr>
        <w:pStyle w:val="SourceCode"/>
      </w:pPr>
      <w:r>
        <w:rPr>
          <w:rStyle w:val="VerbatimChar"/>
        </w:rPr>
        <w:t xml:space="preserve">r_t = y_t − ŷ_t</w:t>
      </w:r>
    </w:p>
    <w:p>
      <w:pPr>
        <w:pStyle w:val="FirstParagraph"/>
      </w:pPr>
      <w:r>
        <w:t xml:space="preserve">The predictive interval at nominal level (1 − α) is then:</w:t>
      </w:r>
    </w:p>
    <w:p>
      <w:pPr>
        <w:pStyle w:val="SourceCode"/>
      </w:pPr>
      <w:r>
        <w:rPr>
          <w:rStyle w:val="VerbatimChar"/>
        </w:rPr>
        <w:t xml:space="preserve">[ŷ_t + q̂_{α/2}(r), ŷ_t + q̂_{1−α/2}(r)]</w:t>
      </w:r>
    </w:p>
    <w:p>
      <w:pPr>
        <w:pStyle w:val="FirstParagraph"/>
      </w:pPr>
      <w:r>
        <w:t xml:space="preserve">where q̂_p(r) denotes the p-th empirical quantile of a trailing window of</w:t>
      </w:r>
      <w:r>
        <w:t xml:space="preserve"> </w:t>
      </w:r>
      <w:r>
        <w:t xml:space="preserve">past residuals, described below. A bias correction is applied by subtracting</w:t>
      </w:r>
      <w:r>
        <w:t xml:space="preserve"> </w:t>
      </w:r>
      <w:r>
        <w:t xml:space="preserve">the window mean from residuals before quantile estimation and adding it back</w:t>
      </w:r>
      <w:r>
        <w:t xml:space="preserve"> </w:t>
      </w:r>
      <w:r>
        <w:t xml:space="preserve">after, ensuring the interval is centred on the corrected forecast rather than</w:t>
      </w:r>
      <w:r>
        <w:t xml:space="preserve"> </w:t>
      </w:r>
      <w:r>
        <w:t xml:space="preserve">the raw point forecast.</w:t>
      </w:r>
    </w:p>
    <w:bookmarkEnd w:id="27"/>
    <w:bookmarkStart w:id="28" w:name="Xc06f7d1d281b2c047898ceabad13dd29cabfaee"/>
    <w:p>
      <w:pPr>
        <w:pStyle w:val="Heading3"/>
      </w:pPr>
      <w:r>
        <w:t xml:space="preserve">3.2 ENTSO-E: 4-Bucket Time-of-Day Conditioning</w:t>
      </w:r>
    </w:p>
    <w:p>
      <w:pPr>
        <w:pStyle w:val="FirstParagraph"/>
      </w:pPr>
      <w:r>
        <w:t xml:space="preserve">Gas load residuals exhibit strong diurnal structure — the distribution of</w:t>
      </w:r>
      <w:r>
        <w:t xml:space="preserve"> </w:t>
      </w:r>
      <w:r>
        <w:t xml:space="preserve">forecast errors differs materially between night, morning, afternoon, and</w:t>
      </w:r>
      <w:r>
        <w:t xml:space="preserve"> </w:t>
      </w:r>
      <w:r>
        <w:t xml:space="preserve">evening consumption regimes. To capture this without over-parameterising</w:t>
      </w:r>
      <w:r>
        <w:t xml:space="preserve"> </w:t>
      </w:r>
      <w:r>
        <w:t xml:space="preserve">the rolling estimator, residuals are assigned to one of four coarse</w:t>
      </w:r>
      <w:r>
        <w:t xml:space="preserve"> </w:t>
      </w:r>
      <w:r>
        <w:t xml:space="preserve">time-of-day buckets:</w:t>
      </w:r>
    </w:p>
    <w:p>
      <w:pPr>
        <w:pStyle w:val="SourceCode"/>
      </w:pPr>
      <w:r>
        <w:rPr>
          <w:rStyle w:val="VerbatimChar"/>
        </w:rPr>
        <w:t xml:space="preserve">Night: 00:00–05:59 | Morning: 06:00–11:59</w:t>
      </w:r>
      <w:r>
        <w:br/>
      </w:r>
      <w:r>
        <w:rPr>
          <w:rStyle w:val="VerbatimChar"/>
        </w:rPr>
        <w:t xml:space="preserve">Afternoon: 12:00–17:59 | Evening: 18:00–23:59</w:t>
      </w:r>
    </w:p>
    <w:p>
      <w:pPr>
        <w:pStyle w:val="FirstParagraph"/>
      </w:pPr>
      <w:r>
        <w:t xml:space="preserve">For each observation t in bucket b, the reconstruction uses a</w:t>
      </w:r>
      <w:r>
        <w:t xml:space="preserve"> </w:t>
      </w:r>
      <w:r>
        <w:rPr>
          <w:b/>
          <w:bCs/>
        </w:rPr>
        <w:t xml:space="preserve">combined</w:t>
      </w:r>
      <w:r>
        <w:rPr>
          <w:b/>
          <w:bCs/>
        </w:rPr>
        <w:t xml:space="preserve"> </w:t>
      </w:r>
      <w:r>
        <w:rPr>
          <w:b/>
          <w:bCs/>
        </w:rPr>
        <w:t xml:space="preserve">window</w:t>
      </w:r>
      <w:r>
        <w:t xml:space="preserve"> </w:t>
      </w:r>
      <w:r>
        <w:t xml:space="preserve">of:</w:t>
      </w:r>
      <w:r>
        <w:t xml:space="preserve"> </w:t>
      </w:r>
      <w:r>
        <w:t xml:space="preserve">- Wb = 40 trailing bucket-specific past observations (capturing local</w:t>
      </w:r>
      <w:r>
        <w:t xml:space="preserve"> </w:t>
      </w:r>
      <w:r>
        <w:t xml:space="preserve">diurnal structure)</w:t>
      </w:r>
      <w:r>
        <w:t xml:space="preserve"> </w:t>
      </w:r>
      <w:r>
        <w:t xml:space="preserve">- Wg = 672 trailing global observations (7 days of quarter-hourly data;</w:t>
      </w:r>
      <w:r>
        <w:t xml:space="preserve"> </w:t>
      </w:r>
      <w:r>
        <w:t xml:space="preserve">capturing recent volatility regime)</w:t>
      </w:r>
    </w:p>
    <w:p>
      <w:pPr>
        <w:pStyle w:val="BodyText"/>
      </w:pPr>
      <w:r>
        <w:t xml:space="preserve">The combined window is concatenated and the bias-corrected empirical</w:t>
      </w:r>
      <w:r>
        <w:t xml:space="preserve"> </w:t>
      </w:r>
      <w:r>
        <w:t xml:space="preserve">quantiles are taken at levels α/2 and 1 − α/2. A shrinkage weight is</w:t>
      </w:r>
      <w:r>
        <w:t xml:space="preserve"> </w:t>
      </w:r>
      <w:r>
        <w:t xml:space="preserve">implicitly achieved by pooling the smaller bucket-specific window with</w:t>
      </w:r>
      <w:r>
        <w:t xml:space="preserve"> </w:t>
      </w:r>
      <w:r>
        <w:t xml:space="preserve">the larger global window. This specification was selected on the basis</w:t>
      </w:r>
      <w:r>
        <w:t xml:space="preserve"> </w:t>
      </w:r>
      <w:r>
        <w:t xml:space="preserve">of the feasibility analysis conducted on the 90-day ENTSO-E development</w:t>
      </w:r>
      <w:r>
        <w:t xml:space="preserve"> </w:t>
      </w:r>
      <w:r>
        <w:t xml:space="preserve">sample (notebooks/02_entsog_feasibility.ipynb), where it achieved 92.4%</w:t>
      </w:r>
      <w:r>
        <w:t xml:space="preserve"> </w:t>
      </w:r>
      <w:r>
        <w:t xml:space="preserve">empirical coverage against a 90% nominal target — the best result among</w:t>
      </w:r>
      <w:r>
        <w:t xml:space="preserve"> </w:t>
      </w:r>
      <w:r>
        <w:t xml:space="preserve">candidate methods tested.</w:t>
      </w:r>
    </w:p>
    <w:p>
      <w:pPr>
        <w:pStyle w:val="BodyText"/>
      </w:pPr>
      <w:r>
        <w:t xml:space="preserve">A robust scale estimate is also computed per observation using the</w:t>
      </w:r>
      <w:r>
        <w:t xml:space="preserve"> </w:t>
      </w:r>
      <w:r>
        <w:t xml:space="preserve">normalised median absolute deviation (1.4826 × MAD) over the centred</w:t>
      </w:r>
      <w:r>
        <w:t xml:space="preserve"> </w:t>
      </w:r>
      <w:r>
        <w:t xml:space="preserve">combined window. This scale is used to generate Monte Carlo samples for</w:t>
      </w:r>
      <w:r>
        <w:t xml:space="preserve"> </w:t>
      </w:r>
      <w:r>
        <w:t xml:space="preserve">CRPS computation and as input to the conformal augmentation layer.</w:t>
      </w:r>
    </w:p>
    <w:bookmarkEnd w:id="28"/>
    <w:bookmarkStart w:id="29" w:name="X0eaf96d2d51ec40fd28437a05e7a640debcfcc1"/>
    <w:p>
      <w:pPr>
        <w:pStyle w:val="Heading3"/>
      </w:pPr>
      <w:r>
        <w:t xml:space="preserve">3.3 PV and Wind: 24-Bucket Hour-of-Day Conditioning</w:t>
      </w:r>
    </w:p>
    <w:p>
      <w:pPr>
        <w:pStyle w:val="FirstParagraph"/>
      </w:pPr>
      <w:r>
        <w:t xml:space="preserve">With 3 years of hourly data (~26,280 rows), each of the 24 hour-of-day</w:t>
      </w:r>
      <w:r>
        <w:t xml:space="preserve"> </w:t>
      </w:r>
      <w:r>
        <w:t xml:space="preserve">buckets contains approximately 1,095 observations, making fine-grained</w:t>
      </w:r>
      <w:r>
        <w:t xml:space="preserve"> </w:t>
      </w:r>
      <w:r>
        <w:t xml:space="preserve">conditioning stable. For each observation t at hour h, the reconstruction</w:t>
      </w:r>
      <w:r>
        <w:t xml:space="preserve"> </w:t>
      </w:r>
      <w:r>
        <w:t xml:space="preserve">uses W = 720 trailing same-hour observations (~30 days of same-hour</w:t>
      </w:r>
      <w:r>
        <w:t xml:space="preserve"> </w:t>
      </w:r>
      <w:r>
        <w:t xml:space="preserve">history). No global shrinkage window is used because the large per-bucket</w:t>
      </w:r>
      <w:r>
        <w:t xml:space="preserve"> </w:t>
      </w:r>
      <w:r>
        <w:t xml:space="preserve">sample size makes local estimation stable without pooling.</w:t>
      </w:r>
    </w:p>
    <w:p>
      <w:pPr>
        <w:pStyle w:val="BodyText"/>
      </w:pPr>
      <w:r>
        <w:t xml:space="preserve">The nighttime exclusion for PV is applied before reconstruction: rows</w:t>
      </w:r>
      <w:r>
        <w:t xml:space="preserve"> </w:t>
      </w:r>
      <w:r>
        <w:t xml:space="preserve">where both Simulation and Actuals fall below 10⁻⁹ are removed from the</w:t>
      </w:r>
      <w:r>
        <w:t xml:space="preserve"> </w:t>
      </w:r>
      <w:r>
        <w:t xml:space="preserve">dataset. Of the 26,280 raw PV rows, 10,036 (38.2%) are excluded as</w:t>
      </w:r>
      <w:r>
        <w:t xml:space="preserve"> </w:t>
      </w:r>
      <w:r>
        <w:t xml:space="preserve">structural nighttime zeros. The rolling warmup then consumes the first</w:t>
      </w:r>
      <w:r>
        <w:t xml:space="preserve"> </w:t>
      </w:r>
      <w:r>
        <w:t xml:space="preserve">W = 720 same-hour observations per bucket before evaluation begins, leaving</w:t>
      </w:r>
      <w:r>
        <w:t xml:space="preserve"> </w:t>
      </w:r>
      <w:r>
        <w:t xml:space="preserve">n_eval = 4,287 evaluable PV daytime observations. For wind (no exclusion),</w:t>
      </w:r>
      <w:r>
        <w:t xml:space="preserve"> </w:t>
      </w:r>
      <w:r>
        <w:t xml:space="preserve">n_eval = 9,000.</w:t>
      </w:r>
    </w:p>
    <w:bookmarkEnd w:id="29"/>
    <w:bookmarkStart w:id="30" w:name="simulation-no-reconstruction-required"/>
    <w:p>
      <w:pPr>
        <w:pStyle w:val="Heading3"/>
      </w:pPr>
      <w:r>
        <w:t xml:space="preserve">3.4 Simulation: No Reconstruction Required</w:t>
      </w:r>
    </w:p>
    <w:p>
      <w:pPr>
        <w:pStyle w:val="FirstParagraph"/>
      </w:pPr>
      <w:r>
        <w:t xml:space="preserve">The synthetic simulation model provides 5,000 paths per as-of date. The</w:t>
      </w:r>
      <w:r>
        <w:t xml:space="preserve"> </w:t>
      </w:r>
      <w:r>
        <w:t xml:space="preserve">predictive interval bounds are computed directly as the α/2 and 1 − α/2</w:t>
      </w:r>
      <w:r>
        <w:t xml:space="preserve"> </w:t>
      </w:r>
      <w:r>
        <w:t xml:space="preserve">empirical quantiles of the path ensemble. No residual-based reconstruction</w:t>
      </w:r>
      <w:r>
        <w:t xml:space="preserve"> </w:t>
      </w:r>
      <w:r>
        <w:t xml:space="preserve">is applied.</w:t>
      </w:r>
    </w:p>
    <w:p>
      <w:r>
        <w:pict>
          <v:rect style="width:0;height:1.5pt" o:hralign="center" o:hrstd="t" o:hr="t"/>
        </w:pict>
      </w:r>
    </w:p>
    <w:bookmarkEnd w:id="30"/>
    <w:bookmarkEnd w:id="31"/>
    <w:bookmarkStart w:id="36" w:name="diagnostic-evaluation"/>
    <w:p>
      <w:pPr>
        <w:pStyle w:val="Heading2"/>
      </w:pPr>
      <w:r>
        <w:t xml:space="preserve">4. Diagnostic Evaluation</w:t>
      </w:r>
    </w:p>
    <w:p>
      <w:pPr>
        <w:pStyle w:val="FirstParagraph"/>
      </w:pPr>
      <w:r>
        <w:t xml:space="preserve">The diagnostic layer applies three complementary evaluation approaches.</w:t>
      </w:r>
      <w:r>
        <w:t xml:space="preserve"> </w:t>
      </w:r>
      <w:r>
        <w:t xml:space="preserve">Together these constitute a multi-layer test battery that avoids the</w:t>
      </w:r>
      <w:r>
        <w:t xml:space="preserve"> </w:t>
      </w:r>
      <w:r>
        <w:t xml:space="preserve">limitations of any single metric.</w:t>
      </w:r>
    </w:p>
    <w:bookmarkStart w:id="32" w:name="X778ae9477b1300fd6228e1904f2a43758221836"/>
    <w:p>
      <w:pPr>
        <w:pStyle w:val="Heading3"/>
      </w:pPr>
      <w:r>
        <w:t xml:space="preserve">4.1 Interval Backtesting — Anfuso Traffic-Light Framework</w:t>
      </w:r>
    </w:p>
    <w:p>
      <w:pPr>
        <w:pStyle w:val="FirstParagraph"/>
      </w:pPr>
      <w:r>
        <w:t xml:space="preserve">The Anfuso framework (Anfuso et al., 2017) evaluates whether the empirical</w:t>
      </w:r>
      <w:r>
        <w:t xml:space="preserve"> </w:t>
      </w:r>
      <w:r>
        <w:t xml:space="preserve">breach rate of a predictive interval is consistent with its nominal</w:t>
      </w:r>
      <w:r>
        <w:t xml:space="preserve"> </w:t>
      </w:r>
      <w:r>
        <w:t xml:space="preserve">miscoverage level α. A breach at time t is defined as:</w:t>
      </w:r>
    </w:p>
    <w:p>
      <w:pPr>
        <w:pStyle w:val="SourceCode"/>
      </w:pPr>
      <w:r>
        <w:rPr>
          <w:rStyle w:val="VerbatimChar"/>
        </w:rPr>
        <w:t xml:space="preserve">B_t = 𝟙{y_t &lt; l_t} + 𝟙{y_t &gt; u_t}</w:t>
      </w:r>
    </w:p>
    <w:p>
      <w:pPr>
        <w:pStyle w:val="FirstParagraph"/>
      </w:pPr>
      <w:r>
        <w:t xml:space="preserve">where l_t and u_t are the lower and upper bounds of the (1−α) interval.</w:t>
      </w:r>
      <w:r>
        <w:t xml:space="preserve"> </w:t>
      </w:r>
      <w:r>
        <w:t xml:space="preserve">Under correct calibration, E[B_t] = α. The test evaluates each tail</w:t>
      </w:r>
      <w:r>
        <w:t xml:space="preserve"> </w:t>
      </w:r>
      <w:r>
        <w:t xml:space="preserve">separately and jointly using a one-sided binomial test:</w:t>
      </w:r>
    </w:p>
    <w:p>
      <w:pPr>
        <w:pStyle w:val="SourceCode"/>
      </w:pPr>
      <w:r>
        <w:rPr>
          <w:rStyle w:val="VerbatimChar"/>
        </w:rPr>
        <w:t xml:space="preserve">H₀: breach rate ≤ nominal rate</w:t>
      </w:r>
      <w:r>
        <w:br/>
      </w:r>
      <w:r>
        <w:rPr>
          <w:rStyle w:val="VerbatimChar"/>
        </w:rPr>
        <w:t xml:space="preserve">H₁: breach rate &gt; nominal rate</w:t>
      </w:r>
    </w:p>
    <w:p>
      <w:pPr>
        <w:pStyle w:val="FirstParagraph"/>
      </w:pPr>
      <w:r>
        <w:t xml:space="preserve">The traffic-light classification maps the binomial exceedance p-value to</w:t>
      </w:r>
      <w:r>
        <w:t xml:space="preserve"> </w:t>
      </w:r>
      <w:r>
        <w:t xml:space="preserve">one of three outcomes: GREEN (model acceptable), YELLOW (model under</w:t>
      </w:r>
      <w:r>
        <w:t xml:space="preserve"> </w:t>
      </w:r>
      <w:r>
        <w:t xml:space="preserve">review), RED (model rejected). The cutoffs follow the Basel framework</w:t>
      </w:r>
      <w:r>
        <w:t xml:space="preserve"> </w:t>
      </w:r>
      <w:r>
        <w:t xml:space="preserve">convention (Basel Committee, 1996; 2010), adapted to energy market</w:t>
      </w:r>
      <w:r>
        <w:t xml:space="preserve"> </w:t>
      </w:r>
      <w:r>
        <w:t xml:space="preserve">governance context.</w:t>
      </w:r>
    </w:p>
    <w:bookmarkEnd w:id="32"/>
    <w:bookmarkStart w:id="33" w:name="Xbf1c629007e404abbe2dbfca83d7d51ca2e8c8c"/>
    <w:p>
      <w:pPr>
        <w:pStyle w:val="Heading3"/>
      </w:pPr>
      <w:r>
        <w:t xml:space="preserve">4.2 Distributional Diagnostics — PIT-Based Tests</w:t>
      </w:r>
    </w:p>
    <w:p>
      <w:pPr>
        <w:pStyle w:val="FirstParagraph"/>
      </w:pPr>
      <w:r>
        <w:t xml:space="preserve">The Probability Integral Transform (PIT) of a realisation y_t under the</w:t>
      </w:r>
      <w:r>
        <w:t xml:space="preserve"> </w:t>
      </w:r>
      <w:r>
        <w:t xml:space="preserve">predictive CDF F_t is:</w:t>
      </w:r>
    </w:p>
    <w:p>
      <w:pPr>
        <w:pStyle w:val="SourceCode"/>
      </w:pPr>
      <w:r>
        <w:rPr>
          <w:rStyle w:val="VerbatimChar"/>
        </w:rPr>
        <w:t xml:space="preserve">u_t = F_t(y_t)</w:t>
      </w:r>
    </w:p>
    <w:p>
      <w:pPr>
        <w:pStyle w:val="FirstParagraph"/>
      </w:pPr>
      <w:r>
        <w:t xml:space="preserve">Under correct probabilistic calibration, u_t ~ U(0, 1) i.i.d. (Dawid,</w:t>
      </w:r>
      <w:r>
        <w:t xml:space="preserve"> </w:t>
      </w:r>
      <w:r>
        <w:t xml:space="preserve">1984; Diebold et al., 1998). Two properties are tested:</w:t>
      </w:r>
    </w:p>
    <w:p>
      <w:pPr>
        <w:pStyle w:val="BodyText"/>
      </w:pPr>
      <w:r>
        <w:rPr>
          <w:b/>
          <w:bCs/>
        </w:rPr>
        <w:t xml:space="preserve">Uniformity</w:t>
      </w:r>
      <w:r>
        <w:t xml:space="preserve"> </w:t>
      </w:r>
      <w:r>
        <w:t xml:space="preserve">— whether the empirical distribution of {u_t} is consistent</w:t>
      </w:r>
      <w:r>
        <w:t xml:space="preserve"> </w:t>
      </w:r>
      <w:r>
        <w:t xml:space="preserve">with U(0,1):</w:t>
      </w:r>
      <w:r>
        <w:t xml:space="preserve"> </w:t>
      </w:r>
      <w:r>
        <w:t xml:space="preserve">- Kolmogorov–Smirnov (KS) test: nonparametric distance between empirical</w:t>
      </w:r>
      <w:r>
        <w:t xml:space="preserve"> </w:t>
      </w:r>
      <w:r>
        <w:t xml:space="preserve">and uniform CDF (Kolmogorov, 1933; Smirnov, 1948).</w:t>
      </w:r>
      <w:r>
        <w:t xml:space="preserve"> </w:t>
      </w:r>
      <w:r>
        <w:t xml:space="preserve">- Cramér–von Mises (CvM) test: weighted quadratic distance, more sensitive</w:t>
      </w:r>
      <w:r>
        <w:t xml:space="preserve"> </w:t>
      </w:r>
      <w:r>
        <w:t xml:space="preserve">to distributional centre (Cramér, 1928).</w:t>
      </w:r>
      <w:r>
        <w:t xml:space="preserve"> </w:t>
      </w:r>
      <w:r>
        <w:t xml:space="preserve">- Anderson–Darling (AD) test: weighted KS with enhanced sensitivity to</w:t>
      </w:r>
      <w:r>
        <w:t xml:space="preserve"> </w:t>
      </w:r>
      <w:r>
        <w:t xml:space="preserve">distribution tails (Anderson and Darling, 1952).</w:t>
      </w:r>
    </w:p>
    <w:p>
      <w:pPr>
        <w:pStyle w:val="BodyText"/>
      </w:pPr>
      <w:r>
        <w:rPr>
          <w:b/>
          <w:bCs/>
        </w:rPr>
        <w:t xml:space="preserve">Independence</w:t>
      </w:r>
      <w:r>
        <w:t xml:space="preserve"> </w:t>
      </w:r>
      <w:r>
        <w:t xml:space="preserve">— whether the sequence {u_t} is serially independent.</w:t>
      </w:r>
      <w:r>
        <w:t xml:space="preserve"> </w:t>
      </w:r>
      <w:r>
        <w:t xml:space="preserve">Following Berkowitz (2001), PIT values are transformed to standard normal</w:t>
      </w:r>
      <w:r>
        <w:t xml:space="preserve"> </w:t>
      </w:r>
      <w:r>
        <w:t xml:space="preserve">scores z_t = Φ⁻¹(u_t), and the the Ljung–Box portmanteau test (Ljung and Box, 1978) is applied to</w:t>
      </w:r>
      <w:r>
        <w:t xml:space="preserve"> </w:t>
      </w:r>
      <w:r>
        <w:t xml:space="preserve">{z_t} at lags 5, 10, and 20.. Serial dependence in z_t indicates that the</w:t>
      </w:r>
      <w:r>
        <w:t xml:space="preserve"> </w:t>
      </w:r>
      <w:r>
        <w:t xml:space="preserve">model’s predictive distribution fails to capture temporal autocorrelation</w:t>
      </w:r>
      <w:r>
        <w:t xml:space="preserve"> </w:t>
      </w:r>
      <w:r>
        <w:t xml:space="preserve">in the process.</w:t>
      </w:r>
    </w:p>
    <w:p>
      <w:pPr>
        <w:pStyle w:val="BodyText"/>
      </w:pPr>
      <w:r>
        <w:t xml:space="preserve">PIT-based diagnostics require access to the full predictive CDF. For ENTSO-E</w:t>
      </w:r>
      <w:r>
        <w:t xml:space="preserve"> </w:t>
      </w:r>
      <w:r>
        <w:t xml:space="preserve">and renewable datasets, PIT scores are computed from the Monte Carlo sample</w:t>
      </w:r>
      <w:r>
        <w:t xml:space="preserve"> </w:t>
      </w:r>
      <w:r>
        <w:t xml:space="preserve">arrays (500 draws per observation) saved by the build scripts. For the</w:t>
      </w:r>
      <w:r>
        <w:t xml:space="preserve"> </w:t>
      </w:r>
      <w:r>
        <w:t xml:space="preserve">simulation model, only quantile bounds are passed to the run script in the</w:t>
      </w:r>
      <w:r>
        <w:t xml:space="preserve"> </w:t>
      </w:r>
      <w:r>
        <w:t xml:space="preserve">current pipeline; full PIT diagnostics are therefore unavailable for that</w:t>
      </w:r>
      <w:r>
        <w:t xml:space="preserve"> </w:t>
      </w:r>
      <w:r>
        <w:t xml:space="preserve">model class.</w:t>
      </w:r>
    </w:p>
    <w:bookmarkEnd w:id="33"/>
    <w:bookmarkStart w:id="34" w:name="proper-scoring-crps"/>
    <w:p>
      <w:pPr>
        <w:pStyle w:val="Heading3"/>
      </w:pPr>
      <w:r>
        <w:t xml:space="preserve">4.3 Proper Scoring — CRPS</w:t>
      </w:r>
    </w:p>
    <w:p>
      <w:pPr>
        <w:pStyle w:val="FirstParagraph"/>
      </w:pPr>
      <w:r>
        <w:t xml:space="preserve">The Continuous Ranked Probability Score (CRPS; Gneiting and Raftery, 2007)</w:t>
      </w:r>
      <w:r>
        <w:t xml:space="preserve"> </w:t>
      </w:r>
      <w:r>
        <w:t xml:space="preserve">is a strictly proper scoring rule that jointly rewards calibration and</w:t>
      </w:r>
      <w:r>
        <w:t xml:space="preserve"> </w:t>
      </w:r>
      <w:r>
        <w:t xml:space="preserve">sharpness. For a predictive CDF F and realisation y:</w:t>
      </w:r>
    </w:p>
    <w:p>
      <w:pPr>
        <w:pStyle w:val="SourceCode"/>
      </w:pPr>
      <w:r>
        <w:rPr>
          <w:rStyle w:val="VerbatimChar"/>
        </w:rPr>
        <w:t xml:space="preserve">CRPS(F, y) = ∫_{-∞}^{∞} [F(z) − 𝟙{z ≥ y}]² dz</w:t>
      </w:r>
    </w:p>
    <w:p>
      <w:pPr>
        <w:pStyle w:val="FirstParagraph"/>
      </w:pPr>
      <w:r>
        <w:t xml:space="preserve">A lower CRPS indicates a better probabilistic forecast. CRPS values are</w:t>
      </w:r>
      <w:r>
        <w:t xml:space="preserve"> </w:t>
      </w:r>
      <w:r>
        <w:t xml:space="preserve">not directly comparable across datasets because they are expressed in the</w:t>
      </w:r>
      <w:r>
        <w:t xml:space="preserve"> </w:t>
      </w:r>
      <w:r>
        <w:t xml:space="preserve">units of the target variable (electricity load for ENTSO-E; capacity factor</w:t>
      </w:r>
      <w:r>
        <w:t xml:space="preserve"> </w:t>
      </w:r>
      <w:r>
        <w:t xml:space="preserve">for PV and wind). Within-dataset comparisons across rolling windows and</w:t>
      </w:r>
      <w:r>
        <w:t xml:space="preserve"> </w:t>
      </w:r>
      <w:r>
        <w:t xml:space="preserve">model variants are meaningful.</w:t>
      </w:r>
    </w:p>
    <w:bookmarkEnd w:id="34"/>
    <w:bookmarkStart w:id="35" w:name="rolling-evaluation"/>
    <w:p>
      <w:pPr>
        <w:pStyle w:val="Heading3"/>
      </w:pPr>
      <w:r>
        <w:t xml:space="preserve">4.4 Rolling Evaluation</w:t>
      </w:r>
    </w:p>
    <w:p>
      <w:pPr>
        <w:pStyle w:val="FirstParagraph"/>
      </w:pPr>
      <w:r>
        <w:t xml:space="preserve">Full-sample diagnostics capture aggregate performance but may obscure</w:t>
      </w:r>
      <w:r>
        <w:t xml:space="preserve"> </w:t>
      </w:r>
      <w:r>
        <w:t xml:space="preserve">localised failures or improvements over time. Rolling-window diagnostics</w:t>
      </w:r>
      <w:r>
        <w:t xml:space="preserve"> </w:t>
      </w:r>
      <w:r>
        <w:t xml:space="preserve">are therefore computed under two complementary schemes:</w:t>
      </w:r>
    </w:p>
    <w:p>
      <w:pPr>
        <w:pStyle w:val="Compact"/>
        <w:numPr>
          <w:ilvl w:val="0"/>
          <w:numId w:val="1005"/>
        </w:numPr>
      </w:pPr>
      <w:r>
        <w:rPr>
          <w:b/>
          <w:bCs/>
        </w:rPr>
        <w:t xml:space="preserve">Non-overlapping windows:</w:t>
      </w:r>
      <w:r>
        <w:t xml:space="preserve"> </w:t>
      </w:r>
      <w:r>
        <w:t xml:space="preserve">each window is independent, providing an</w:t>
      </w:r>
      <w:r>
        <w:t xml:space="preserve"> </w:t>
      </w:r>
      <w:r>
        <w:t xml:space="preserve">unbiased sequence of local diagnostic snapshots.</w:t>
      </w:r>
    </w:p>
    <w:p>
      <w:pPr>
        <w:pStyle w:val="Compact"/>
        <w:numPr>
          <w:ilvl w:val="0"/>
          <w:numId w:val="1005"/>
        </w:numPr>
      </w:pPr>
      <w:r>
        <w:rPr>
          <w:b/>
          <w:bCs/>
        </w:rPr>
        <w:t xml:space="preserve">Overlapping windows:</w:t>
      </w:r>
      <w:r>
        <w:t xml:space="preserve"> </w:t>
      </w:r>
      <w:r>
        <w:t xml:space="preserve">consecutive windows share observations,</w:t>
      </w:r>
      <w:r>
        <w:t xml:space="preserve"> </w:t>
      </w:r>
      <w:r>
        <w:t xml:space="preserve">producing smoother diagnostic trajectories that highlight gradual</w:t>
      </w:r>
      <w:r>
        <w:t xml:space="preserve"> </w:t>
      </w:r>
      <w:r>
        <w:t xml:space="preserve">regime transitions.</w:t>
      </w:r>
    </w:p>
    <w:p>
      <w:pPr>
        <w:pStyle w:val="FirstParagraph"/>
      </w:pPr>
      <w:r>
        <w:t xml:space="preserve">There is no standard window length for rolling energy market diagnostics</w:t>
      </w:r>
      <w:r>
        <w:t xml:space="preserve"> </w:t>
      </w:r>
      <w:r>
        <w:t xml:space="preserve">(Rikard Engström, personal communication, 2026); the choice is</w:t>
      </w:r>
      <w:r>
        <w:t xml:space="preserve"> </w:t>
      </w:r>
      <w:r>
        <w:t xml:space="preserve">context-dependent and should reflect the trade-off between local</w:t>
      </w:r>
      <w:r>
        <w:t xml:space="preserve"> </w:t>
      </w:r>
      <w:r>
        <w:t xml:space="preserve">adaptivity and estimation stability. Rolling evaluation is particularly</w:t>
      </w:r>
      <w:r>
        <w:t xml:space="preserve"> </w:t>
      </w:r>
      <w:r>
        <w:t xml:space="preserve">valuable for detecting localised forecast failures and structural breaks</w:t>
      </w:r>
      <w:r>
        <w:t xml:space="preserve"> </w:t>
      </w:r>
      <w:r>
        <w:t xml:space="preserve">(Giacomini and Rossi, 2010). The window parameters used in this</w:t>
      </w:r>
      <w:r>
        <w:t xml:space="preserve"> </w:t>
      </w:r>
      <w:r>
        <w:t xml:space="preserve">study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Window</w:t>
            </w:r>
          </w:p>
        </w:tc>
        <w:tc>
          <w:tcPr/>
          <w:p>
            <w:pPr>
              <w:pStyle w:val="Compact"/>
            </w:pPr>
            <w:r>
              <w:t xml:space="preserve">Step (non-overlapping)</w:t>
            </w:r>
          </w:p>
        </w:tc>
        <w:tc>
          <w:tcPr/>
          <w:p>
            <w:pPr>
              <w:pStyle w:val="Compact"/>
            </w:pPr>
            <w:r>
              <w:t xml:space="preserve">Step (overlapping)</w:t>
            </w:r>
          </w:p>
        </w:tc>
      </w:tr>
      <w:tr>
        <w:tc>
          <w:tcPr/>
          <w:p>
            <w:pPr>
              <w:pStyle w:val="Compact"/>
            </w:pPr>
            <w:r>
              <w:t xml:space="preserve">ENTSO-E</w:t>
            </w:r>
          </w:p>
        </w:tc>
        <w:tc>
          <w:tcPr/>
          <w:p>
            <w:pPr>
              <w:pStyle w:val="Compact"/>
            </w:pPr>
            <w:r>
              <w:t xml:space="preserve">250</w:t>
            </w:r>
          </w:p>
        </w:tc>
        <w:tc>
          <w:tcPr/>
          <w:p>
            <w:pPr>
              <w:pStyle w:val="Compact"/>
            </w:pPr>
            <w:r>
              <w:t xml:space="preserve">250</w:t>
            </w:r>
          </w:p>
        </w:tc>
        <w:tc>
          <w:tcPr/>
          <w:p>
            <w:pPr>
              <w:pStyle w:val="Compact"/>
            </w:pPr>
            <w:r>
              <w:t xml:space="preserve">50</w:t>
            </w:r>
          </w:p>
        </w:tc>
      </w:tr>
      <w:tr>
        <w:tc>
          <w:tcPr/>
          <w:p>
            <w:pPr>
              <w:pStyle w:val="Compact"/>
            </w:pPr>
            <w:r>
              <w:t xml:space="preserve">PV</w:t>
            </w:r>
          </w:p>
        </w:tc>
        <w:tc>
          <w:tcPr/>
          <w:p>
            <w:pPr>
              <w:pStyle w:val="Compact"/>
            </w:pPr>
            <w:r>
              <w:t xml:space="preserve">720</w:t>
            </w:r>
          </w:p>
        </w:tc>
        <w:tc>
          <w:tcPr/>
          <w:p>
            <w:pPr>
              <w:pStyle w:val="Compact"/>
            </w:pPr>
            <w:r>
              <w:t xml:space="preserve">720</w:t>
            </w:r>
          </w:p>
        </w:tc>
        <w:tc>
          <w:tcPr/>
          <w:p>
            <w:pPr>
              <w:pStyle w:val="Compact"/>
            </w:pPr>
            <w:r>
              <w:t xml:space="preserve">168</w:t>
            </w:r>
          </w:p>
        </w:tc>
      </w:tr>
      <w:tr>
        <w:tc>
          <w:tcPr/>
          <w:p>
            <w:pPr>
              <w:pStyle w:val="Compact"/>
            </w:pPr>
            <w:r>
              <w:t xml:space="preserve">Wind</w:t>
            </w:r>
          </w:p>
        </w:tc>
        <w:tc>
          <w:tcPr/>
          <w:p>
            <w:pPr>
              <w:pStyle w:val="Compact"/>
            </w:pPr>
            <w:r>
              <w:t xml:space="preserve">720</w:t>
            </w:r>
          </w:p>
        </w:tc>
        <w:tc>
          <w:tcPr/>
          <w:p>
            <w:pPr>
              <w:pStyle w:val="Compact"/>
            </w:pPr>
            <w:r>
              <w:t xml:space="preserve">720</w:t>
            </w:r>
          </w:p>
        </w:tc>
        <w:tc>
          <w:tcPr/>
          <w:p>
            <w:pPr>
              <w:pStyle w:val="Compact"/>
            </w:pPr>
            <w:r>
              <w:t xml:space="preserve">168</w:t>
            </w:r>
          </w:p>
        </w:tc>
      </w:tr>
    </w:tbl>
    <w:p>
      <w:pPr>
        <w:pStyle w:val="BodyText"/>
      </w:pPr>
      <w:r>
        <w:t xml:space="preserve">For ENTSO-E (quarter-hourly), a window of 250 corresponds to approximately</w:t>
      </w:r>
      <w:r>
        <w:t xml:space="preserve"> </w:t>
      </w:r>
      <w:r>
        <w:t xml:space="preserve">62.5 hours. For PV and wind (hourly), a window of 720 corresponds to 30</w:t>
      </w:r>
      <w:r>
        <w:t xml:space="preserve"> </w:t>
      </w:r>
      <w:r>
        <w:t xml:space="preserve">days, and a step of 168 corresponds to one week.</w:t>
      </w:r>
    </w:p>
    <w:p>
      <w:r>
        <w:pict>
          <v:rect style="width:0;height:1.5pt" o:hralign="center" o:hrstd="t" o:hr="t"/>
        </w:pict>
      </w:r>
    </w:p>
    <w:bookmarkEnd w:id="35"/>
    <w:bookmarkEnd w:id="36"/>
    <w:bookmarkStart w:id="41" w:name="conformal-augmentation"/>
    <w:p>
      <w:pPr>
        <w:pStyle w:val="Heading2"/>
      </w:pPr>
      <w:r>
        <w:t xml:space="preserve">5. Conformal Augmentation</w:t>
      </w:r>
    </w:p>
    <w:p>
      <w:pPr>
        <w:pStyle w:val="FirstParagraph"/>
      </w:pPr>
      <w:r>
        <w:t xml:space="preserve">Conformal prediction (Vovk, Gammerman and Shafer, 2005; Shafer and Vovk, 2008;</w:t>
      </w:r>
      <w:r>
        <w:t xml:space="preserve"> </w:t>
      </w:r>
      <w:r>
        <w:t xml:space="preserve">Tibshirani et al., 2019) provides distribution-free finite-sample coverage</w:t>
      </w:r>
      <w:r>
        <w:t xml:space="preserve"> </w:t>
      </w:r>
      <w:r>
        <w:t xml:space="preserve">guarantees under exchangeability.</w:t>
      </w:r>
      <w:r>
        <w:t xml:space="preserve"> </w:t>
      </w:r>
      <w:r>
        <w:t xml:space="preserve">In this framework, conformal augmentation is applied as a post-hoc</w:t>
      </w:r>
      <w:r>
        <w:t xml:space="preserve"> </w:t>
      </w:r>
      <w:r>
        <w:t xml:space="preserve">recalibration layer on top of the residual-based base intervals, not as</w:t>
      </w:r>
      <w:r>
        <w:t xml:space="preserve"> </w:t>
      </w:r>
      <w:r>
        <w:t xml:space="preserve">an alternative evaluation method.</w:t>
      </w:r>
    </w:p>
    <w:bookmarkStart w:id="37" w:name="motivation"/>
    <w:p>
      <w:pPr>
        <w:pStyle w:val="Heading3"/>
      </w:pPr>
      <w:r>
        <w:t xml:space="preserve">5.1 Motivation</w:t>
      </w:r>
    </w:p>
    <w:p>
      <w:pPr>
        <w:pStyle w:val="FirstParagraph"/>
      </w:pPr>
      <w:r>
        <w:t xml:space="preserve">The residual-based reconstruction in Section 3 is a reasonable best-effort</w:t>
      </w:r>
      <w:r>
        <w:t xml:space="preserve"> </w:t>
      </w:r>
      <w:r>
        <w:t xml:space="preserve">baseline, but it does not guarantee nominal coverage — particularly under</w:t>
      </w:r>
      <w:r>
        <w:t xml:space="preserve"> </w:t>
      </w:r>
      <w:r>
        <w:t xml:space="preserve">distributional shift between the calibration period (from which residual</w:t>
      </w:r>
      <w:r>
        <w:t xml:space="preserve"> </w:t>
      </w:r>
      <w:r>
        <w:t xml:space="preserve">quantiles are estimated) and the evaluation period. The conformal layer</w:t>
      </w:r>
      <w:r>
        <w:t xml:space="preserve"> </w:t>
      </w:r>
      <w:r>
        <w:t xml:space="preserve">corrects for this shift without requiring re-estimation of the underlying</w:t>
      </w:r>
      <w:r>
        <w:t xml:space="preserve"> </w:t>
      </w:r>
      <w:r>
        <w:t xml:space="preserve">model.</w:t>
      </w:r>
    </w:p>
    <w:bookmarkEnd w:id="37"/>
    <w:bookmarkStart w:id="38" w:name="method-base-interval-conformal-expansion"/>
    <w:p>
      <w:pPr>
        <w:pStyle w:val="Heading3"/>
      </w:pPr>
      <w:r>
        <w:t xml:space="preserve">5.2 Method: Base Interval + Conformal Expansion</w:t>
      </w:r>
    </w:p>
    <w:p>
      <w:pPr>
        <w:pStyle w:val="FirstParagraph"/>
      </w:pPr>
      <w:r>
        <w:t xml:space="preserve">Among five conformal variants evaluated on the ENTSO-E 90-day development</w:t>
      </w:r>
      <w:r>
        <w:t xml:space="preserve"> </w:t>
      </w:r>
      <w:r>
        <w:t xml:space="preserve">sample (04_conformal_wrapping.ipynb),</w:t>
      </w:r>
      <w:r>
        <w:t xml:space="preserve"> </w:t>
      </w:r>
      <w:r>
        <w:rPr>
          <w:b/>
          <w:bCs/>
        </w:rPr>
        <w:t xml:space="preserve">base interval + conformal</w:t>
      </w:r>
      <w:r>
        <w:rPr>
          <w:b/>
          <w:bCs/>
        </w:rPr>
        <w:t xml:space="preserve"> </w:t>
      </w:r>
      <w:r>
        <w:rPr>
          <w:b/>
          <w:bCs/>
        </w:rPr>
        <w:t xml:space="preserve">expansion</w:t>
      </w:r>
      <w:r>
        <w:t xml:space="preserve"> </w:t>
      </w:r>
      <w:r>
        <w:t xml:space="preserve">achieves the best calibration–sharpness trade-off. This method</w:t>
      </w:r>
      <w:r>
        <w:t xml:space="preserve"> </w:t>
      </w:r>
      <w:r>
        <w:t xml:space="preserve">retains the structural conditioning of the base interval (time-of-day</w:t>
      </w:r>
      <w:r>
        <w:t xml:space="preserve"> </w:t>
      </w:r>
      <w:r>
        <w:t xml:space="preserve">buckets, rolling residuals) and expands or contracts it by a conformal</w:t>
      </w:r>
      <w:r>
        <w:t xml:space="preserve"> </w:t>
      </w:r>
      <w:r>
        <w:t xml:space="preserve">quantile correction:</w:t>
      </w:r>
    </w:p>
    <w:p>
      <w:pPr>
        <w:pStyle w:val="Compact"/>
        <w:numPr>
          <w:ilvl w:val="0"/>
          <w:numId w:val="1006"/>
        </w:numPr>
      </w:pPr>
      <w:r>
        <w:t xml:space="preserve">Split the calibration set into a proper training set and a calibration</w:t>
      </w:r>
      <w:r>
        <w:t xml:space="preserve"> </w:t>
      </w:r>
      <w:r>
        <w:t xml:space="preserve">holdout.</w:t>
      </w:r>
    </w:p>
    <w:p>
      <w:pPr>
        <w:pStyle w:val="Compact"/>
        <w:numPr>
          <w:ilvl w:val="0"/>
          <w:numId w:val="1006"/>
        </w:numPr>
      </w:pPr>
      <w:r>
        <w:t xml:space="preserve">Compute conformity scores s_t = max(l_t − y_t, y_t − u_t) on the</w:t>
      </w:r>
      <w:r>
        <w:t xml:space="preserve"> </w:t>
      </w:r>
      <w:r>
        <w:t xml:space="preserve">calibration holdout, where l_t, u_t are the base interval bounds.</w:t>
      </w:r>
    </w:p>
    <w:p>
      <w:pPr>
        <w:pStyle w:val="Compact"/>
        <w:numPr>
          <w:ilvl w:val="0"/>
          <w:numId w:val="1006"/>
        </w:numPr>
      </w:pPr>
      <w:r>
        <w:t xml:space="preserve">Set the conformal quantile q̂ as the ⌈(n+1)(1−α)⌉/n empirical</w:t>
      </w:r>
      <w:r>
        <w:t xml:space="preserve"> </w:t>
      </w:r>
      <w:r>
        <w:t xml:space="preserve">quantile of {s_t}.</w:t>
      </w:r>
    </w:p>
    <w:p>
      <w:pPr>
        <w:pStyle w:val="Compact"/>
        <w:numPr>
          <w:ilvl w:val="0"/>
          <w:numId w:val="1006"/>
        </w:numPr>
      </w:pPr>
      <w:r>
        <w:t xml:space="preserve">Expand the test-set intervals: [l_t − q̂, u_t + q̂].</w:t>
      </w:r>
    </w:p>
    <w:p>
      <w:pPr>
        <w:pStyle w:val="FirstParagraph"/>
      </w:pPr>
      <w:r>
        <w:t xml:space="preserve">Under exchangeability, the resulting intervals achieve marginal coverage of</w:t>
      </w:r>
      <w:r>
        <w:t xml:space="preserve"> </w:t>
      </w:r>
      <w:r>
        <w:t xml:space="preserve">at least 1 − α with finite-sample validity (Angelopoulos and Bates, 2023).</w:t>
      </w:r>
    </w:p>
    <w:bookmarkEnd w:id="38"/>
    <w:bookmarkStart w:id="39" w:name="distribution-shift-under-covariate-shift"/>
    <w:p>
      <w:pPr>
        <w:pStyle w:val="Heading3"/>
      </w:pPr>
      <w:r>
        <w:t xml:space="preserve">5.3 Distribution Shift Under Covariate Shift</w:t>
      </w:r>
    </w:p>
    <w:p>
      <w:pPr>
        <w:pStyle w:val="FirstParagraph"/>
      </w:pPr>
      <w:r>
        <w:t xml:space="preserve">To account for temporal nonstationarity — where test-period observations</w:t>
      </w:r>
      <w:r>
        <w:t xml:space="preserve"> </w:t>
      </w:r>
      <w:r>
        <w:t xml:space="preserve">are not exchangeable with calibration-period observations — covariate-shift</w:t>
      </w:r>
      <w:r>
        <w:t xml:space="preserve"> </w:t>
      </w:r>
      <w:r>
        <w:t xml:space="preserve">weights are estimated via a logistic density ratio on time features (elapsed</w:t>
      </w:r>
      <w:r>
        <w:t xml:space="preserve"> </w:t>
      </w:r>
      <w:r>
        <w:t xml:space="preserve">time, cyclic hour and month encodings). These weights are used to reweight</w:t>
      </w:r>
      <w:r>
        <w:t xml:space="preserve"> </w:t>
      </w:r>
      <w:r>
        <w:t xml:space="preserve">the calibration conformity scores before computing the conformal quantile,</w:t>
      </w:r>
      <w:r>
        <w:t xml:space="preserve"> </w:t>
      </w:r>
      <w:r>
        <w:t xml:space="preserve">following Tibshirani et al. (2019).</w:t>
      </w:r>
    </w:p>
    <w:bookmarkEnd w:id="39"/>
    <w:bookmarkStart w:id="40" w:name="limitations"/>
    <w:p>
      <w:pPr>
        <w:pStyle w:val="Heading3"/>
      </w:pPr>
      <w:r>
        <w:t xml:space="preserve">5.4 Limitations</w:t>
      </w:r>
    </w:p>
    <w:p>
      <w:pPr>
        <w:pStyle w:val="FirstParagraph"/>
      </w:pPr>
      <w:r>
        <w:t xml:space="preserve">The conformal augmentation layer was evaluated only on the ENTSO-E 90-day</w:t>
      </w:r>
      <w:r>
        <w:t xml:space="preserve"> </w:t>
      </w:r>
      <w:r>
        <w:t xml:space="preserve">development sample due to data availability constraints; full-dataset</w:t>
      </w:r>
      <w:r>
        <w:t xml:space="preserve"> </w:t>
      </w:r>
      <w:r>
        <w:t xml:space="preserve">conformal results and extension to PV and wind are deferred as future work.</w:t>
      </w:r>
      <w:r>
        <w:t xml:space="preserve"> </w:t>
      </w:r>
      <w:r>
        <w:t xml:space="preserve">The online CP variant with a fixed step size was found to produce</w:t>
      </w:r>
      <w:r>
        <w:t xml:space="preserve"> </w:t>
      </w:r>
      <w:r>
        <w:t xml:space="preserve">approximately 50% coverage regardless of nominal level on this dataset,</w:t>
      </w:r>
      <w:r>
        <w:t xml:space="preserve"> </w:t>
      </w:r>
      <w:r>
        <w:t xml:space="preserve">due to a scale mismatch: the step size of 0.01 is calibrated for</w:t>
      </w:r>
      <w:r>
        <w:t xml:space="preserve"> </w:t>
      </w:r>
      <w:r>
        <w:t xml:space="preserve">normalised residuals but ENTSO-E errors are in physical electricity load units</w:t>
      </w:r>
      <w:r>
        <w:t xml:space="preserve"> </w:t>
      </w:r>
      <w:r>
        <w:t xml:space="preserve">(O(10³)). This confirms that online CP step sizes must be set relative</w:t>
      </w:r>
      <w:r>
        <w:t xml:space="preserve"> </w:t>
      </w:r>
      <w:r>
        <w:t xml:space="preserve">to the residual scale of the target series.</w:t>
      </w:r>
    </w:p>
    <w:p>
      <w:r>
        <w:pict>
          <v:rect style="width:0;height:1.5pt" o:hralign="center" o:hrstd="t" o:hr="t"/>
        </w:pict>
      </w:r>
    </w:p>
    <w:bookmarkEnd w:id="40"/>
    <w:bookmarkEnd w:id="41"/>
    <w:bookmarkStart w:id="44" w:name="governance-classification"/>
    <w:p>
      <w:pPr>
        <w:pStyle w:val="Heading2"/>
      </w:pPr>
      <w:r>
        <w:t xml:space="preserve">6. Governance Classification</w:t>
      </w:r>
    </w:p>
    <w:bookmarkStart w:id="42" w:name="traffic-light-aggregation"/>
    <w:p>
      <w:pPr>
        <w:pStyle w:val="Heading3"/>
      </w:pPr>
      <w:r>
        <w:t xml:space="preserve">6.1 Traffic-Light Aggregation</w:t>
      </w:r>
    </w:p>
    <w:p>
      <w:pPr>
        <w:pStyle w:val="FirstParagraph"/>
      </w:pPr>
      <w:r>
        <w:t xml:space="preserve">Diagnostic signals from the interval backtesting and PIT layers are</w:t>
      </w:r>
      <w:r>
        <w:t xml:space="preserve"> </w:t>
      </w:r>
      <w:r>
        <w:t xml:space="preserve">aggregated into a single governance classification using a rule-based</w:t>
      </w:r>
      <w:r>
        <w:t xml:space="preserve"> </w:t>
      </w:r>
      <w:r>
        <w:t xml:space="preserve">policy. The classification is:</w:t>
      </w:r>
    </w:p>
    <w:p>
      <w:pPr>
        <w:pStyle w:val="Compact"/>
        <w:numPr>
          <w:ilvl w:val="0"/>
          <w:numId w:val="1007"/>
        </w:numPr>
      </w:pPr>
      <w:r>
        <w:rPr>
          <w:b/>
          <w:bCs/>
        </w:rPr>
        <w:t xml:space="preserve">GREEN:</w:t>
      </w:r>
      <w:r>
        <w:t xml:space="preserve"> </w:t>
      </w:r>
      <w:r>
        <w:t xml:space="preserve">All monitored signals within policy thresholds. Model is</w:t>
      </w:r>
      <w:r>
        <w:t xml:space="preserve"> </w:t>
      </w:r>
      <w:r>
        <w:t xml:space="preserve">considered acceptable for continued use.</w:t>
      </w:r>
    </w:p>
    <w:p>
      <w:pPr>
        <w:pStyle w:val="Compact"/>
        <w:numPr>
          <w:ilvl w:val="0"/>
          <w:numId w:val="1007"/>
        </w:numPr>
      </w:pPr>
      <w:r>
        <w:rPr>
          <w:b/>
          <w:bCs/>
        </w:rPr>
        <w:t xml:space="preserve">YELLOW:</w:t>
      </w:r>
      <w:r>
        <w:t xml:space="preserve"> </w:t>
      </w:r>
      <w:r>
        <w:t xml:space="preserve">One or more signals mildly off-target but not in extreme</w:t>
      </w:r>
      <w:r>
        <w:t xml:space="preserve"> </w:t>
      </w:r>
      <w:r>
        <w:t xml:space="preserve">failure territory. Model is flagged for review.</w:t>
      </w:r>
    </w:p>
    <w:p>
      <w:pPr>
        <w:pStyle w:val="Compact"/>
        <w:numPr>
          <w:ilvl w:val="0"/>
          <w:numId w:val="1007"/>
        </w:numPr>
      </w:pPr>
      <w:r>
        <w:rPr>
          <w:b/>
          <w:bCs/>
        </w:rPr>
        <w:t xml:space="preserve">RED:</w:t>
      </w:r>
      <w:r>
        <w:t xml:space="preserve"> </w:t>
      </w:r>
      <w:r>
        <w:t xml:space="preserve">One or more signals strongly exceed thresholds. Model use</w:t>
      </w:r>
      <w:r>
        <w:t xml:space="preserve"> </w:t>
      </w:r>
      <w:r>
        <w:t xml:space="preserve">should be restricted or the model should be re-estimated.</w:t>
      </w:r>
    </w:p>
    <w:p>
      <w:pPr>
        <w:pStyle w:val="FirstParagraph"/>
      </w:pPr>
      <w:r>
        <w:t xml:space="preserve">The specific thresholds are implemented in</w:t>
      </w:r>
      <w:r>
        <w:t xml:space="preserve"> </w:t>
      </w:r>
      <w:r>
        <w:rPr>
          <w:rStyle w:val="VerbatimChar"/>
        </w:rPr>
        <w:t xml:space="preserve">src/governance/risk_classification.py</w:t>
      </w:r>
      <w:r>
        <w:t xml:space="preserve">.</w:t>
      </w:r>
      <w:r>
        <w:t xml:space="preserve"> </w:t>
      </w:r>
      <w:r>
        <w:t xml:space="preserve">RED is triggered if any of the following hold:</w:t>
      </w:r>
      <w:r>
        <w:t xml:space="preserve"> </w:t>
      </w:r>
      <w:r>
        <w:t xml:space="preserve">- PIT uniformity is rejected at conventional significance levels</w:t>
      </w:r>
      <w:r>
        <w:t xml:space="preserve"> </w:t>
      </w:r>
      <w:r>
        <w:t xml:space="preserve">(minimum p-value across KS, CvM, AD &lt; threshold)</w:t>
      </w:r>
      <w:r>
        <w:t xml:space="preserve"> </w:t>
      </w:r>
      <w:r>
        <w:t xml:space="preserve">- PIT serial independence is rejected (minimum Ljung–Box p-value &lt; threshold)</w:t>
      </w:r>
      <w:r>
        <w:t xml:space="preserve"> </w:t>
      </w:r>
      <w:r>
        <w:t xml:space="preserve">- Empirical coverage deviates from nominal by more than a policy-defined</w:t>
      </w:r>
      <w:r>
        <w:t xml:space="preserve"> </w:t>
      </w:r>
      <w:r>
        <w:t xml:space="preserve">tolerance (coverage_error &gt; tol)</w:t>
      </w:r>
    </w:p>
    <w:bookmarkEnd w:id="42"/>
    <w:bookmarkStart w:id="43" w:name="regulatory-framing"/>
    <w:p>
      <w:pPr>
        <w:pStyle w:val="Heading3"/>
      </w:pPr>
      <w:r>
        <w:t xml:space="preserve">6.2 Regulatory Framing</w:t>
      </w:r>
    </w:p>
    <w:p>
      <w:pPr>
        <w:pStyle w:val="FirstParagraph"/>
      </w:pPr>
      <w:r>
        <w:t xml:space="preserve">The traffic-light architecture is inspired by the Basel Committee’s</w:t>
      </w:r>
      <w:r>
        <w:t xml:space="preserve"> </w:t>
      </w:r>
      <w:r>
        <w:t xml:space="preserve">backtesting framework for Value-at-Risk models (Basel Committee, 1996;</w:t>
      </w:r>
      <w:r>
        <w:t xml:space="preserve"> </w:t>
      </w:r>
      <w:r>
        <w:t xml:space="preserve">2010), which classifies models into green, yellow, and red zones based</w:t>
      </w:r>
      <w:r>
        <w:t xml:space="preserve"> </w:t>
      </w:r>
      <w:r>
        <w:t xml:space="preserve">on the number of VaR exceedances over a 250-day window. The adaptation</w:t>
      </w:r>
      <w:r>
        <w:t xml:space="preserve"> </w:t>
      </w:r>
      <w:r>
        <w:t xml:space="preserve">to probabilistic energy market models replaces exceedance counts with</w:t>
      </w:r>
      <w:r>
        <w:t xml:space="preserve"> </w:t>
      </w:r>
      <w:r>
        <w:t xml:space="preserve">the broader multi-layer diagnostic battery described above, and extends</w:t>
      </w:r>
      <w:r>
        <w:t xml:space="preserve"> </w:t>
      </w:r>
      <w:r>
        <w:t xml:space="preserve">the governance logic to cover distributional shape (PIT uniformity) and</w:t>
      </w:r>
      <w:r>
        <w:t xml:space="preserve"> </w:t>
      </w:r>
      <w:r>
        <w:t xml:space="preserve">temporal dependence (Ljung–Box independence) in addition to coverage.</w:t>
      </w:r>
      <w:r>
        <w:t xml:space="preserve"> </w:t>
      </w:r>
      <w:r>
        <w:t xml:space="preserve">This is consistent with the REMIT regulatory environment (European Parliament,</w:t>
      </w:r>
      <w:r>
        <w:t xml:space="preserve"> </w:t>
      </w:r>
      <w:r>
        <w:t xml:space="preserve">2011), which requires that energy market participants maintain demonstrably</w:t>
      </w:r>
      <w:r>
        <w:t xml:space="preserve"> </w:t>
      </w:r>
      <w:r>
        <w:t xml:space="preserve">reliable models for fundamental price formation and risk quantification.</w:t>
      </w:r>
    </w:p>
    <w:p>
      <w:r>
        <w:pict>
          <v:rect style="width:0;height:1.5pt" o:hralign="center" o:hrstd="t" o:hr="t"/>
        </w:pict>
      </w:r>
    </w:p>
    <w:bookmarkEnd w:id="43"/>
    <w:bookmarkEnd w:id="44"/>
    <w:bookmarkStart w:id="45" w:name="multivariate-extension"/>
    <w:p>
      <w:pPr>
        <w:pStyle w:val="Heading2"/>
      </w:pPr>
      <w:r>
        <w:t xml:space="preserve">7. Multivariate Extension</w:t>
      </w:r>
    </w:p>
    <w:p>
      <w:pPr>
        <w:pStyle w:val="FirstParagraph"/>
      </w:pPr>
      <w:r>
        <w:t xml:space="preserve">The univariate diagnostic framework evaluates each asset independently.</w:t>
      </w:r>
      <w:r>
        <w:t xml:space="preserve"> </w:t>
      </w:r>
      <w:r>
        <w:t xml:space="preserve">To assess joint calibration across correlated assets, a multivariate</w:t>
      </w:r>
      <w:r>
        <w:t xml:space="preserve"> </w:t>
      </w:r>
      <w:r>
        <w:t xml:space="preserve">dependency analysis is conducted for the PV and wind datasets, which share</w:t>
      </w:r>
      <w:r>
        <w:t xml:space="preserve"> </w:t>
      </w:r>
      <w:r>
        <w:t xml:space="preserve">a common hourly time index (2013–2015).</w:t>
      </w:r>
    </w:p>
    <w:p>
      <w:pPr>
        <w:pStyle w:val="BodyText"/>
      </w:pPr>
      <w:r>
        <w:t xml:space="preserve">Joint PIT residual dependence is evaluated on the shared daytime evaluation</w:t>
      </w:r>
      <w:r>
        <w:t xml:space="preserve"> </w:t>
      </w:r>
      <w:r>
        <w:t xml:space="preserve">index (n = 4,287 observations) using:</w:t>
      </w:r>
    </w:p>
    <w:p>
      <w:pPr>
        <w:pStyle w:val="Compact"/>
        <w:numPr>
          <w:ilvl w:val="0"/>
          <w:numId w:val="1008"/>
        </w:numPr>
      </w:pPr>
      <w:r>
        <w:rPr>
          <w:b/>
          <w:bCs/>
        </w:rPr>
        <w:t xml:space="preserve">Multivariate Ljung–Box test</w:t>
      </w:r>
      <w:r>
        <w:t xml:space="preserve"> </w:t>
      </w:r>
      <w:r>
        <w:t xml:space="preserve">applied to the stacked residual vector</w:t>
      </w:r>
      <w:r>
        <w:t xml:space="preserve"> </w:t>
      </w:r>
      <w:r>
        <w:t xml:space="preserve">[z_PV, z_wind]ᵀ at lags 5, 10, and 20, testing whether the joint</w:t>
      </w:r>
      <w:r>
        <w:t xml:space="preserve"> </w:t>
      </w:r>
      <w:r>
        <w:t xml:space="preserve">residual process is white noise.</w:t>
      </w:r>
    </w:p>
    <w:p>
      <w:pPr>
        <w:pStyle w:val="Compact"/>
        <w:numPr>
          <w:ilvl w:val="0"/>
          <w:numId w:val="1008"/>
        </w:numPr>
      </w:pPr>
      <w:r>
        <w:rPr>
          <w:b/>
          <w:bCs/>
        </w:rPr>
        <w:t xml:space="preserve">Cross-correlation matrix</w:t>
      </w:r>
      <w:r>
        <w:t xml:space="preserve"> </w:t>
      </w:r>
      <w:r>
        <w:t xml:space="preserve">of PIT residuals at lags 0, 1, 6, and 24,</w:t>
      </w:r>
      <w:r>
        <w:t xml:space="preserve"> </w:t>
      </w:r>
      <w:r>
        <w:t xml:space="preserve">characterising contemporaneous and lagged dependence between the two</w:t>
      </w:r>
      <w:r>
        <w:t xml:space="preserve"> </w:t>
      </w:r>
      <w:r>
        <w:t xml:space="preserve">series.</w:t>
      </w:r>
    </w:p>
    <w:p>
      <w:pPr>
        <w:pStyle w:val="Compact"/>
        <w:numPr>
          <w:ilvl w:val="0"/>
          <w:numId w:val="1008"/>
        </w:numPr>
      </w:pPr>
      <w:r>
        <w:rPr>
          <w:b/>
          <w:bCs/>
        </w:rPr>
        <w:t xml:space="preserve">Bivariate energy score</w:t>
      </w:r>
      <w:r>
        <w:t xml:space="preserve"> </w:t>
      </w:r>
      <w:r>
        <w:t xml:space="preserve">(Gneiting et al., 2008) as a joint proper</w:t>
      </w:r>
      <w:r>
        <w:t xml:space="preserve"> </w:t>
      </w:r>
      <w:r>
        <w:t xml:space="preserve">scoring rule providing a summary measure of the joint predictive</w:t>
      </w:r>
      <w:r>
        <w:t xml:space="preserve"> </w:t>
      </w:r>
      <w:r>
        <w:t xml:space="preserve">distribution quality.</w:t>
      </w:r>
    </w:p>
    <w:p>
      <w:pPr>
        <w:pStyle w:val="FirstParagraph"/>
      </w:pPr>
      <w:r>
        <w:t xml:space="preserve">The multivariate layer addresses the supervisor’s recommendation that a</w:t>
      </w:r>
      <w:r>
        <w:t xml:space="preserve"> </w:t>
      </w:r>
      <w:r>
        <w:t xml:space="preserve">credible validation framework for portfolio-level energy risk should</w:t>
      </w:r>
      <w:r>
        <w:t xml:space="preserve"> </w:t>
      </w:r>
      <w:r>
        <w:t xml:space="preserve">evaluate joint dependence structure across multiple commodity classes,</w:t>
      </w:r>
      <w:r>
        <w:t xml:space="preserve"> </w:t>
      </w:r>
      <w:r>
        <w:t xml:space="preserve">not only marginal calibration per asset.</w:t>
      </w:r>
    </w:p>
    <w:p>
      <w:r>
        <w:pict>
          <v:rect style="width:0;height:1.5pt" o:hralign="center" o:hrstd="t" o:hr="t"/>
        </w:pict>
      </w:r>
    </w:p>
    <w:bookmarkEnd w:id="45"/>
    <w:bookmarkStart w:id="46" w:name="reproducibility"/>
    <w:p>
      <w:pPr>
        <w:pStyle w:val="Heading2"/>
      </w:pPr>
      <w:r>
        <w:t xml:space="preserve">8. Reproducibility</w:t>
      </w:r>
    </w:p>
    <w:p>
      <w:pPr>
        <w:pStyle w:val="FirstParagraph"/>
      </w:pPr>
      <w:r>
        <w:t xml:space="preserve">All pipeline components are implemented in Python 3.x and organised as</w:t>
      </w:r>
      <w:r>
        <w:t xml:space="preserve"> </w:t>
      </w:r>
      <w:r>
        <w:t xml:space="preserve">follows:</w:t>
      </w:r>
    </w:p>
    <w:p>
      <w:pPr>
        <w:pStyle w:val="Compact"/>
        <w:numPr>
          <w:ilvl w:val="0"/>
          <w:numId w:val="1009"/>
        </w:numPr>
      </w:pPr>
      <w:r>
        <w:rPr>
          <w:rStyle w:val="VerbatimChar"/>
        </w:rPr>
        <w:t xml:space="preserve">scripts/build_*.py</w:t>
      </w:r>
      <w:r>
        <w:t xml:space="preserve"> </w:t>
      </w:r>
      <w:r>
        <w:t xml:space="preserve">— dataset preparation and distribution reconstruction</w:t>
      </w:r>
    </w:p>
    <w:p>
      <w:pPr>
        <w:pStyle w:val="Compact"/>
        <w:numPr>
          <w:ilvl w:val="0"/>
          <w:numId w:val="1009"/>
        </w:numPr>
      </w:pPr>
      <w:r>
        <w:rPr>
          <w:rStyle w:val="VerbatimChar"/>
        </w:rPr>
        <w:t xml:space="preserve">experiments/run_*.py</w:t>
      </w:r>
      <w:r>
        <w:t xml:space="preserve"> </w:t>
      </w:r>
      <w:r>
        <w:t xml:space="preserve">— diagnostic evaluation and artifact output</w:t>
      </w:r>
    </w:p>
    <w:p>
      <w:pPr>
        <w:pStyle w:val="Compact"/>
        <w:numPr>
          <w:ilvl w:val="0"/>
          <w:numId w:val="1009"/>
        </w:numPr>
      </w:pPr>
      <w:r>
        <w:rPr>
          <w:rStyle w:val="VerbatimChar"/>
        </w:rPr>
        <w:t xml:space="preserve">src/diagnostics/</w:t>
      </w:r>
      <w:r>
        <w:t xml:space="preserve"> </w:t>
      </w:r>
      <w:r>
        <w:t xml:space="preserve">— evaluator, rolling, and run policy modules</w:t>
      </w:r>
    </w:p>
    <w:p>
      <w:pPr>
        <w:pStyle w:val="Compact"/>
        <w:numPr>
          <w:ilvl w:val="0"/>
          <w:numId w:val="1009"/>
        </w:numPr>
      </w:pPr>
      <w:r>
        <w:rPr>
          <w:rStyle w:val="VerbatimChar"/>
        </w:rPr>
        <w:t xml:space="preserve">src/governance/</w:t>
      </w:r>
      <w:r>
        <w:t xml:space="preserve"> </w:t>
      </w:r>
      <w:r>
        <w:t xml:space="preserve">— risk classification module</w:t>
      </w:r>
    </w:p>
    <w:p>
      <w:pPr>
        <w:pStyle w:val="Compact"/>
        <w:numPr>
          <w:ilvl w:val="0"/>
          <w:numId w:val="1009"/>
        </w:numPr>
      </w:pPr>
      <w:r>
        <w:rPr>
          <w:rStyle w:val="VerbatimChar"/>
        </w:rPr>
        <w:t xml:space="preserve">papers/</w:t>
      </w:r>
      <w:r>
        <w:t xml:space="preserve"> </w:t>
      </w:r>
      <w:r>
        <w:t xml:space="preserve">— thesis write-up layer</w:t>
      </w:r>
    </w:p>
    <w:p>
      <w:pPr>
        <w:pStyle w:val="Compact"/>
        <w:numPr>
          <w:ilvl w:val="0"/>
          <w:numId w:val="1009"/>
        </w:numPr>
      </w:pPr>
      <w:r>
        <w:rPr>
          <w:rStyle w:val="VerbatimChar"/>
        </w:rPr>
        <w:t xml:space="preserve">notebooks/</w:t>
      </w:r>
      <w:r>
        <w:t xml:space="preserve"> </w:t>
      </w:r>
      <w:r>
        <w:t xml:space="preserve">— methodological workbenches (feasibility analysis,</w:t>
      </w:r>
      <w:r>
        <w:t xml:space="preserve"> </w:t>
      </w:r>
      <w:r>
        <w:t xml:space="preserve">conformal wrapping exploration)</w:t>
      </w:r>
    </w:p>
    <w:p>
      <w:pPr>
        <w:pStyle w:val="FirstParagraph"/>
      </w:pPr>
      <w:r>
        <w:t xml:space="preserve">The notebooks serve as exploratory workbenches — they establish that</w:t>
      </w:r>
      <w:r>
        <w:t xml:space="preserve"> </w:t>
      </w:r>
      <w:r>
        <w:t xml:space="preserve">reconstruction methods are viable and conformal variants are comparable —</w:t>
      </w:r>
      <w:r>
        <w:t xml:space="preserve"> </w:t>
      </w:r>
      <w:r>
        <w:t xml:space="preserve">but are not the source of official results. Official results are produced</w:t>
      </w:r>
      <w:r>
        <w:t xml:space="preserve"> </w:t>
      </w:r>
      <w:r>
        <w:t xml:space="preserve">exclusively by the</w:t>
      </w:r>
      <w:r>
        <w:t xml:space="preserve"> </w:t>
      </w:r>
      <w:r>
        <w:rPr>
          <w:rStyle w:val="VerbatimChar"/>
        </w:rPr>
        <w:t xml:space="preserve">experiments/run_*.py</w:t>
      </w:r>
      <w:r>
        <w:t xml:space="preserve"> </w:t>
      </w:r>
      <w:r>
        <w:t xml:space="preserve">scripts and stored as JSON</w:t>
      </w:r>
      <w:r>
        <w:t xml:space="preserve"> </w:t>
      </w:r>
      <w:r>
        <w:t xml:space="preserve">artifacts alongside rolling diagnostic CSVs. Random seeds are fixed</w:t>
      </w:r>
      <w:r>
        <w:t xml:space="preserve"> </w:t>
      </w:r>
      <w:r>
        <w:t xml:space="preserve">throughout (seed = 42 for all build scripts; independent seeds per</w:t>
      </w:r>
      <w:r>
        <w:t xml:space="preserve"> </w:t>
      </w:r>
      <w:r>
        <w:t xml:space="preserve">misspecification scenario). All experiments can be reproduced by running the build and run scripts in</w:t>
      </w:r>
      <w:r>
        <w:t xml:space="preserve"> </w:t>
      </w:r>
      <w:r>
        <w:t xml:space="preserve">sequence from a clean environment using the</w:t>
      </w:r>
      <w:r>
        <w:t xml:space="preserve"> </w:t>
      </w:r>
      <w:r>
        <w:rPr>
          <w:rStyle w:val="VerbatimChar"/>
        </w:rPr>
        <w:t xml:space="preserve">requirements.txt</w:t>
      </w:r>
      <w:r>
        <w:t xml:space="preserve"> </w:t>
      </w:r>
      <w:r>
        <w:t xml:space="preserve">specification.</w:t>
      </w:r>
      <w:r>
        <w:t xml:space="preserve"> </w:t>
      </w:r>
      <w:r>
        <w:t xml:space="preserve">A single orchestrator script —</w:t>
      </w:r>
      <w:r>
        <w:t xml:space="preserve"> </w:t>
      </w:r>
      <w:r>
        <w:rPr>
          <w:rStyle w:val="VerbatimChar"/>
        </w:rPr>
        <w:t xml:space="preserve">run_all.py</w:t>
      </w:r>
      <w:r>
        <w:t xml:space="preserve"> </w:t>
      </w:r>
      <w:r>
        <w:t xml:space="preserve">— automates the full sequence of</w:t>
      </w:r>
      <w:r>
        <w:t xml:space="preserve"> </w:t>
      </w:r>
      <w:r>
        <w:t xml:space="preserve">ten pipeline stages (build → run_001 through run_008), with progress</w:t>
      </w:r>
      <w:r>
        <w:t xml:space="preserve"> </w:t>
      </w:r>
      <w:r>
        <w:t xml:space="preserve">reporting and graceful error handling. Non-Python users may access the</w:t>
      </w:r>
      <w:r>
        <w:t xml:space="preserve"> </w:t>
      </w:r>
      <w:r>
        <w:t xml:space="preserve">framework through a Streamlit web application deployed at</w:t>
      </w:r>
      <w:r>
        <w:t xml:space="preserve"> </w:t>
      </w:r>
      <w:r>
        <w:rPr>
          <w:rStyle w:val="VerbatimChar"/>
        </w:rPr>
        <w:t xml:space="preserve">unified-probabilistic-validation.streamlit.app</w:t>
      </w:r>
      <w:r>
        <w:t xml:space="preserve">, which accepts a forecast</w:t>
      </w:r>
      <w:r>
        <w:t xml:space="preserve"> </w:t>
      </w:r>
      <w:r>
        <w:t xml:space="preserve">CSV and executes the core validation pipeline (DataContract → Adapter →</w:t>
      </w:r>
      <w:r>
        <w:t xml:space="preserve"> </w:t>
      </w:r>
      <w:r>
        <w:t xml:space="preserve">BuildDist → Diagnostics_Input → DecisionEngine → NarrativeGenerator)</w:t>
      </w:r>
      <w:r>
        <w:t xml:space="preserve"> </w:t>
      </w:r>
      <w:r>
        <w:t xml:space="preserve">directly in the browser without requiring local installation. A SKILL.md</w:t>
      </w:r>
      <w:r>
        <w:t xml:space="preserve"> </w:t>
      </w:r>
      <w:r>
        <w:t xml:space="preserve">file (</w:t>
      </w:r>
      <w:r>
        <w:rPr>
          <w:rStyle w:val="VerbatimChar"/>
        </w:rPr>
        <w:t xml:space="preserve">skills/upv/SKILL.md</w:t>
      </w:r>
      <w:r>
        <w:t xml:space="preserve">) documents the framework architecture and</w:t>
      </w:r>
      <w:r>
        <w:t xml:space="preserve"> </w:t>
      </w:r>
      <w:r>
        <w:t xml:space="preserve">operational procedures in a machine-readable format, enabling automated</w:t>
      </w:r>
      <w:r>
        <w:t xml:space="preserve"> </w:t>
      </w:r>
      <w:r>
        <w:t xml:space="preserve">orchestration by AI assistants.</w:t>
      </w:r>
    </w:p>
    <w:p>
      <w:r>
        <w:pict>
          <v:rect style="width:0;height:1.5pt" o:hralign="center" o:hrstd="t" o:hr="t"/>
        </w:pict>
      </w:r>
    </w:p>
    <w:bookmarkEnd w:id="46"/>
    <w:bookmarkStart w:id="57" w:name="production-architecture"/>
    <w:p>
      <w:pPr>
        <w:pStyle w:val="Heading2"/>
      </w:pPr>
      <w:r>
        <w:t xml:space="preserve">9. Production Architecture</w:t>
      </w:r>
    </w:p>
    <w:bookmarkStart w:id="47" w:name="motivation-1"/>
    <w:p>
      <w:pPr>
        <w:pStyle w:val="Heading3"/>
      </w:pPr>
      <w:r>
        <w:t xml:space="preserve">9.1 Motivation</w:t>
      </w:r>
    </w:p>
    <w:p>
      <w:pPr>
        <w:pStyle w:val="FirstParagraph"/>
      </w:pPr>
      <w:r>
        <w:t xml:space="preserve">The diagnostic pipeline described in Sections 3–7 is implemented as a set</w:t>
      </w:r>
      <w:r>
        <w:t xml:space="preserve"> </w:t>
      </w:r>
      <w:r>
        <w:t xml:space="preserve">of experiment scripts that operate on pre-built derived artifacts. While</w:t>
      </w:r>
      <w:r>
        <w:t xml:space="preserve"> </w:t>
      </w:r>
      <w:r>
        <w:t xml:space="preserve">this is sufficient for reproducible thesis results, a production deployment</w:t>
      </w:r>
      <w:r>
        <w:t xml:space="preserve"> </w:t>
      </w:r>
      <w:r>
        <w:t xml:space="preserve">requires a more robust architecture: one that validates inputs before</w:t>
      </w:r>
      <w:r>
        <w:t xml:space="preserve"> </w:t>
      </w:r>
      <w:r>
        <w:t xml:space="preserve">processing, routes heterogeneous model types through appropriate</w:t>
      </w:r>
      <w:r>
        <w:t xml:space="preserve"> </w:t>
      </w:r>
      <w:r>
        <w:t xml:space="preserve">transformations, and produces structured, auditable outputs that</w:t>
      </w:r>
      <w:r>
        <w:t xml:space="preserve"> </w:t>
      </w:r>
      <w:r>
        <w:t xml:space="preserve">non-technical stakeholders can consume. This section documents the</w:t>
      </w:r>
      <w:r>
        <w:t xml:space="preserve"> </w:t>
      </w:r>
      <w:r>
        <w:t xml:space="preserve">production architecture layer built on top of the diagnostic pipeline.</w:t>
      </w:r>
    </w:p>
    <w:bookmarkEnd w:id="47"/>
    <w:bookmarkStart w:id="48" w:name="X498aebd405f5c9a4efdfef8057554ab1207a834"/>
    <w:p>
      <w:pPr>
        <w:pStyle w:val="Heading3"/>
      </w:pPr>
      <w:r>
        <w:t xml:space="preserve">9.2 Data Contract and Standardised Model Objects</w:t>
      </w:r>
    </w:p>
    <w:p>
      <w:pPr>
        <w:pStyle w:val="FirstParagraph"/>
      </w:pPr>
      <w:r>
        <w:t xml:space="preserve">All inputs enter the framework through a DataContract validator</w:t>
      </w:r>
      <w:r>
        <w:t xml:space="preserve"> </w:t>
      </w:r>
      <w:r>
        <w:t xml:space="preserve">(</w:t>
      </w:r>
      <w:r>
        <w:rPr>
          <w:rStyle w:val="VerbatimChar"/>
        </w:rPr>
        <w:t xml:space="preserve">src/core/data_contract.py</w:t>
      </w:r>
      <w:r>
        <w:t xml:space="preserve">) that enforces a canonical schema before any</w:t>
      </w:r>
      <w:r>
        <w:t xml:space="preserve"> </w:t>
      </w:r>
      <w:r>
        <w:t xml:space="preserve">downstream processing occurs. The contract validates:</w:t>
      </w:r>
    </w:p>
    <w:p>
      <w:pPr>
        <w:pStyle w:val="Compact"/>
        <w:numPr>
          <w:ilvl w:val="0"/>
          <w:numId w:val="1010"/>
        </w:numPr>
      </w:pPr>
      <w:r>
        <w:rPr>
          <w:b/>
          <w:bCs/>
        </w:rPr>
        <w:t xml:space="preserve">Required fields:</w:t>
      </w:r>
      <w:r>
        <w:t xml:space="preserve"> </w:t>
      </w:r>
      <w:r>
        <w:t xml:space="preserve">timestamp array t (monotone, no gaps), realisation</w:t>
      </w:r>
      <w:r>
        <w:t xml:space="preserve"> </w:t>
      </w:r>
      <w:r>
        <w:t xml:space="preserve">array y (no NaN), model identifier, split label.</w:t>
      </w:r>
    </w:p>
    <w:p>
      <w:pPr>
        <w:pStyle w:val="Compact"/>
        <w:numPr>
          <w:ilvl w:val="0"/>
          <w:numId w:val="1010"/>
        </w:numPr>
      </w:pPr>
      <w:r>
        <w:rPr>
          <w:b/>
          <w:bCs/>
        </w:rPr>
        <w:t xml:space="preserve">Optional fields:</w:t>
      </w:r>
      <w:r>
        <w:t xml:space="preserve"> </w:t>
      </w:r>
      <w:r>
        <w:t xml:space="preserve">point forecast y_hat, quantile arrays Q_t(p),</w:t>
      </w:r>
      <w:r>
        <w:t xml:space="preserve"> </w:t>
      </w:r>
      <w:r>
        <w:t xml:space="preserve">Monte Carlo sample paths S ∈ ℝ^(M×d), covariates x.</w:t>
      </w:r>
    </w:p>
    <w:p>
      <w:pPr>
        <w:pStyle w:val="Compact"/>
        <w:numPr>
          <w:ilvl w:val="0"/>
          <w:numId w:val="1010"/>
        </w:numPr>
      </w:pPr>
      <w:r>
        <w:rPr>
          <w:b/>
          <w:bCs/>
        </w:rPr>
        <w:t xml:space="preserve">Sanity checks:</w:t>
      </w:r>
      <w:r>
        <w:t xml:space="preserve"> </w:t>
      </w:r>
      <w:r>
        <w:t xml:space="preserve">monotone timestamps, no NaN or Inf in samples, quantile</w:t>
      </w:r>
      <w:r>
        <w:t xml:space="preserve"> </w:t>
      </w:r>
      <w:r>
        <w:t xml:space="preserve">non-crossing (1e-8 tolerance), sample size M ≥ threshold, consistent</w:t>
      </w:r>
      <w:r>
        <w:t xml:space="preserve"> </w:t>
      </w:r>
      <w:r>
        <w:t xml:space="preserve">array lengths.</w:t>
      </w:r>
    </w:p>
    <w:p>
      <w:pPr>
        <w:pStyle w:val="FirstParagraph"/>
      </w:pPr>
      <w:r>
        <w:t xml:space="preserve">Split labels follow a controlled vocabulary:</w:t>
      </w:r>
      <w:r>
        <w:t xml:space="preserve"> </w:t>
      </w:r>
      <w:r>
        <w:rPr>
          <w:rStyle w:val="VerbatimChar"/>
        </w:rPr>
        <w:t xml:space="preserve">train</w:t>
      </w:r>
      <w:r>
        <w:t xml:space="preserve">,</w:t>
      </w:r>
      <w:r>
        <w:t xml:space="preserve"> </w:t>
      </w:r>
      <w:r>
        <w:rPr>
          <w:rStyle w:val="VerbatimChar"/>
        </w:rPr>
        <w:t xml:space="preserve">test</w:t>
      </w:r>
      <w:r>
        <w:t xml:space="preserve">,</w:t>
      </w:r>
      <w:r>
        <w:t xml:space="preserve"> </w:t>
      </w:r>
      <w:r>
        <w:rPr>
          <w:rStyle w:val="VerbatimChar"/>
        </w:rPr>
        <w:t xml:space="preserve">window_{int}</w:t>
      </w:r>
      <w:r>
        <w:t xml:space="preserve"> </w:t>
      </w:r>
      <w:r>
        <w:t xml:space="preserve">(rolling window identification), or</w:t>
      </w:r>
      <w:r>
        <w:t xml:space="preserve"> </w:t>
      </w:r>
      <w:r>
        <w:rPr>
          <w:rStyle w:val="VerbatimChar"/>
        </w:rPr>
        <w:t xml:space="preserve">regime_{tag}</w:t>
      </w:r>
      <w:r>
        <w:t xml:space="preserve"> </w:t>
      </w:r>
      <w:r>
        <w:t xml:space="preserve">(regime-tagged windows,</w:t>
      </w:r>
      <w:r>
        <w:t xml:space="preserve"> </w:t>
      </w:r>
      <w:r>
        <w:t xml:space="preserve">e.g. </w:t>
      </w:r>
      <w:r>
        <w:rPr>
          <w:rStyle w:val="VerbatimChar"/>
        </w:rPr>
        <w:t xml:space="preserve">regime_winter</w:t>
      </w:r>
      <w:r>
        <w:t xml:space="preserve">). Invalid inputs raise a</w:t>
      </w:r>
      <w:r>
        <w:t xml:space="preserve"> </w:t>
      </w:r>
      <w:r>
        <w:rPr>
          <w:rStyle w:val="VerbatimChar"/>
        </w:rPr>
        <w:t xml:space="preserve">DataContractError</w:t>
      </w:r>
      <w:r>
        <w:t xml:space="preserve"> </w:t>
      </w:r>
      <w:r>
        <w:t xml:space="preserve">with a</w:t>
      </w:r>
      <w:r>
        <w:t xml:space="preserve"> </w:t>
      </w:r>
      <w:r>
        <w:t xml:space="preserve">precise diagnostic message; no silent failures occur.</w:t>
      </w:r>
    </w:p>
    <w:p>
      <w:pPr>
        <w:pStyle w:val="BodyText"/>
      </w:pPr>
      <w:r>
        <w:t xml:space="preserve">Validated inputs are encapsulated in a frozen</w:t>
      </w:r>
      <w:r>
        <w:t xml:space="preserve"> </w:t>
      </w:r>
      <w:r>
        <w:rPr>
          <w:rStyle w:val="VerbatimChar"/>
        </w:rPr>
        <w:t xml:space="preserve">StandardizedModelObject</w:t>
      </w:r>
      <w:r>
        <w:t xml:space="preserve"> </w:t>
      </w:r>
      <w:r>
        <w:t xml:space="preserve">— an immutable dataclass that all downstream components consume. Freezing</w:t>
      </w:r>
      <w:r>
        <w:t xml:space="preserve"> </w:t>
      </w:r>
      <w:r>
        <w:t xml:space="preserve">prevents accidental mutation of shared state in a pipeline where the same</w:t>
      </w:r>
      <w:r>
        <w:t xml:space="preserve"> </w:t>
      </w:r>
      <w:r>
        <w:t xml:space="preserve">object flows through multiple components.</w:t>
      </w:r>
    </w:p>
    <w:bookmarkEnd w:id="48"/>
    <w:bookmarkStart w:id="49" w:name="model-class-adapters"/>
    <w:p>
      <w:pPr>
        <w:pStyle w:val="Heading3"/>
      </w:pPr>
      <w:r>
        <w:t xml:space="preserve">9.3 Model-Class Adapters</w:t>
      </w:r>
    </w:p>
    <w:p>
      <w:pPr>
        <w:pStyle w:val="FirstParagraph"/>
      </w:pPr>
      <w:r>
        <w:t xml:space="preserve">Three adapters convert</w:t>
      </w:r>
      <w:r>
        <w:t xml:space="preserve"> </w:t>
      </w:r>
      <w:r>
        <w:rPr>
          <w:rStyle w:val="VerbatimChar"/>
        </w:rPr>
        <w:t xml:space="preserve">StandardizedModelObject</w:t>
      </w:r>
      <w:r>
        <w:t xml:space="preserve"> </w:t>
      </w:r>
      <w:r>
        <w:t xml:space="preserve">instances into</w:t>
      </w:r>
      <w:r>
        <w:t xml:space="preserve"> </w:t>
      </w:r>
      <w:r>
        <w:t xml:space="preserve">distribution representations appropriate for their model class:</w:t>
      </w:r>
    </w:p>
    <w:p>
      <w:pPr>
        <w:pStyle w:val="BodyText"/>
      </w:pPr>
      <w:r>
        <w:rPr>
          <w:b/>
          <w:bCs/>
        </w:rPr>
        <w:t xml:space="preserve">Adapter_PointForecast</w:t>
      </w:r>
      <w:r>
        <w:t xml:space="preserve"> </w:t>
      </w:r>
      <w:r>
        <w:t xml:space="preserve">(</w:t>
      </w:r>
      <w:r>
        <w:rPr>
          <w:rStyle w:val="VerbatimChar"/>
        </w:rPr>
        <w:t xml:space="preserve">src/adapters/point_forecast.py</w:t>
      </w:r>
      <w:r>
        <w:t xml:space="preserve">) accepts a</w:t>
      </w:r>
      <w:r>
        <w:t xml:space="preserve"> </w:t>
      </w:r>
      <w:r>
        <w:t xml:space="preserve">point forecast y_hat and builds a bucket-conditioned residual pool via a</w:t>
      </w:r>
      <w:r>
        <w:t xml:space="preserve"> </w:t>
      </w:r>
      <w:r>
        <w:t xml:space="preserve">configurable</w:t>
      </w:r>
      <w:r>
        <w:t xml:space="preserve"> </w:t>
      </w:r>
      <w:r>
        <w:rPr>
          <w:rStyle w:val="VerbatimChar"/>
        </w:rPr>
        <w:t xml:space="preserve">bucket_fn</w:t>
      </w:r>
      <w:r>
        <w:t xml:space="preserve"> </w:t>
      </w:r>
      <w:r>
        <w:t xml:space="preserve">callable. The bucketing strategy is pluggable:</w:t>
      </w:r>
      <w:r>
        <w:t xml:space="preserve"> </w:t>
      </w:r>
      <w:r>
        <w:rPr>
          <w:rStyle w:val="VerbatimChar"/>
        </w:rPr>
        <w:t xml:space="preserve">bucket_hourly_24</w:t>
      </w:r>
      <w:r>
        <w:t xml:space="preserve"> </w:t>
      </w:r>
      <w:r>
        <w:t xml:space="preserve">(24-bucket hour-of-day, default for renewables),</w:t>
      </w:r>
      <w:r>
        <w:t xml:space="preserve"> </w:t>
      </w:r>
      <w:r>
        <w:rPr>
          <w:rStyle w:val="VerbatimChar"/>
        </w:rPr>
        <w:t xml:space="preserve">bucket_coarse_4</w:t>
      </w:r>
      <w:r>
        <w:t xml:space="preserve"> </w:t>
      </w:r>
      <w:r>
        <w:t xml:space="preserve">(4-bucket coarse time-of-day, for ENTSO-E), or</w:t>
      </w:r>
      <w:r>
        <w:t xml:space="preserve"> </w:t>
      </w:r>
      <w:r>
        <w:rPr>
          <w:rStyle w:val="VerbatimChar"/>
        </w:rPr>
        <w:t xml:space="preserve">bucket_none</w:t>
      </w:r>
      <w:r>
        <w:t xml:space="preserve"> </w:t>
      </w:r>
      <w:r>
        <w:t xml:space="preserve">(global pool, no conditioning). Making the bucket function a</w:t>
      </w:r>
      <w:r>
        <w:t xml:space="preserve"> </w:t>
      </w:r>
      <w:r>
        <w:t xml:space="preserve">parameter rather than hardcoding it is the production-correct design choice:</w:t>
      </w:r>
      <w:r>
        <w:t xml:space="preserve"> </w:t>
      </w:r>
      <w:r>
        <w:t xml:space="preserve">different commodities have structurally different residual patterns, and</w:t>
      </w:r>
      <w:r>
        <w:t xml:space="preserve"> </w:t>
      </w:r>
      <w:r>
        <w:t xml:space="preserve">the framework must adapt to each without modifying core adapter code.</w:t>
      </w:r>
      <w:r>
        <w:t xml:space="preserve"> </w:t>
      </w:r>
      <w:r>
        <w:t xml:space="preserve">Sanity checks flag bias (|pool mean| &gt; tolerance × scale), structural</w:t>
      </w:r>
      <w:r>
        <w:t xml:space="preserve"> </w:t>
      </w:r>
      <w:r>
        <w:t xml:space="preserve">breaks (variance ratio &gt; threshold), and pool sizes below hard and soft</w:t>
      </w:r>
      <w:r>
        <w:t xml:space="preserve"> </w:t>
      </w:r>
      <w:r>
        <w:t xml:space="preserve">minimum thresholds.</w:t>
      </w:r>
    </w:p>
    <w:p>
      <w:pPr>
        <w:pStyle w:val="BodyText"/>
      </w:pPr>
      <w:r>
        <w:rPr>
          <w:b/>
          <w:bCs/>
        </w:rPr>
        <w:t xml:space="preserve">Adapter_SimulationJoint</w:t>
      </w:r>
      <w:r>
        <w:t xml:space="preserve"> </w:t>
      </w:r>
      <w:r>
        <w:t xml:space="preserve">(</w:t>
      </w:r>
      <w:r>
        <w:rPr>
          <w:rStyle w:val="VerbatimChar"/>
        </w:rPr>
        <w:t xml:space="preserve">src/adapters/simulation_joint.py</w:t>
      </w:r>
      <w:r>
        <w:t xml:space="preserve">) accepts</w:t>
      </w:r>
      <w:r>
        <w:t xml:space="preserve"> </w:t>
      </w:r>
      <w:r>
        <w:t xml:space="preserve">either a sims_dict (the dict-of-dicts format produced by simulation</w:t>
      </w:r>
      <w:r>
        <w:t xml:space="preserve"> </w:t>
      </w:r>
      <w:r>
        <w:t xml:space="preserve">notebooks) or a 3D numpy array (n_timestamps, M, d). Both formats are</w:t>
      </w:r>
      <w:r>
        <w:t xml:space="preserve"> </w:t>
      </w:r>
      <w:r>
        <w:t xml:space="preserve">auto-detected. The adapter produces a</w:t>
      </w:r>
      <w:r>
        <w:t xml:space="preserve"> </w:t>
      </w:r>
      <w:r>
        <w:rPr>
          <w:rStyle w:val="VerbatimChar"/>
        </w:rPr>
        <w:t xml:space="preserve">JointSimulationObject</w:t>
      </w:r>
      <w:r>
        <w:t xml:space="preserve"> </w:t>
      </w:r>
      <w:r>
        <w:t xml:space="preserve">containing</w:t>
      </w:r>
      <w:r>
        <w:t xml:space="preserve"> </w:t>
      </w:r>
      <w:r>
        <w:t xml:space="preserve">both per-variable marginal outputs (compatible with univariate diagnostics)</w:t>
      </w:r>
      <w:r>
        <w:t xml:space="preserve"> </w:t>
      </w:r>
      <w:r>
        <w:t xml:space="preserve">and the full joint sample array (required for Energy Score computation).</w:t>
      </w:r>
    </w:p>
    <w:p>
      <w:pPr>
        <w:pStyle w:val="BodyText"/>
      </w:pPr>
      <w:r>
        <w:rPr>
          <w:b/>
          <w:bCs/>
        </w:rPr>
        <w:t xml:space="preserve">Adapter_Quantiles</w:t>
      </w:r>
      <w:r>
        <w:t xml:space="preserve"> </w:t>
      </w:r>
      <w:r>
        <w:t xml:space="preserve">(</w:t>
      </w:r>
      <w:r>
        <w:rPr>
          <w:rStyle w:val="VerbatimChar"/>
        </w:rPr>
        <w:t xml:space="preserve">src/adapters/quantile_adapter.py</w:t>
      </w:r>
      <w:r>
        <w:t xml:space="preserve">) accepts</w:t>
      </w:r>
      <w:r>
        <w:t xml:space="preserve"> </w:t>
      </w:r>
      <w:r>
        <w:t xml:space="preserve">pre-computed quantile arrays Q_t(p) for p in a grid. Quantile crossings</w:t>
      </w:r>
      <w:r>
        <w:t xml:space="preserve"> </w:t>
      </w:r>
      <w:r>
        <w:t xml:space="preserve">are detected and fixed via the Pool Adjacent Violators Algorithm (PAVA)</w:t>
      </w:r>
      <w:r>
        <w:t xml:space="preserve"> </w:t>
      </w:r>
      <w:r>
        <w:t xml:space="preserve">isotonic regression with a warning; non-crossing quantiles are required</w:t>
      </w:r>
      <w:r>
        <w:t xml:space="preserve"> </w:t>
      </w:r>
      <w:r>
        <w:t xml:space="preserve">for downstream CDF interpolation. A PCHIP (Piecewise Cubic Hermite</w:t>
      </w:r>
      <w:r>
        <w:t xml:space="preserve"> </w:t>
      </w:r>
      <w:r>
        <w:t xml:space="preserve">Interpolating Polynomial) monotone spline interpolator is fitted to the</w:t>
      </w:r>
      <w:r>
        <w:t xml:space="preserve"> </w:t>
      </w:r>
      <w:r>
        <w:t xml:space="preserve">quantile function at each observation, enabling PIT computation from</w:t>
      </w:r>
      <w:r>
        <w:t xml:space="preserve"> </w:t>
      </w:r>
      <w:r>
        <w:t xml:space="preserve">quantile-only inputs.</w:t>
      </w:r>
    </w:p>
    <w:bookmarkEnd w:id="49"/>
    <w:bookmarkStart w:id="50" w:name="Xb02c96c409cd53dd4c2289560c200c25a2d0431"/>
    <w:p>
      <w:pPr>
        <w:pStyle w:val="Heading3"/>
      </w:pPr>
      <w:r>
        <w:t xml:space="preserve">9.4 Distribution Reconstruction from Residuals</w:t>
      </w:r>
    </w:p>
    <w:p>
      <w:pPr>
        <w:pStyle w:val="FirstParagraph"/>
      </w:pPr>
      <w:r>
        <w:rPr>
          <w:rStyle w:val="VerbatimChar"/>
        </w:rPr>
        <w:t xml:space="preserve">BuildDist_FromResiduals</w:t>
      </w:r>
      <w:r>
        <w:t xml:space="preserve"> </w:t>
      </w:r>
      <w:r>
        <w:t xml:space="preserve">(</w:t>
      </w:r>
      <w:r>
        <w:rPr>
          <w:rStyle w:val="VerbatimChar"/>
        </w:rPr>
        <w:t xml:space="preserve">src/adapters/build_dist_from_residuals.py</w:t>
      </w:r>
      <w:r>
        <w:t xml:space="preserve">)</w:t>
      </w:r>
      <w:r>
        <w:t xml:space="preserve"> </w:t>
      </w:r>
      <w:r>
        <w:t xml:space="preserve">converts a ResidualPool (output of Adapter_PointForecast) into a Monte</w:t>
      </w:r>
      <w:r>
        <w:t xml:space="preserve"> </w:t>
      </w:r>
      <w:r>
        <w:t xml:space="preserve">Carlo sample matrix of shape (n_obs, M) by reconstructing the predictive</w:t>
      </w:r>
      <w:r>
        <w:t xml:space="preserve"> </w:t>
      </w:r>
      <w:r>
        <w:t xml:space="preserve">distribution per observation. Two modes are available:</w:t>
      </w:r>
    </w:p>
    <w:p>
      <w:pPr>
        <w:pStyle w:val="Compact"/>
        <w:numPr>
          <w:ilvl w:val="0"/>
          <w:numId w:val="1011"/>
        </w:numPr>
      </w:pPr>
      <w:r>
        <w:rPr>
          <w:b/>
          <w:bCs/>
        </w:rPr>
        <w:t xml:space="preserve">Non-parametric (default):</w:t>
      </w:r>
      <w:r>
        <w:t xml:space="preserve"> </w:t>
      </w:r>
      <w:r>
        <w:t xml:space="preserve">bootstrap resamples M residuals from the</w:t>
      </w:r>
      <w:r>
        <w:t xml:space="preserve"> </w:t>
      </w:r>
      <w:r>
        <w:t xml:space="preserve">trailing residual pool at each t. Preserves skewness, heavy tails, and</w:t>
      </w:r>
      <w:r>
        <w:t xml:space="preserve"> </w:t>
      </w:r>
      <w:r>
        <w:t xml:space="preserve">non-Gaussian structure. Correct for energy forecasts with asymmetric</w:t>
      </w:r>
      <w:r>
        <w:t xml:space="preserve"> </w:t>
      </w:r>
      <w:r>
        <w:t xml:space="preserve">errors.</w:t>
      </w:r>
    </w:p>
    <w:p>
      <w:pPr>
        <w:pStyle w:val="Compact"/>
        <w:numPr>
          <w:ilvl w:val="0"/>
          <w:numId w:val="1011"/>
        </w:numPr>
      </w:pPr>
      <w:r>
        <w:rPr>
          <w:b/>
          <w:bCs/>
        </w:rPr>
        <w:t xml:space="preserve">Parametric (Gaussian):</w:t>
      </w:r>
      <w:r>
        <w:t xml:space="preserve"> </w:t>
      </w:r>
      <w:r>
        <w:t xml:space="preserve">fits N(bias_t, scale_t) to the residual pool</w:t>
      </w:r>
      <w:r>
        <w:t xml:space="preserve"> </w:t>
      </w:r>
      <w:r>
        <w:t xml:space="preserve">at each t using the pool_bias and pool_scale stored in the ResidualPool.</w:t>
      </w:r>
      <w:r>
        <w:t xml:space="preserve"> </w:t>
      </w:r>
      <w:r>
        <w:t xml:space="preserve">Faster but understates tail risk for heavy-tailed commodities.</w:t>
      </w:r>
    </w:p>
    <w:p>
      <w:pPr>
        <w:pStyle w:val="FirstParagraph"/>
      </w:pPr>
      <w:r>
        <w:t xml:space="preserve">This component closes the gap between point-forecast model classes (which</w:t>
      </w:r>
      <w:r>
        <w:t xml:space="preserve"> </w:t>
      </w:r>
      <w:r>
        <w:t xml:space="preserve">produce only lo/hi bounds from the adapter) and PIT-based diagnostics</w:t>
      </w:r>
      <w:r>
        <w:t xml:space="preserve"> </w:t>
      </w:r>
      <w:r>
        <w:t xml:space="preserve">(which require sample paths). The reconstructed samples are directly</w:t>
      </w:r>
      <w:r>
        <w:t xml:space="preserve"> </w:t>
      </w:r>
      <w:r>
        <w:t xml:space="preserve">compatible with</w:t>
      </w:r>
      <w:r>
        <w:t xml:space="preserve"> </w:t>
      </w:r>
      <w:r>
        <w:rPr>
          <w:rStyle w:val="VerbatimChar"/>
        </w:rPr>
        <w:t xml:space="preserve">evaluate_distribution()</w:t>
      </w:r>
      <w:r>
        <w:t xml:space="preserve">, CRPS computation, and the</w:t>
      </w:r>
      <w:r>
        <w:t xml:space="preserve"> </w:t>
      </w:r>
      <w:r>
        <w:rPr>
          <w:rStyle w:val="VerbatimChar"/>
        </w:rPr>
        <w:t xml:space="preserve">Diagnostics_Input</w:t>
      </w:r>
      <w:r>
        <w:t xml:space="preserve"> </w:t>
      </w:r>
      <w:r>
        <w:t xml:space="preserve">gateway.</w:t>
      </w:r>
    </w:p>
    <w:bookmarkEnd w:id="50"/>
    <w:bookmarkStart w:id="51" w:name="diagnostics-gateway"/>
    <w:p>
      <w:pPr>
        <w:pStyle w:val="Heading3"/>
      </w:pPr>
      <w:r>
        <w:t xml:space="preserve">9.5 Diagnostics Gateway</w:t>
      </w:r>
    </w:p>
    <w:p>
      <w:pPr>
        <w:pStyle w:val="FirstParagraph"/>
      </w:pPr>
      <w:r>
        <w:rPr>
          <w:rStyle w:val="VerbatimChar"/>
        </w:rPr>
        <w:t xml:space="preserve">Diagnostics_Input</w:t>
      </w:r>
      <w:r>
        <w:t xml:space="preserve"> </w:t>
      </w:r>
      <w:r>
        <w:t xml:space="preserve">(</w:t>
      </w:r>
      <w:r>
        <w:rPr>
          <w:rStyle w:val="VerbatimChar"/>
        </w:rPr>
        <w:t xml:space="preserve">src/diagnostics/diagnostics_input.py</w:t>
      </w:r>
      <w:r>
        <w:t xml:space="preserve">) normalises</w:t>
      </w:r>
      <w:r>
        <w:t xml:space="preserve"> </w:t>
      </w:r>
      <w:r>
        <w:t xml:space="preserve">adapter outputs or raw arrays into a</w:t>
      </w:r>
      <w:r>
        <w:t xml:space="preserve"> </w:t>
      </w:r>
      <w:r>
        <w:rPr>
          <w:rStyle w:val="VerbatimChar"/>
        </w:rPr>
        <w:t xml:space="preserve">DiagnosticsReadyObject</w:t>
      </w:r>
      <w:r>
        <w:t xml:space="preserve"> </w:t>
      </w:r>
      <w:r>
        <w:t xml:space="preserve">— a</w:t>
      </w:r>
      <w:r>
        <w:t xml:space="preserve"> </w:t>
      </w:r>
      <w:r>
        <w:t xml:space="preserve">capability-annotated container that downstream diagnostic components</w:t>
      </w:r>
      <w:r>
        <w:t xml:space="preserve"> </w:t>
      </w:r>
      <w:r>
        <w:t xml:space="preserve">query before attempting computation. The capability interface exposes:</w:t>
      </w:r>
    </w:p>
    <w:p>
      <w:pPr>
        <w:pStyle w:val="Compact"/>
        <w:numPr>
          <w:ilvl w:val="0"/>
          <w:numId w:val="1012"/>
        </w:numPr>
      </w:pPr>
      <w:r>
        <w:rPr>
          <w:rStyle w:val="VerbatimChar"/>
        </w:rPr>
        <w:t xml:space="preserve">can_compute_pit</w:t>
      </w:r>
      <w:r>
        <w:t xml:space="preserve"> </w:t>
      </w:r>
      <w:r>
        <w:t xml:space="preserve">— True if samples or CDF callable available</w:t>
      </w:r>
    </w:p>
    <w:p>
      <w:pPr>
        <w:pStyle w:val="Compact"/>
        <w:numPr>
          <w:ilvl w:val="0"/>
          <w:numId w:val="1012"/>
        </w:numPr>
      </w:pPr>
      <w:r>
        <w:rPr>
          <w:rStyle w:val="VerbatimChar"/>
        </w:rPr>
        <w:t xml:space="preserve">can_compute_crps</w:t>
      </w:r>
      <w:r>
        <w:t xml:space="preserve"> </w:t>
      </w:r>
      <w:r>
        <w:t xml:space="preserve">— True if samples available</w:t>
      </w:r>
    </w:p>
    <w:p>
      <w:pPr>
        <w:pStyle w:val="Compact"/>
        <w:numPr>
          <w:ilvl w:val="0"/>
          <w:numId w:val="1012"/>
        </w:numPr>
      </w:pPr>
      <w:r>
        <w:rPr>
          <w:rStyle w:val="VerbatimChar"/>
        </w:rPr>
        <w:t xml:space="preserve">can_compute_pinball</w:t>
      </w:r>
      <w:r>
        <w:t xml:space="preserve"> </w:t>
      </w:r>
      <w:r>
        <w:t xml:space="preserve">— True if quantile arrays available</w:t>
      </w:r>
    </w:p>
    <w:p>
      <w:pPr>
        <w:pStyle w:val="Compact"/>
        <w:numPr>
          <w:ilvl w:val="0"/>
          <w:numId w:val="1012"/>
        </w:numPr>
      </w:pPr>
      <w:r>
        <w:rPr>
          <w:rStyle w:val="VerbatimChar"/>
        </w:rPr>
        <w:t xml:space="preserve">can_compute_interval</w:t>
      </w:r>
      <w:r>
        <w:t xml:space="preserve"> </w:t>
      </w:r>
      <w:r>
        <w:t xml:space="preserve">— True if lo/hi bounds available</w:t>
      </w:r>
    </w:p>
    <w:p>
      <w:pPr>
        <w:pStyle w:val="Compact"/>
        <w:numPr>
          <w:ilvl w:val="0"/>
          <w:numId w:val="1012"/>
        </w:numPr>
      </w:pPr>
      <w:r>
        <w:rPr>
          <w:rStyle w:val="VerbatimChar"/>
        </w:rPr>
        <w:t xml:space="preserve">can_compute_energy_score</w:t>
      </w:r>
      <w:r>
        <w:t xml:space="preserve"> </w:t>
      </w:r>
      <w:r>
        <w:t xml:space="preserve">— True if joint samples (d ≥ 2) available</w:t>
      </w:r>
    </w:p>
    <w:p>
      <w:pPr>
        <w:pStyle w:val="FirstParagraph"/>
      </w:pPr>
      <w:r>
        <w:t xml:space="preserve">This design prevents silent missing-data failures: a diagnostic component</w:t>
      </w:r>
      <w:r>
        <w:t xml:space="preserve"> </w:t>
      </w:r>
      <w:r>
        <w:t xml:space="preserve">calls</w:t>
      </w:r>
      <w:r>
        <w:t xml:space="preserve"> </w:t>
      </w:r>
      <w:r>
        <w:rPr>
          <w:rStyle w:val="VerbatimChar"/>
        </w:rPr>
        <w:t xml:space="preserve">dro.require("crps")</w:t>
      </w:r>
      <w:r>
        <w:t xml:space="preserve"> </w:t>
      </w:r>
      <w:r>
        <w:t xml:space="preserve">before computing, which raises a</w:t>
      </w:r>
      <w:r>
        <w:t xml:space="preserve"> </w:t>
      </w:r>
      <w:r>
        <w:rPr>
          <w:rStyle w:val="VerbatimChar"/>
        </w:rPr>
        <w:t xml:space="preserve">DiagnosticsInputError</w:t>
      </w:r>
      <w:r>
        <w:t xml:space="preserve"> </w:t>
      </w:r>
      <w:r>
        <w:t xml:space="preserve">with an informative message if the capability is</w:t>
      </w:r>
      <w:r>
        <w:t xml:space="preserve"> </w:t>
      </w:r>
      <w:r>
        <w:t xml:space="preserve">unavailable. The gateway accepts both adapter output objects (auto-detected</w:t>
      </w:r>
      <w:r>
        <w:t xml:space="preserve"> </w:t>
      </w:r>
      <w:r>
        <w:t xml:space="preserve">by type) and raw numpy arrays, with validation on all inputs.</w:t>
      </w:r>
    </w:p>
    <w:bookmarkEnd w:id="51"/>
    <w:bookmarkStart w:id="52" w:name="scoring-components"/>
    <w:p>
      <w:pPr>
        <w:pStyle w:val="Heading3"/>
      </w:pPr>
      <w:r>
        <w:t xml:space="preserve">9.6 Scoring Components</w:t>
      </w:r>
    </w:p>
    <w:p>
      <w:pPr>
        <w:pStyle w:val="FirstParagraph"/>
      </w:pPr>
      <w:r>
        <w:t xml:space="preserve">Two scoring components complement the existing CRPS implementation:</w:t>
      </w:r>
    </w:p>
    <w:p>
      <w:pPr>
        <w:pStyle w:val="BodyText"/>
      </w:pPr>
      <w:r>
        <w:rPr>
          <w:b/>
          <w:bCs/>
        </w:rPr>
        <w:t xml:space="preserve">Score_Pinball</w:t>
      </w:r>
      <w:r>
        <w:t xml:space="preserve"> </w:t>
      </w:r>
      <w:r>
        <w:t xml:space="preserve">(</w:t>
      </w:r>
      <w:r>
        <w:rPr>
          <w:rStyle w:val="VerbatimChar"/>
        </w:rPr>
        <w:t xml:space="preserve">src/scoring/pinball.py</w:t>
      </w:r>
      <w:r>
        <w:t xml:space="preserve">) computes pinball (quantile)</w:t>
      </w:r>
      <w:r>
        <w:t xml:space="preserve"> </w:t>
      </w:r>
      <w:r>
        <w:t xml:space="preserve">loss (Koenker and Bassett, 1978) L_p(q, y) = (y − q)·p if y ≥ q, else</w:t>
      </w:r>
      <w:r>
        <w:t xml:space="preserve"> </w:t>
      </w:r>
      <w:r>
        <w:t xml:space="preserve">(q − y)·(1 − p), across all quantile levels in the grid. The mean pinball loss averaged over a dense</w:t>
      </w:r>
      <w:r>
        <w:t xml:space="preserve"> </w:t>
      </w:r>
      <w:r>
        <w:t xml:space="preserve">level grid approximates CRPS; the per-level breakdown reveals which</w:t>
      </w:r>
      <w:r>
        <w:t xml:space="preserve"> </w:t>
      </w:r>
      <w:r>
        <w:t xml:space="preserve">quantile regions are most miscalibrated. Regime-stratified losses are</w:t>
      </w:r>
      <w:r>
        <w:t xml:space="preserve"> </w:t>
      </w:r>
      <w:r>
        <w:t xml:space="preserve">computed if regime tags are provided, enabling diagnostic decomposition</w:t>
      </w:r>
      <w:r>
        <w:t xml:space="preserve"> </w:t>
      </w:r>
      <w:r>
        <w:t xml:space="preserve">by market condition.</w:t>
      </w:r>
    </w:p>
    <w:p>
      <w:pPr>
        <w:pStyle w:val="BodyText"/>
      </w:pPr>
      <w:r>
        <w:rPr>
          <w:b/>
          <w:bCs/>
        </w:rPr>
        <w:t xml:space="preserve">Interval_Sharpness</w:t>
      </w:r>
      <w:r>
        <w:t xml:space="preserve"> </w:t>
      </w:r>
      <w:r>
        <w:t xml:space="preserve">(</w:t>
      </w:r>
      <w:r>
        <w:rPr>
          <w:rStyle w:val="VerbatimChar"/>
        </w:rPr>
        <w:t xml:space="preserve">src/diagnostics/interval_sharpness.py</w:t>
      </w:r>
      <w:r>
        <w:t xml:space="preserve">) computes</w:t>
      </w:r>
      <w:r>
        <w:t xml:space="preserve"> </w:t>
      </w:r>
      <w:r>
        <w:t xml:space="preserve">interval width and the sharpness-coverage tradeoff: mean and median width,</w:t>
      </w:r>
      <w:r>
        <w:t xml:space="preserve"> </w:t>
      </w:r>
      <w:r>
        <w:t xml:space="preserve">standard deviation of widths, and a human-readable interpretation label</w:t>
      </w:r>
      <w:r>
        <w:t xml:space="preserve"> </w:t>
      </w:r>
      <w:r>
        <w:t xml:space="preserve">(sharp / acceptable / wide / uninformative) based on the ratio of mean</w:t>
      </w:r>
      <w:r>
        <w:t xml:space="preserve"> </w:t>
      </w:r>
      <w:r>
        <w:t xml:space="preserve">width to the interquartile range of the target variable. A risk label</w:t>
      </w:r>
      <w:r>
        <w:t xml:space="preserve"> </w:t>
      </w:r>
      <w:r>
        <w:t xml:space="preserve">(safe / risky / over-cautious / acceptable) is assigned based on the</w:t>
      </w:r>
      <w:r>
        <w:t xml:space="preserve"> </w:t>
      </w:r>
      <w:r>
        <w:t xml:space="preserve">deviation of empirical coverage from nominal. This operationalises the</w:t>
      </w:r>
      <w:r>
        <w:t xml:space="preserve"> </w:t>
      </w:r>
      <w:r>
        <w:t xml:space="preserve">diagnostic principle that good probabilistic forecasts should be</w:t>
      </w:r>
      <w:r>
        <w:t xml:space="preserve"> </w:t>
      </w:r>
      <w:r>
        <w:t xml:space="preserve">simultaneously sharp and calibrated: narrow intervals that under-cover</w:t>
      </w:r>
      <w:r>
        <w:t xml:space="preserve"> </w:t>
      </w:r>
      <w:r>
        <w:t xml:space="preserve">are risky, wide intervals that over-cover are uninformative.</w:t>
      </w:r>
    </w:p>
    <w:bookmarkEnd w:id="52"/>
    <w:bookmarkStart w:id="53" w:name="regime-tagging-and-threshold-calibration"/>
    <w:p>
      <w:pPr>
        <w:pStyle w:val="Heading3"/>
      </w:pPr>
      <w:r>
        <w:t xml:space="preserve">9.7 Regime Tagging and Threshold Calibration</w:t>
      </w:r>
    </w:p>
    <w:p>
      <w:pPr>
        <w:pStyle w:val="FirstParagraph"/>
      </w:pPr>
      <w:r>
        <w:rPr>
          <w:rStyle w:val="VerbatimChar"/>
        </w:rPr>
        <w:t xml:space="preserve">RegimeTagger</w:t>
      </w:r>
      <w:r>
        <w:t xml:space="preserve"> </w:t>
      </w:r>
      <w:r>
        <w:t xml:space="preserve">(</w:t>
      </w:r>
      <w:r>
        <w:rPr>
          <w:rStyle w:val="VerbatimChar"/>
        </w:rPr>
        <w:t xml:space="preserve">src/governance/regime_tagger.py</w:t>
      </w:r>
      <w:r>
        <w:t xml:space="preserve">) assigns regime labels</w:t>
      </w:r>
      <w:r>
        <w:t xml:space="preserve"> </w:t>
      </w:r>
      <w:r>
        <w:t xml:space="preserve">to rolling windows using a composable rule system. Rules are callable</w:t>
      </w:r>
      <w:r>
        <w:t xml:space="preserve"> </w:t>
      </w:r>
      <w:r>
        <w:t xml:space="preserve">objects with signature</w:t>
      </w:r>
      <w:r>
        <w:t xml:space="preserve"> </w:t>
      </w:r>
      <w:r>
        <w:rPr>
          <w:rStyle w:val="VerbatimChar"/>
        </w:rPr>
        <w:t xml:space="preserve">(t, y) → str | None</w:t>
      </w:r>
      <w:r>
        <w:t xml:space="preserve">; the first non-None result</w:t>
      </w:r>
      <w:r>
        <w:t xml:space="preserve"> </w:t>
      </w:r>
      <w:r>
        <w:t xml:space="preserve">wins. Three built-in rules are provided:</w:t>
      </w:r>
    </w:p>
    <w:p>
      <w:pPr>
        <w:pStyle w:val="Compact"/>
        <w:numPr>
          <w:ilvl w:val="0"/>
          <w:numId w:val="1013"/>
        </w:numPr>
      </w:pPr>
      <w:r>
        <w:rPr>
          <w:b/>
          <w:bCs/>
        </w:rPr>
        <w:t xml:space="preserve">SeasonalRule:</w:t>
      </w:r>
      <w:r>
        <w:t xml:space="preserve"> </w:t>
      </w:r>
      <w:r>
        <w:t xml:space="preserve">assigns</w:t>
      </w:r>
      <w:r>
        <w:t xml:space="preserve"> </w:t>
      </w:r>
      <w:r>
        <w:rPr>
          <w:rStyle w:val="VerbatimChar"/>
        </w:rPr>
        <w:t xml:space="preserve">winter</w:t>
      </w:r>
      <w:r>
        <w:t xml:space="preserve"> </w:t>
      </w:r>
      <w:r>
        <w:t xml:space="preserve">(months 11–2) or</w:t>
      </w:r>
      <w:r>
        <w:t xml:space="preserve"> </w:t>
      </w:r>
      <w:r>
        <w:rPr>
          <w:rStyle w:val="VerbatimChar"/>
        </w:rPr>
        <w:t xml:space="preserve">summer</w:t>
      </w:r>
      <w:r>
        <w:t xml:space="preserve"> </w:t>
      </w:r>
      <w:r>
        <w:t xml:space="preserve">(months</w:t>
      </w:r>
      <w:r>
        <w:t xml:space="preserve"> </w:t>
      </w:r>
      <w:r>
        <w:t xml:space="preserve">5–8) based on the dominant month in the window, with a configurable</w:t>
      </w:r>
      <w:r>
        <w:t xml:space="preserve"> </w:t>
      </w:r>
      <w:r>
        <w:t xml:space="preserve">majority threshold.</w:t>
      </w:r>
    </w:p>
    <w:p>
      <w:pPr>
        <w:pStyle w:val="Compact"/>
        <w:numPr>
          <w:ilvl w:val="0"/>
          <w:numId w:val="1013"/>
        </w:numPr>
      </w:pPr>
      <w:r>
        <w:rPr>
          <w:b/>
          <w:bCs/>
        </w:rPr>
        <w:t xml:space="preserve">VolatilityRule:</w:t>
      </w:r>
      <w:r>
        <w:t xml:space="preserve"> </w:t>
      </w:r>
      <w:r>
        <w:t xml:space="preserve">assigns</w:t>
      </w:r>
      <w:r>
        <w:t xml:space="preserve"> </w:t>
      </w:r>
      <w:r>
        <w:rPr>
          <w:rStyle w:val="VerbatimChar"/>
        </w:rPr>
        <w:t xml:space="preserve">high_vol</w:t>
      </w:r>
      <w:r>
        <w:t xml:space="preserve"> </w:t>
      </w:r>
      <w:r>
        <w:t xml:space="preserve">or</w:t>
      </w:r>
      <w:r>
        <w:t xml:space="preserve"> </w:t>
      </w:r>
      <w:r>
        <w:rPr>
          <w:rStyle w:val="VerbatimChar"/>
        </w:rPr>
        <w:t xml:space="preserve">low_vol</w:t>
      </w:r>
      <w:r>
        <w:t xml:space="preserve"> </w:t>
      </w:r>
      <w:r>
        <w:t xml:space="preserve">based on the window’s</w:t>
      </w:r>
      <w:r>
        <w:t xml:space="preserve"> </w:t>
      </w:r>
      <w:r>
        <w:t xml:space="preserve">standard deviation relative to pre-computed percentile thresholds. Must</w:t>
      </w:r>
      <w:r>
        <w:t xml:space="preserve"> </w:t>
      </w:r>
      <w:r>
        <w:t xml:space="preserve">be fitted on a reference set of window statistics before tagging.</w:t>
      </w:r>
    </w:p>
    <w:p>
      <w:pPr>
        <w:pStyle w:val="Compact"/>
        <w:numPr>
          <w:ilvl w:val="0"/>
          <w:numId w:val="1013"/>
        </w:numPr>
      </w:pPr>
      <w:r>
        <w:rPr>
          <w:b/>
          <w:bCs/>
        </w:rPr>
        <w:t xml:space="preserve">BreakFlagRule:</w:t>
      </w:r>
      <w:r>
        <w:t xml:space="preserve"> </w:t>
      </w:r>
      <w:r>
        <w:t xml:space="preserve">detects structural breaks by comparing the variance</w:t>
      </w:r>
      <w:r>
        <w:t xml:space="preserve"> </w:t>
      </w:r>
      <w:r>
        <w:t xml:space="preserve">ratio between the first and second halves of the window.</w:t>
      </w:r>
    </w:p>
    <w:p>
      <w:pPr>
        <w:pStyle w:val="FirstParagraph"/>
      </w:pPr>
      <w:r>
        <w:t xml:space="preserve">Regime tags follow the SplitLabel vocabulary (</w:t>
      </w:r>
      <w:r>
        <w:rPr>
          <w:rStyle w:val="VerbatimChar"/>
        </w:rPr>
        <w:t xml:space="preserve">regime_{tag}</w:t>
      </w:r>
      <w:r>
        <w:t xml:space="preserve">) for</w:t>
      </w:r>
      <w:r>
        <w:t xml:space="preserve"> </w:t>
      </w:r>
      <w:r>
        <w:t xml:space="preserve">compatibility with the DataContract.</w:t>
      </w:r>
    </w:p>
    <w:p>
      <w:pPr>
        <w:pStyle w:val="BodyText"/>
      </w:pPr>
      <w:r>
        <w:rPr>
          <w:rStyle w:val="VerbatimChar"/>
        </w:rPr>
        <w:t xml:space="preserve">ThresholdCalibrator</w:t>
      </w:r>
      <w:r>
        <w:t xml:space="preserve"> </w:t>
      </w:r>
      <w:r>
        <w:t xml:space="preserve">(</w:t>
      </w:r>
      <w:r>
        <w:rPr>
          <w:rStyle w:val="VerbatimChar"/>
        </w:rPr>
        <w:t xml:space="preserve">src/governance/threshold_calibrator.py</w:t>
      </w:r>
      <w:r>
        <w:t xml:space="preserve">) calibrates</w:t>
      </w:r>
      <w:r>
        <w:t xml:space="preserve"> </w:t>
      </w:r>
      <w:r>
        <w:t xml:space="preserve">GREEN/YELLOW/RED coverage thresholds per regime using a calibration split.</w:t>
      </w:r>
      <w:r>
        <w:t xml:space="preserve"> </w:t>
      </w:r>
      <w:r>
        <w:t xml:space="preserve">For each regime with sufficient data (N_min_hard ≥ 10 by default), the</w:t>
      </w:r>
      <w:r>
        <w:t xml:space="preserve"> </w:t>
      </w:r>
      <w:r>
        <w:t xml:space="preserve">GREEN coverage threshold is set at a specified quantile of the observed</w:t>
      </w:r>
      <w:r>
        <w:t xml:space="preserve"> </w:t>
      </w:r>
      <w:r>
        <w:t xml:space="preserve">coverage distribution in calibration windows (default: 10th percentile).</w:t>
      </w:r>
      <w:r>
        <w:t xml:space="preserve"> </w:t>
      </w:r>
      <w:r>
        <w:t xml:space="preserve">This data-driven approach extends the Basel fixed-cutoff framework to</w:t>
      </w:r>
      <w:r>
        <w:t xml:space="preserve"> </w:t>
      </w:r>
      <w:r>
        <w:t xml:space="preserve">heterogeneous market conditions: if</w:t>
      </w:r>
      <w:r>
        <w:t xml:space="preserve"> </w:t>
      </w:r>
      <w:r>
        <w:rPr>
          <w:rStyle w:val="VerbatimChar"/>
        </w:rPr>
        <w:t xml:space="preserve">high_vol</w:t>
      </w:r>
      <w:r>
        <w:t xml:space="preserve"> </w:t>
      </w:r>
      <w:r>
        <w:t xml:space="preserve">windows systematically</w:t>
      </w:r>
      <w:r>
        <w:t xml:space="preserve"> </w:t>
      </w:r>
      <w:r>
        <w:t xml:space="preserve">achieve lower empirical coverage, the GREEN threshold is relaxed for that</w:t>
      </w:r>
      <w:r>
        <w:t xml:space="preserve"> </w:t>
      </w:r>
      <w:r>
        <w:t xml:space="preserve">regime rather than uniformly applied. A relax_factor parameter bounds</w:t>
      </w:r>
      <w:r>
        <w:t xml:space="preserve"> </w:t>
      </w:r>
      <w:r>
        <w:t xml:space="preserve">the maximum downward adjustment from the global target, preventing</w:t>
      </w:r>
      <w:r>
        <w:t xml:space="preserve"> </w:t>
      </w:r>
      <w:r>
        <w:t xml:space="preserve">over-relaxation on sparse regimes. Regimes with insufficient calibration</w:t>
      </w:r>
      <w:r>
        <w:t xml:space="preserve"> </w:t>
      </w:r>
      <w:r>
        <w:t xml:space="preserve">data fall back to the global policy.</w:t>
      </w:r>
    </w:p>
    <w:bookmarkEnd w:id="53"/>
    <w:bookmarkStart w:id="54" w:name="decision-engine"/>
    <w:p>
      <w:pPr>
        <w:pStyle w:val="Heading3"/>
      </w:pPr>
      <w:r>
        <w:t xml:space="preserve">9.8 Decision Engine</w:t>
      </w:r>
    </w:p>
    <w:p>
      <w:pPr>
        <w:pStyle w:val="FirstParagraph"/>
      </w:pPr>
      <w:r>
        <w:rPr>
          <w:rStyle w:val="VerbatimChar"/>
        </w:rPr>
        <w:t xml:space="preserve">DecisionEngine</w:t>
      </w:r>
      <w:r>
        <w:t xml:space="preserve"> </w:t>
      </w:r>
      <w:r>
        <w:t xml:space="preserve">(</w:t>
      </w:r>
      <w:r>
        <w:rPr>
          <w:rStyle w:val="VerbatimChar"/>
        </w:rPr>
        <w:t xml:space="preserve">src/governance/decision_engine.py</w:t>
      </w:r>
      <w:r>
        <w:t xml:space="preserve">) is the top-level</w:t>
      </w:r>
      <w:r>
        <w:t xml:space="preserve"> </w:t>
      </w:r>
      <w:r>
        <w:t xml:space="preserve">orchestrator. A single call to</w:t>
      </w:r>
      <w:r>
        <w:t xml:space="preserve"> </w:t>
      </w:r>
      <w:r>
        <w:rPr>
          <w:rStyle w:val="VerbatimChar"/>
        </w:rPr>
        <w:t xml:space="preserve">.decide(dro, regime_tag)</w:t>
      </w:r>
      <w:r>
        <w:t xml:space="preserve"> </w:t>
      </w:r>
      <w:r>
        <w:t xml:space="preserve">executes the</w:t>
      </w:r>
      <w:r>
        <w:t xml:space="preserve"> </w:t>
      </w:r>
      <w:r>
        <w:t xml:space="preserve">full diagnostic pipeline — computing only what the</w:t>
      </w:r>
      <w:r>
        <w:t xml:space="preserve"> </w:t>
      </w:r>
      <w:r>
        <w:rPr>
          <w:rStyle w:val="VerbatimChar"/>
        </w:rPr>
        <w:t xml:space="preserve">DiagnosticsReadyObject</w:t>
      </w:r>
      <w:r>
        <w:t xml:space="preserve"> </w:t>
      </w:r>
      <w:r>
        <w:t xml:space="preserve">is capable of, applying the regime-conditioned policy, and returning a</w:t>
      </w:r>
      <w:r>
        <w:t xml:space="preserve"> </w:t>
      </w:r>
      <w:r>
        <w:rPr>
          <w:rStyle w:val="VerbatimChar"/>
        </w:rPr>
        <w:t xml:space="preserve">GovernanceDecision</w:t>
      </w:r>
      <w:r>
        <w:t xml:space="preserve"> </w:t>
      </w:r>
      <w:r>
        <w:t xml:space="preserve">with:</w:t>
      </w:r>
    </w:p>
    <w:p>
      <w:pPr>
        <w:pStyle w:val="Compact"/>
        <w:numPr>
          <w:ilvl w:val="0"/>
          <w:numId w:val="1014"/>
        </w:numPr>
      </w:pPr>
      <w:r>
        <w:rPr>
          <w:b/>
          <w:bCs/>
        </w:rPr>
        <w:t xml:space="preserve">final_label:</w:t>
      </w:r>
      <w:r>
        <w:t xml:space="preserve"> </w:t>
      </w:r>
      <w:r>
        <w:t xml:space="preserve">GREEN, YELLOW, or RED</w:t>
      </w:r>
    </w:p>
    <w:p>
      <w:pPr>
        <w:pStyle w:val="Compact"/>
        <w:numPr>
          <w:ilvl w:val="0"/>
          <w:numId w:val="1014"/>
        </w:numPr>
      </w:pPr>
      <w:r>
        <w:rPr>
          <w:b/>
          <w:bCs/>
        </w:rPr>
        <w:t xml:space="preserve">reason_codes:</w:t>
      </w:r>
      <w:r>
        <w:t xml:space="preserve"> </w:t>
      </w:r>
      <w:r>
        <w:t xml:space="preserve">list of</w:t>
      </w:r>
      <w:r>
        <w:t xml:space="preserve"> </w:t>
      </w:r>
      <w:r>
        <w:rPr>
          <w:rStyle w:val="VerbatimChar"/>
        </w:rPr>
        <w:t xml:space="preserve">ReasonCode</w:t>
      </w:r>
      <w:r>
        <w:t xml:space="preserve"> </w:t>
      </w:r>
      <w:r>
        <w:t xml:space="preserve">enum values indicating which</w:t>
      </w:r>
      <w:r>
        <w:t xml:space="preserve"> </w:t>
      </w:r>
      <w:r>
        <w:t xml:space="preserve">diagnostic branches triggered the classification</w:t>
      </w:r>
    </w:p>
    <w:p>
      <w:pPr>
        <w:pStyle w:val="Compact"/>
        <w:numPr>
          <w:ilvl w:val="0"/>
          <w:numId w:val="1014"/>
        </w:numPr>
      </w:pPr>
      <w:r>
        <w:rPr>
          <w:b/>
          <w:bCs/>
        </w:rPr>
        <w:t xml:space="preserve">metric_snapshot:</w:t>
      </w:r>
      <w:r>
        <w:t xml:space="preserve"> </w:t>
      </w:r>
      <w:r>
        <w:t xml:space="preserve">all computed diagnostic values in a flat dict</w:t>
      </w:r>
    </w:p>
    <w:p>
      <w:pPr>
        <w:pStyle w:val="Compact"/>
        <w:numPr>
          <w:ilvl w:val="0"/>
          <w:numId w:val="1014"/>
        </w:numPr>
      </w:pPr>
      <w:r>
        <w:rPr>
          <w:b/>
          <w:bCs/>
        </w:rPr>
        <w:t xml:space="preserve">policy_used:</w:t>
      </w:r>
      <w:r>
        <w:t xml:space="preserve"> </w:t>
      </w:r>
      <w:r>
        <w:t xml:space="preserve">the RiskPolicy applied (global or regime-calibrated)</w:t>
      </w:r>
    </w:p>
    <w:p>
      <w:pPr>
        <w:pStyle w:val="Compact"/>
        <w:numPr>
          <w:ilvl w:val="0"/>
          <w:numId w:val="1014"/>
        </w:numPr>
      </w:pPr>
      <w:r>
        <w:rPr>
          <w:b/>
          <w:bCs/>
        </w:rPr>
        <w:t xml:space="preserve">provenance:</w:t>
      </w:r>
      <w:r>
        <w:t xml:space="preserve"> </w:t>
      </w:r>
      <w:r>
        <w:t xml:space="preserve">full audit trail — which diagnostics were computed,</w:t>
      </w:r>
      <w:r>
        <w:t xml:space="preserve"> </w:t>
      </w:r>
      <w:r>
        <w:t xml:space="preserve">which were skipped and why, policy source, decision timestamp</w:t>
      </w:r>
    </w:p>
    <w:p>
      <w:pPr>
        <w:pStyle w:val="FirstParagraph"/>
      </w:pPr>
      <w:r>
        <w:t xml:space="preserve">The DecisionEngine does not re-implement any diagnostic logic; it delegates</w:t>
      </w:r>
      <w:r>
        <w:t xml:space="preserve"> </w:t>
      </w:r>
      <w:r>
        <w:t xml:space="preserve">entirely to the existing</w:t>
      </w:r>
      <w:r>
        <w:t xml:space="preserve"> </w:t>
      </w:r>
      <w:r>
        <w:rPr>
          <w:rStyle w:val="VerbatimChar"/>
        </w:rPr>
        <w:t xml:space="preserve">evaluate_distribution()</w:t>
      </w:r>
      <w:r>
        <w:t xml:space="preserve">,</w:t>
      </w:r>
      <w:r>
        <w:t xml:space="preserve"> </w:t>
      </w:r>
      <w:r>
        <w:rPr>
          <w:rStyle w:val="VerbatimChar"/>
        </w:rPr>
        <w:t xml:space="preserve">anfuso_interval_backtest()</w:t>
      </w:r>
      <w:r>
        <w:t xml:space="preserve">,</w:t>
      </w:r>
      <w:r>
        <w:t xml:space="preserve"> </w:t>
      </w:r>
      <w:r>
        <w:rPr>
          <w:rStyle w:val="VerbatimChar"/>
        </w:rPr>
        <w:t xml:space="preserve">Score_Pinball</w:t>
      </w:r>
      <w:r>
        <w:t xml:space="preserve">,</w:t>
      </w:r>
      <w:r>
        <w:t xml:space="preserve"> </w:t>
      </w:r>
      <w:r>
        <w:rPr>
          <w:rStyle w:val="VerbatimChar"/>
        </w:rPr>
        <w:t xml:space="preserve">Interval_Sharpness</w:t>
      </w:r>
      <w:r>
        <w:t xml:space="preserve">, and</w:t>
      </w:r>
      <w:r>
        <w:t xml:space="preserve"> </w:t>
      </w:r>
      <w:r>
        <w:rPr>
          <w:rStyle w:val="VerbatimChar"/>
        </w:rPr>
        <w:t xml:space="preserve">classify_risk()</w:t>
      </w:r>
      <w:r>
        <w:t xml:space="preserve"> </w:t>
      </w:r>
      <w:r>
        <w:t xml:space="preserve">functions.</w:t>
      </w:r>
      <w:r>
        <w:t xml:space="preserve"> </w:t>
      </w:r>
      <w:r>
        <w:t xml:space="preserve">This preserves full backwards compatibility: the existing</w:t>
      </w:r>
      <w:r>
        <w:t xml:space="preserve"> </w:t>
      </w:r>
      <w:r>
        <w:rPr>
          <w:rStyle w:val="VerbatimChar"/>
        </w:rPr>
        <w:t xml:space="preserve">run_diagnostics_policy()</w:t>
      </w:r>
      <w:r>
        <w:t xml:space="preserve"> </w:t>
      </w:r>
      <w:r>
        <w:t xml:space="preserve">/</w:t>
      </w:r>
      <w:r>
        <w:t xml:space="preserve"> </w:t>
      </w:r>
      <w:r>
        <w:rPr>
          <w:rStyle w:val="VerbatimChar"/>
        </w:rPr>
        <w:t xml:space="preserve">write_run_artifacts()</w:t>
      </w:r>
      <w:r>
        <w:t xml:space="preserve"> </w:t>
      </w:r>
      <w:r>
        <w:t xml:space="preserve">pipeline continues to</w:t>
      </w:r>
      <w:r>
        <w:t xml:space="preserve"> </w:t>
      </w:r>
      <w:r>
        <w:t xml:space="preserve">operate unchanged, with the DecisionEngine as an additive layer producing</w:t>
      </w:r>
      <w:r>
        <w:t xml:space="preserve"> </w:t>
      </w:r>
      <w:r>
        <w:t xml:space="preserve">a structured</w:t>
      </w:r>
      <w:r>
        <w:t xml:space="preserve"> </w:t>
      </w:r>
      <w:r>
        <w:rPr>
          <w:rStyle w:val="VerbatimChar"/>
        </w:rPr>
        <w:t xml:space="preserve">governance_decision.json</w:t>
      </w:r>
      <w:r>
        <w:t xml:space="preserve"> </w:t>
      </w:r>
      <w:r>
        <w:t xml:space="preserve">artifact alongside the existing</w:t>
      </w:r>
      <w:r>
        <w:t xml:space="preserve"> </w:t>
      </w:r>
      <w:r>
        <w:t xml:space="preserve">outputs.</w:t>
      </w:r>
    </w:p>
    <w:bookmarkEnd w:id="54"/>
    <w:bookmarkStart w:id="55" w:name="narrative-generation"/>
    <w:p>
      <w:pPr>
        <w:pStyle w:val="Heading3"/>
      </w:pPr>
      <w:r>
        <w:t xml:space="preserve">9.9 Narrative Generation</w:t>
      </w:r>
    </w:p>
    <w:p>
      <w:pPr>
        <w:pStyle w:val="FirstParagraph"/>
      </w:pPr>
      <w:r>
        <w:rPr>
          <w:rStyle w:val="VerbatimChar"/>
        </w:rPr>
        <w:t xml:space="preserve">NarrativeGenerator</w:t>
      </w:r>
      <w:r>
        <w:t xml:space="preserve"> </w:t>
      </w:r>
      <w:r>
        <w:t xml:space="preserve">(</w:t>
      </w:r>
      <w:r>
        <w:rPr>
          <w:rStyle w:val="VerbatimChar"/>
        </w:rPr>
        <w:t xml:space="preserve">src/governance/narrative_generator.py</w:t>
      </w:r>
      <w:r>
        <w:t xml:space="preserve">) converts</w:t>
      </w:r>
      <w:r>
        <w:t xml:space="preserve"> </w:t>
      </w:r>
      <w:r>
        <w:t xml:space="preserve">a</w:t>
      </w:r>
      <w:r>
        <w:t xml:space="preserve"> </w:t>
      </w:r>
      <w:r>
        <w:rPr>
          <w:rStyle w:val="VerbatimChar"/>
        </w:rPr>
        <w:t xml:space="preserve">GovernanceDecision</w:t>
      </w:r>
      <w:r>
        <w:t xml:space="preserve"> </w:t>
      </w:r>
      <w:r>
        <w:t xml:space="preserve">into plain-language governance summaries using the</w:t>
      </w:r>
      <w:r>
        <w:t xml:space="preserve"> </w:t>
      </w:r>
      <w:r>
        <w:t xml:space="preserve">Anthropic API (Claude Sonnet). Two narrative modes are produced per</w:t>
      </w:r>
      <w:r>
        <w:t xml:space="preserve"> </w:t>
      </w:r>
      <w:r>
        <w:t xml:space="preserve">dataset in a single API call:</w:t>
      </w:r>
    </w:p>
    <w:p>
      <w:pPr>
        <w:pStyle w:val="Compact"/>
        <w:numPr>
          <w:ilvl w:val="0"/>
          <w:numId w:val="1015"/>
        </w:numPr>
      </w:pPr>
      <w:r>
        <w:rPr>
          <w:b/>
          <w:bCs/>
        </w:rPr>
        <w:t xml:space="preserve">Technical narrative:</w:t>
      </w:r>
      <w:r>
        <w:t xml:space="preserve"> </w:t>
      </w:r>
      <w:r>
        <w:t xml:space="preserve">3–5 sentences for quantitative risk officers.</w:t>
      </w:r>
      <w:r>
        <w:t xml:space="preserve"> </w:t>
      </w:r>
      <w:r>
        <w:t xml:space="preserve">References specific metric values, names the diagnostic branches that</w:t>
      </w:r>
      <w:r>
        <w:t xml:space="preserve"> </w:t>
      </w:r>
      <w:r>
        <w:t xml:space="preserve">failed, quantifies deviations from nominal, and states the governance</w:t>
      </w:r>
      <w:r>
        <w:t xml:space="preserve"> </w:t>
      </w:r>
      <w:r>
        <w:t xml:space="preserve">implication (capital multiplier impact, REMIT reporting obligation).</w:t>
      </w:r>
    </w:p>
    <w:p>
      <w:pPr>
        <w:pStyle w:val="Compact"/>
        <w:numPr>
          <w:ilvl w:val="0"/>
          <w:numId w:val="1015"/>
        </w:numPr>
      </w:pPr>
      <w:r>
        <w:rPr>
          <w:b/>
          <w:bCs/>
        </w:rPr>
        <w:t xml:space="preserve">Plain language narrative:</w:t>
      </w:r>
      <w:r>
        <w:t xml:space="preserve"> </w:t>
      </w:r>
      <w:r>
        <w:t xml:space="preserve">3–5 sentences for non-technical</w:t>
      </w:r>
      <w:r>
        <w:t xml:space="preserve"> </w:t>
      </w:r>
      <w:r>
        <w:t xml:space="preserve">stakeholders. No jargon; uses analogies where appropriate; focuses on</w:t>
      </w:r>
      <w:r>
        <w:t xml:space="preserve"> </w:t>
      </w:r>
      <w:r>
        <w:t xml:space="preserve">the business implication and required action.</w:t>
      </w:r>
    </w:p>
    <w:p>
      <w:pPr>
        <w:pStyle w:val="FirstParagraph"/>
      </w:pPr>
      <w:r>
        <w:t xml:space="preserve">The structured prompt injects the full</w:t>
      </w:r>
      <w:r>
        <w:t xml:space="preserve"> </w:t>
      </w:r>
      <w:r>
        <w:rPr>
          <w:rStyle w:val="VerbatimChar"/>
        </w:rPr>
        <w:t xml:space="preserve">GovernanceDecision.to_dict()</w:t>
      </w:r>
      <w:r>
        <w:t xml:space="preserve"> </w:t>
      </w:r>
      <w:r>
        <w:t xml:space="preserve">output, model class, and commodity context. A</w:t>
      </w:r>
      <w:r>
        <w:t xml:space="preserve"> </w:t>
      </w:r>
      <w:r>
        <w:rPr>
          <w:rStyle w:val="VerbatimChar"/>
        </w:rPr>
        <w:t xml:space="preserve">&lt;&lt;&lt;PLAIN&gt;&gt;&gt;</w:t>
      </w:r>
      <w:r>
        <w:t xml:space="preserve"> </w:t>
      </w:r>
      <w:r>
        <w:t xml:space="preserve">delimiter</w:t>
      </w:r>
      <w:r>
        <w:t xml:space="preserve"> </w:t>
      </w:r>
      <w:r>
        <w:t xml:space="preserve">separates the two sections in the model response, enabling deterministic</w:t>
      </w:r>
      <w:r>
        <w:t xml:space="preserve"> </w:t>
      </w:r>
      <w:r>
        <w:t xml:space="preserve">parsing. If the API is unavailable (no key configured, insufficient</w:t>
      </w:r>
      <w:r>
        <w:t xml:space="preserve"> </w:t>
      </w:r>
      <w:r>
        <w:t xml:space="preserve">credits, or network failure), clearly labelled stub narratives are written</w:t>
      </w:r>
      <w:r>
        <w:t xml:space="preserve"> </w:t>
      </w:r>
      <w:r>
        <w:t xml:space="preserve">and the pipeline continues without interruption. At a cost of approximately</w:t>
      </w:r>
      <w:r>
        <w:t xml:space="preserve"> </w:t>
      </w:r>
      <w:r>
        <w:t xml:space="preserve">$0.005 per dataset, narrative generation for the full 11-dataset thesis</w:t>
      </w:r>
      <w:r>
        <w:t xml:space="preserve"> </w:t>
      </w:r>
      <w:r>
        <w:t xml:space="preserve">pipeline costs under $0.10 total.</w:t>
      </w:r>
    </w:p>
    <w:bookmarkEnd w:id="55"/>
    <w:bookmarkStart w:id="56" w:name="deployment-and-accessibility"/>
    <w:p>
      <w:pPr>
        <w:pStyle w:val="Heading3"/>
      </w:pPr>
      <w:r>
        <w:t xml:space="preserve">9.10 Deployment and Accessibility</w:t>
      </w:r>
    </w:p>
    <w:p>
      <w:pPr>
        <w:pStyle w:val="FirstParagraph"/>
      </w:pPr>
      <w:r>
        <w:t xml:space="preserve">The full framework is accessible through three interfaces:</w:t>
      </w:r>
    </w:p>
    <w:p>
      <w:pPr>
        <w:pStyle w:val="BodyText"/>
      </w:pPr>
      <w:r>
        <w:rPr>
          <w:b/>
          <w:bCs/>
        </w:rPr>
        <w:t xml:space="preserve">Command-line orchestrator</w:t>
      </w:r>
      <w:r>
        <w:t xml:space="preserve"> </w:t>
      </w:r>
      <w:r>
        <w:t xml:space="preserve">(</w:t>
      </w:r>
      <w:r>
        <w:rPr>
          <w:rStyle w:val="VerbatimChar"/>
        </w:rPr>
        <w:t xml:space="preserve">run_all.py</w:t>
      </w:r>
      <w:r>
        <w:t xml:space="preserve">): executes all ten pipeline</w:t>
      </w:r>
      <w:r>
        <w:t xml:space="preserve"> </w:t>
      </w:r>
      <w:r>
        <w:t xml:space="preserve">stages (build → run_001 through run_008) in sequence, with per-stage</w:t>
      </w:r>
      <w:r>
        <w:t xml:space="preserve"> </w:t>
      </w:r>
      <w:r>
        <w:t xml:space="preserve">progress reporting and graceful error handling on optional stages.</w:t>
      </w:r>
      <w:r>
        <w:t xml:space="preserve"> </w:t>
      </w:r>
      <w:r>
        <w:t xml:space="preserve">Supports</w:t>
      </w:r>
      <w:r>
        <w:t xml:space="preserve"> </w:t>
      </w:r>
      <w:r>
        <w:rPr>
          <w:rStyle w:val="VerbatimChar"/>
        </w:rPr>
        <w:t xml:space="preserve">--skip-build</w:t>
      </w:r>
      <w:r>
        <w:t xml:space="preserve">,</w:t>
      </w:r>
      <w:r>
        <w:t xml:space="preserve"> </w:t>
      </w:r>
      <w:r>
        <w:rPr>
          <w:rStyle w:val="VerbatimChar"/>
        </w:rPr>
        <w:t xml:space="preserve">--stages</w:t>
      </w:r>
      <w:r>
        <w:t xml:space="preserve">, and</w:t>
      </w:r>
      <w:r>
        <w:t xml:space="preserve"> </w:t>
      </w:r>
      <w:r>
        <w:rPr>
          <w:rStyle w:val="VerbatimChar"/>
        </w:rPr>
        <w:t xml:space="preserve">--dry-run</w:t>
      </w:r>
      <w:r>
        <w:t xml:space="preserve"> </w:t>
      </w:r>
      <w:r>
        <w:t xml:space="preserve">flags.</w:t>
      </w:r>
    </w:p>
    <w:p>
      <w:pPr>
        <w:pStyle w:val="BodyText"/>
      </w:pPr>
      <w:r>
        <w:rPr>
          <w:b/>
          <w:bCs/>
        </w:rPr>
        <w:t xml:space="preserve">Streamlit web application</w:t>
      </w:r>
      <w:r>
        <w:t xml:space="preserve"> </w:t>
      </w:r>
      <w:r>
        <w:t xml:space="preserve">(</w:t>
      </w:r>
      <w:r>
        <w:rPr>
          <w:rStyle w:val="VerbatimChar"/>
        </w:rPr>
        <w:t xml:space="preserve">app.py</w:t>
      </w:r>
      <w:r>
        <w:t xml:space="preserve">, deployed at</w:t>
      </w:r>
      <w:r>
        <w:t xml:space="preserve"> </w:t>
      </w:r>
      <w:r>
        <w:rPr>
          <w:rStyle w:val="VerbatimChar"/>
        </w:rPr>
        <w:t xml:space="preserve">unified-probabilistic-validation.streamlit.app</w:t>
      </w:r>
      <w:r>
        <w:t xml:space="preserve">): a production-grade</w:t>
      </w:r>
      <w:r>
        <w:t xml:space="preserve"> </w:t>
      </w:r>
      <w:r>
        <w:t xml:space="preserve">browser interface that accepts a forecast CSV upload and executes the</w:t>
      </w:r>
      <w:r>
        <w:t xml:space="preserve"> </w:t>
      </w:r>
      <w:r>
        <w:t xml:space="preserve">core pipeline (DataContract → Adapter_PointForecast →</w:t>
      </w:r>
      <w:r>
        <w:t xml:space="preserve"> </w:t>
      </w:r>
      <w:r>
        <w:t xml:space="preserve">BuildDist_FromResiduals → Diagnostics_Input → DecisionEngine →</w:t>
      </w:r>
      <w:r>
        <w:t xml:space="preserve"> </w:t>
      </w:r>
      <w:r>
        <w:t xml:space="preserve">NarrativeGenerator) directly, without requiring local installation or</w:t>
      </w:r>
      <w:r>
        <w:t xml:space="preserve"> </w:t>
      </w:r>
      <w:r>
        <w:t xml:space="preserve">Python knowledge. Results are displayed with colour-coded governance</w:t>
      </w:r>
      <w:r>
        <w:t xml:space="preserve"> </w:t>
      </w:r>
      <w:r>
        <w:t xml:space="preserve">labels, metric cards, Anfuso backtest table, AI narratives (technical and</w:t>
      </w:r>
      <w:r>
        <w:t xml:space="preserve"> </w:t>
      </w:r>
      <w:r>
        <w:t xml:space="preserve">plain language tabs), decision provenance, and a downloadable ZIP of all</w:t>
      </w:r>
      <w:r>
        <w:t xml:space="preserve"> </w:t>
      </w:r>
      <w:r>
        <w:t xml:space="preserve">artifacts. The application enforces a 50,000-row limit for cloud</w:t>
      </w:r>
      <w:r>
        <w:t xml:space="preserve"> </w:t>
      </w:r>
      <w:r>
        <w:t xml:space="preserve">deployment and falls back to stub narratives if no API key is configured.</w:t>
      </w:r>
    </w:p>
    <w:p>
      <w:pPr>
        <w:pStyle w:val="BodyText"/>
      </w:pPr>
      <w:r>
        <w:rPr>
          <w:b/>
          <w:bCs/>
        </w:rPr>
        <w:t xml:space="preserve">SKILL.md documentation</w:t>
      </w:r>
      <w:r>
        <w:t xml:space="preserve"> </w:t>
      </w:r>
      <w:r>
        <w:t xml:space="preserve">(</w:t>
      </w:r>
      <w:r>
        <w:rPr>
          <w:rStyle w:val="VerbatimChar"/>
        </w:rPr>
        <w:t xml:space="preserve">skills/upv/SKILL.md</w:t>
      </w:r>
      <w:r>
        <w:t xml:space="preserve">): a machine-readable</w:t>
      </w:r>
      <w:r>
        <w:t xml:space="preserve"> </w:t>
      </w:r>
      <w:r>
        <w:t xml:space="preserve">skill file that documents the full framework architecture, pipeline stages,</w:t>
      </w:r>
      <w:r>
        <w:t xml:space="preserve"> </w:t>
      </w:r>
      <w:r>
        <w:t xml:space="preserve">component map, CSV format requirements, governance interpretation guide,</w:t>
      </w:r>
      <w:r>
        <w:t xml:space="preserve"> </w:t>
      </w:r>
      <w:r>
        <w:t xml:space="preserve">and step-by-step instructions for adding new commodity classes. This</w:t>
      </w:r>
      <w:r>
        <w:t xml:space="preserve"> </w:t>
      </w:r>
      <w:r>
        <w:t xml:space="preserve">enables AI-assisted orchestration: a new analyst can ingest the skill</w:t>
      </w:r>
      <w:r>
        <w:t xml:space="preserve"> </w:t>
      </w:r>
      <w:r>
        <w:t xml:space="preserve">file and receive guided instructions for extending the framework to</w:t>
      </w:r>
      <w:r>
        <w:t xml:space="preserve"> </w:t>
      </w:r>
      <w:r>
        <w:t xml:space="preserve">additional commodities without modifying core source code.</w:t>
      </w:r>
    </w:p>
    <w:bookmarkEnd w:id="56"/>
    <w:bookmarkEnd w:id="57"/>
    <w:bookmarkEnd w:id="58"/>
    <w:bookmarkStart w:id="59" w:name="results"/>
    <w:p>
      <w:pPr>
        <w:pStyle w:val="Heading1"/>
      </w:pPr>
      <w:r>
        <w:t xml:space="preserve">Results</w:t>
      </w:r>
    </w:p>
    <w:bookmarkEnd w:id="59"/>
    <w:bookmarkStart w:id="111" w:name="results-1"/>
    <w:p>
      <w:pPr>
        <w:pStyle w:val="Heading1"/>
      </w:pPr>
      <w:r>
        <w:t xml:space="preserve">Results</w:t>
      </w:r>
    </w:p>
    <w:p>
      <w:pPr>
        <w:pStyle w:val="FirstParagraph"/>
      </w:pPr>
      <w:r>
        <w:t xml:space="preserve">This chapter reports empirical results across all four model classes evaluated</w:t>
      </w:r>
      <w:r>
        <w:t xml:space="preserve"> </w:t>
      </w:r>
      <w:r>
        <w:t xml:space="preserve">in the unified probabilistic validation framework. Results are organised by</w:t>
      </w:r>
      <w:r>
        <w:t xml:space="preserve"> </w:t>
      </w:r>
      <w:r>
        <w:t xml:space="preserve">dataset: ENTSO-E short-term electricity load forecasting (run_001), long-term PV</w:t>
      </w:r>
      <w:r>
        <w:t xml:space="preserve"> </w:t>
      </w:r>
      <w:r>
        <w:t xml:space="preserve">generation (run_002), long-term wind generation (run_003), the synthetic</w:t>
      </w:r>
      <w:r>
        <w:t xml:space="preserve"> </w:t>
      </w:r>
      <w:r>
        <w:t xml:space="preserve">simulation positive control and misspecification scenarios (run_004,</w:t>
      </w:r>
      <w:r>
        <w:t xml:space="preserve"> </w:t>
      </w:r>
      <w:r>
        <w:t xml:space="preserve">run_004b), and a joint multivariate dependency analysis of PV and wind</w:t>
      </w:r>
      <w:r>
        <w:t xml:space="preserve"> </w:t>
      </w:r>
      <w:r>
        <w:t xml:space="preserve">(run_005). Each dataset is evaluated under the same diagnostic architecture:</w:t>
      </w:r>
      <w:r>
        <w:t xml:space="preserve"> </w:t>
      </w:r>
      <w:r>
        <w:t xml:space="preserve">Anfuso traffic-light interval backtesting, PIT-based distributional and</w:t>
      </w:r>
      <w:r>
        <w:t xml:space="preserve"> </w:t>
      </w:r>
      <w:r>
        <w:t xml:space="preserve">independence diagnostics, proper scoring via CRPS, and rolling-window</w:t>
      </w:r>
      <w:r>
        <w:t xml:space="preserve"> </w:t>
      </w:r>
      <w:r>
        <w:t xml:space="preserve">stability analysis.</w:t>
      </w:r>
    </w:p>
    <w:p>
      <w:r>
        <w:pict>
          <v:rect style="width:0;height:1.5pt" o:hralign="center" o:hrstd="t" o:hr="t"/>
        </w:pict>
      </w:r>
    </w:p>
    <w:bookmarkStart w:id="67" w:name="X249ef40def75a90506aa5ea05981d5faea5b171"/>
    <w:p>
      <w:pPr>
        <w:pStyle w:val="Heading2"/>
      </w:pPr>
      <w:r>
        <w:t xml:space="preserve">1. ENTSO-E Short-Term Electricity Load Forecasting (run_001)</w:t>
      </w:r>
    </w:p>
    <w:p>
      <w:pPr>
        <w:pStyle w:val="FirstParagraph"/>
      </w:pPr>
      <w:r>
        <w:rPr>
          <w:b/>
          <w:bCs/>
        </w:rPr>
        <w:t xml:space="preserve">Dataset:</w:t>
      </w:r>
      <w:r>
        <w:t xml:space="preserve"> </w:t>
      </w:r>
      <w:r>
        <w:t xml:space="preserve">Full ENTSO-E electricity load series, quarter-hourly resolution.</w:t>
      </w:r>
      <w:r>
        <w:t xml:space="preserve"> </w:t>
      </w:r>
      <w:r>
        <w:rPr>
          <w:b/>
          <w:bCs/>
        </w:rPr>
        <w:t xml:space="preserve">Evaluable observations:</w:t>
      </w:r>
      <w:r>
        <w:t xml:space="preserve"> </w:t>
      </w:r>
      <w:r>
        <w:t xml:space="preserve">n = 209,555 (200 NaN observations removed).</w:t>
      </w:r>
      <w:r>
        <w:t xml:space="preserve"> </w:t>
      </w:r>
      <w:r>
        <w:rPr>
          <w:b/>
          <w:bCs/>
        </w:rPr>
        <w:t xml:space="preserve">Nominal level:</w:t>
      </w:r>
      <w:r>
        <w:t xml:space="preserve"> </w:t>
      </w:r>
      <w:r>
        <w:t xml:space="preserve">α = 0.1 (90% central interval).</w:t>
      </w:r>
      <w:r>
        <w:t xml:space="preserve"> </w:t>
      </w:r>
      <w:r>
        <w:rPr>
          <w:b/>
          <w:bCs/>
        </w:rPr>
        <w:t xml:space="preserve">Base interval construction:</w:t>
      </w:r>
      <w:r>
        <w:t xml:space="preserve"> </w:t>
      </w:r>
      <w:r>
        <w:t xml:space="preserve">Rolling empirical residual quantiles with</w:t>
      </w:r>
      <w:r>
        <w:t xml:space="preserve"> </w:t>
      </w:r>
      <w:r>
        <w:t xml:space="preserve">4-bucket time-of-day conditioning (night/morning/afternoon/evening),</w:t>
      </w:r>
      <w:r>
        <w:t xml:space="preserve"> </w:t>
      </w:r>
      <w:r>
        <w:t xml:space="preserve">Wb = 40 bucket-specific observations, Wg = 672 global observations (7 days).</w:t>
      </w:r>
    </w:p>
    <w:p>
      <w:r>
        <w:pict>
          <v:rect style="width:0;height:1.5pt" o:hralign="center" o:hrstd="t" o:hr="t"/>
        </w:pict>
      </w:r>
    </w:p>
    <w:bookmarkStart w:id="60" w:name="Xf1fbfd7a2720cee88c4c6ca0cb4cf4dae213ffa"/>
    <w:p>
      <w:pPr>
        <w:pStyle w:val="Heading3"/>
      </w:pPr>
      <w:r>
        <w:t xml:space="preserve">1.1 Interval Backtesting (Anfuso Traffic-Light Framework)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Breach Rate</w:t>
            </w:r>
          </w:p>
        </w:tc>
        <w:tc>
          <w:tcPr/>
          <w:p>
            <w:pPr>
              <w:pStyle w:val="Compact"/>
            </w:pPr>
            <w:r>
              <w:t xml:space="preserve">p-value (exceedance)</w:t>
            </w:r>
          </w:p>
        </w:tc>
        <w:tc>
          <w:tcPr/>
          <w:p>
            <w:pPr>
              <w:pStyle w:val="Compact"/>
            </w:pPr>
            <w:r>
              <w:t xml:space="preserve">Traffic Light</w:t>
            </w:r>
          </w:p>
        </w:tc>
      </w:tr>
      <w:tr>
        <w:tc>
          <w:tcPr/>
          <w:p>
            <w:pPr>
              <w:pStyle w:val="Compact"/>
            </w:pPr>
            <w:r>
              <w:t xml:space="preserve">Lower tail</w:t>
            </w:r>
          </w:p>
        </w:tc>
        <w:tc>
          <w:tcPr/>
          <w:p>
            <w:pPr>
              <w:pStyle w:val="Compact"/>
            </w:pPr>
            <w:r>
              <w:t xml:space="preserve">6.66%</w:t>
            </w:r>
          </w:p>
        </w:tc>
        <w:tc>
          <w:tcPr/>
          <w:p>
            <w:pPr>
              <w:pStyle w:val="Compact"/>
            </w:pPr>
            <w:r>
              <w:t xml:space="preserve">≈ 1.17 × 10⁻²⁴¹</w:t>
            </w:r>
          </w:p>
        </w:tc>
        <w:tc>
          <w:tcPr/>
          <w:p>
            <w:pPr>
              <w:pStyle w:val="Compact"/>
            </w:pPr>
            <w:r>
              <w:t xml:space="preserve">RED</w:t>
            </w:r>
          </w:p>
        </w:tc>
      </w:tr>
      <w:tr>
        <w:tc>
          <w:tcPr/>
          <w:p>
            <w:pPr>
              <w:pStyle w:val="Compact"/>
            </w:pPr>
            <w:r>
              <w:t xml:space="preserve">Upper tail</w:t>
            </w:r>
          </w:p>
        </w:tc>
        <w:tc>
          <w:tcPr/>
          <w:p>
            <w:pPr>
              <w:pStyle w:val="Compact"/>
            </w:pPr>
            <w:r>
              <w:t xml:space="preserve">6.28%</w:t>
            </w:r>
          </w:p>
        </w:tc>
        <w:tc>
          <w:tcPr/>
          <w:p>
            <w:pPr>
              <w:pStyle w:val="Compact"/>
            </w:pPr>
            <w:r>
              <w:t xml:space="preserve">≈ 2.17 × 10⁻¹⁴⁸</w:t>
            </w:r>
          </w:p>
        </w:tc>
        <w:tc>
          <w:tcPr/>
          <w:p>
            <w:pPr>
              <w:pStyle w:val="Compact"/>
            </w:pPr>
            <w:r>
              <w:t xml:space="preserve">RED</w:t>
            </w:r>
          </w:p>
        </w:tc>
      </w:tr>
      <w:tr>
        <w:tc>
          <w:tcPr/>
          <w:p>
            <w:pPr>
              <w:pStyle w:val="Compact"/>
            </w:pPr>
            <w:r>
              <w:t xml:space="preserve">Total</w:t>
            </w:r>
          </w:p>
        </w:tc>
        <w:tc>
          <w:tcPr/>
          <w:p>
            <w:pPr>
              <w:pStyle w:val="Compact"/>
            </w:pPr>
            <w:r>
              <w:t xml:space="preserve">12.94%</w:t>
            </w:r>
          </w:p>
        </w:tc>
        <w:tc>
          <w:tcPr/>
          <w:p>
            <w:pPr>
              <w:pStyle w:val="Compact"/>
            </w:pPr>
            <w:r>
              <w:t xml:space="preserve">≈ 0 (machine ε)</w:t>
            </w:r>
          </w:p>
        </w:tc>
        <w:tc>
          <w:tcPr/>
          <w:p>
            <w:pPr>
              <w:pStyle w:val="Compact"/>
            </w:pPr>
            <w:r>
              <w:t xml:space="preserve">RED</w:t>
            </w:r>
          </w:p>
        </w:tc>
      </w:tr>
    </w:tbl>
    <w:p>
      <w:pPr>
        <w:pStyle w:val="BodyText"/>
      </w:pPr>
      <w:r>
        <w:t xml:space="preserve">Nominal expected breach rates: 5% per tail, 10% total.</w:t>
      </w:r>
    </w:p>
    <w:p>
      <w:pPr>
        <w:pStyle w:val="BodyText"/>
      </w:pPr>
      <w:r>
        <w:t xml:space="preserve">Both tails breach significantly above their nominal rates. The rolling</w:t>
      </w:r>
      <w:r>
        <w:t xml:space="preserve"> </w:t>
      </w:r>
      <w:r>
        <w:t xml:space="preserve">empirical reconstruction (replacing the earlier global-quantile placeholder)</w:t>
      </w:r>
      <w:r>
        <w:t xml:space="preserve"> </w:t>
      </w:r>
      <w:r>
        <w:t xml:space="preserve">correctly captures the asymmetric residual structure; the resulting</w:t>
      </w:r>
      <w:r>
        <w:t xml:space="preserve"> </w:t>
      </w:r>
      <w:r>
        <w:t xml:space="preserve">intervals are systematically too narrow, producing bilateral over-breaching.</w:t>
      </w:r>
      <w:r>
        <w:t xml:space="preserve"> </w:t>
      </w:r>
      <w:r>
        <w:t xml:space="preserve">Total breach rate of 12.94% represents a 2.94 percentage point excess over</w:t>
      </w:r>
      <w:r>
        <w:t xml:space="preserve"> </w:t>
      </w:r>
      <w:r>
        <w:t xml:space="preserve">the nominal 10% target, confirmed as statistically extreme under the</w:t>
      </w:r>
      <w:r>
        <w:t xml:space="preserve"> </w:t>
      </w:r>
      <w:r>
        <w:t xml:space="preserve">binomial test.</w:t>
      </w:r>
    </w:p>
    <w:p>
      <w:r>
        <w:pict>
          <v:rect style="width:0;height:1.5pt" o:hralign="center" o:hrstd="t" o:hr="t"/>
        </w:pict>
      </w:r>
    </w:p>
    <w:bookmarkEnd w:id="60"/>
    <w:bookmarkStart w:id="63" w:name="distributional-diagnostics-pit-based"/>
    <w:p>
      <w:pPr>
        <w:pStyle w:val="Heading3"/>
      </w:pPr>
      <w:r>
        <w:t xml:space="preserve">1.2 Distributional Diagnostics (PIT-Based)</w:t>
      </w:r>
    </w:p>
    <w:bookmarkStart w:id="61" w:name="uniformity-tests"/>
    <w:p>
      <w:pPr>
        <w:pStyle w:val="Heading4"/>
      </w:pPr>
      <w:r>
        <w:t xml:space="preserve">Uniformity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Statistic</w:t>
            </w:r>
          </w:p>
        </w:tc>
        <w:tc>
          <w:tcPr/>
          <w:p>
            <w:pPr>
              <w:pStyle w:val="Compact"/>
            </w:pPr>
            <w:r>
              <w:t xml:space="preserve">p-value</w:t>
            </w:r>
          </w:p>
        </w:tc>
      </w:tr>
      <w:tr>
        <w:tc>
          <w:tcPr/>
          <w:p>
            <w:pPr>
              <w:pStyle w:val="Compact"/>
            </w:pPr>
            <w:r>
              <w:t xml:space="preserve">Kolmogorov–Smirnov</w:t>
            </w:r>
          </w:p>
        </w:tc>
        <w:tc>
          <w:tcPr/>
          <w:p>
            <w:pPr>
              <w:pStyle w:val="Compact"/>
            </w:pPr>
            <w:r>
              <w:t xml:space="preserve">0.1615</w:t>
            </w:r>
          </w:p>
        </w:tc>
        <w:tc>
          <w:tcPr/>
          <w:p>
            <w:pPr>
              <w:pStyle w:val="Compact"/>
            </w:pPr>
            <w:r>
              <w:t xml:space="preserve">≈ 0</w:t>
            </w:r>
          </w:p>
        </w:tc>
      </w:tr>
      <w:tr>
        <w:tc>
          <w:tcPr/>
          <w:p>
            <w:pPr>
              <w:pStyle w:val="Compact"/>
            </w:pPr>
            <w:r>
              <w:t xml:space="preserve">Cramér–von Mises</w:t>
            </w:r>
          </w:p>
        </w:tc>
        <w:tc>
          <w:tcPr/>
          <w:p>
            <w:pPr>
              <w:pStyle w:val="Compact"/>
            </w:pPr>
            <w:r>
              <w:t xml:space="preserve">2,032.08</w:t>
            </w:r>
          </w:p>
        </w:tc>
        <w:tc>
          <w:tcPr/>
          <w:p>
            <w:pPr>
              <w:pStyle w:val="Compact"/>
            </w:pPr>
            <w:r>
              <w:t xml:space="preserve">≈ 3.85 × 10⁻⁷</w:t>
            </w:r>
          </w:p>
        </w:tc>
      </w:tr>
      <w:tr>
        <w:tc>
          <w:tcPr/>
          <w:p>
            <w:pPr>
              <w:pStyle w:val="Compact"/>
            </w:pPr>
            <w:r>
              <w:t xml:space="preserve">Anderson–Darling</w:t>
            </w:r>
          </w:p>
        </w:tc>
        <w:tc>
          <w:tcPr/>
          <w:p>
            <w:pPr>
              <w:pStyle w:val="Compact"/>
            </w:pPr>
            <w:r>
              <w:t xml:space="preserve">6,136.34</w:t>
            </w:r>
          </w:p>
        </w:tc>
        <w:tc>
          <w:tcPr/>
          <w:p>
            <w:pPr>
              <w:pStyle w:val="Compact"/>
            </w:pPr>
            <w:r>
              <w:t xml:space="preserve">&gt;&gt; critical values</w:t>
            </w:r>
          </w:p>
        </w:tc>
      </w:tr>
    </w:tbl>
    <w:p>
      <w:pPr>
        <w:pStyle w:val="BodyText"/>
      </w:pPr>
      <w:r>
        <w:t xml:space="preserve">All uniformity tests strongly reject the null hypothesis of U(0,1) PIT</w:t>
      </w:r>
      <w:r>
        <w:t xml:space="preserve"> </w:t>
      </w:r>
      <w:r>
        <w:t xml:space="preserve">scores at all conventional significance levels.</w:t>
      </w:r>
    </w:p>
    <w:bookmarkEnd w:id="61"/>
    <w:bookmarkStart w:id="62" w:name="independence-tests-ljungbox-on-z-φ¹u"/>
    <w:p>
      <w:pPr>
        <w:pStyle w:val="Heading4"/>
      </w:pPr>
      <w:r>
        <w:t xml:space="preserve">Independence Tests (Ljung–Box on z = Φ⁻¹(u))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Lag</w:t>
            </w:r>
          </w:p>
        </w:tc>
        <w:tc>
          <w:tcPr/>
          <w:p>
            <w:pPr>
              <w:pStyle w:val="Compact"/>
            </w:pPr>
            <w:r>
              <w:t xml:space="preserve">Statistic</w:t>
            </w:r>
          </w:p>
        </w:tc>
        <w:tc>
          <w:tcPr/>
          <w:p>
            <w:pPr>
              <w:pStyle w:val="Compact"/>
            </w:pPr>
            <w:r>
              <w:t xml:space="preserve">p-value</w:t>
            </w:r>
          </w:p>
        </w:tc>
      </w:tr>
      <w:tr>
        <w:tc>
          <w:tcPr/>
          <w:p>
            <w:pPr>
              <w:pStyle w:val="Compact"/>
            </w:pPr>
            <w:r>
              <w:t xml:space="preserve">5</w:t>
            </w:r>
          </w:p>
        </w:tc>
        <w:tc>
          <w:tcPr/>
          <w:p>
            <w:pPr>
              <w:pStyle w:val="Compact"/>
            </w:pPr>
            <w:r>
              <w:t xml:space="preserve">846,049</w:t>
            </w:r>
          </w:p>
        </w:tc>
        <w:tc>
          <w:tcPr/>
          <w:p>
            <w:pPr>
              <w:pStyle w:val="Compact"/>
            </w:pPr>
            <w:r>
              <w:t xml:space="preserve">≈ 0</w:t>
            </w:r>
          </w:p>
        </w:tc>
      </w:tr>
      <w:tr>
        <w:tc>
          <w:tcPr/>
          <w:p>
            <w:pPr>
              <w:pStyle w:val="Compact"/>
            </w:pPr>
            <w:r>
              <w:t xml:space="preserve">10</w:t>
            </w:r>
          </w:p>
        </w:tc>
        <w:tc>
          <w:tcPr/>
          <w:p>
            <w:pPr>
              <w:pStyle w:val="Compact"/>
            </w:pPr>
            <w:r>
              <w:t xml:space="preserve">1,563,119</w:t>
            </w:r>
          </w:p>
        </w:tc>
        <w:tc>
          <w:tcPr/>
          <w:p>
            <w:pPr>
              <w:pStyle w:val="Compact"/>
            </w:pPr>
            <w:r>
              <w:t xml:space="preserve">≈ 0</w:t>
            </w:r>
          </w:p>
        </w:tc>
      </w:tr>
      <w:tr>
        <w:tc>
          <w:tcPr/>
          <w:p>
            <w:pPr>
              <w:pStyle w:val="Compact"/>
            </w:pPr>
            <w:r>
              <w:t xml:space="preserve">20</w:t>
            </w:r>
          </w:p>
        </w:tc>
        <w:tc>
          <w:tcPr/>
          <w:p>
            <w:pPr>
              <w:pStyle w:val="Compact"/>
            </w:pPr>
            <w:r>
              <w:t xml:space="preserve">2,699,489</w:t>
            </w:r>
          </w:p>
        </w:tc>
        <w:tc>
          <w:tcPr/>
          <w:p>
            <w:pPr>
              <w:pStyle w:val="Compact"/>
            </w:pPr>
            <w:r>
              <w:t xml:space="preserve">≈ 0</w:t>
            </w:r>
          </w:p>
        </w:tc>
      </w:tr>
    </w:tbl>
    <w:p>
      <w:pPr>
        <w:pStyle w:val="BodyText"/>
      </w:pPr>
      <w:r>
        <w:t xml:space="preserve">Serial independence is overwhelmingly rejected at all lags. The magnitude</w:t>
      </w:r>
      <w:r>
        <w:t xml:space="preserve"> </w:t>
      </w:r>
      <w:r>
        <w:t xml:space="preserve">of the statistics — several orders above chi-squared critical values —</w:t>
      </w:r>
      <w:r>
        <w:t xml:space="preserve"> </w:t>
      </w:r>
      <w:r>
        <w:t xml:space="preserve">indicates severe autocorrelation in the probability integral transforms,</w:t>
      </w:r>
      <w:r>
        <w:t xml:space="preserve"> </w:t>
      </w:r>
      <w:r>
        <w:t xml:space="preserve">consistent with the model failing to capture persistent temporal structure</w:t>
      </w:r>
      <w:r>
        <w:t xml:space="preserve"> </w:t>
      </w:r>
      <w:r>
        <w:t xml:space="preserve">in electricity load.</w:t>
      </w:r>
    </w:p>
    <w:p>
      <w:r>
        <w:pict>
          <v:rect style="width:0;height:1.5pt" o:hralign="center" o:hrstd="t" o:hr="t"/>
        </w:pict>
      </w:r>
    </w:p>
    <w:bookmarkEnd w:id="62"/>
    <w:bookmarkEnd w:id="63"/>
    <w:bookmarkStart w:id="64" w:name="proper-scoring"/>
    <w:p>
      <w:pPr>
        <w:pStyle w:val="Heading3"/>
      </w:pPr>
      <w:r>
        <w:t xml:space="preserve">1.3 Proper Scoring</w:t>
      </w:r>
    </w:p>
    <w:p>
      <w:pPr>
        <w:pStyle w:val="Compact"/>
        <w:numPr>
          <w:ilvl w:val="0"/>
          <w:numId w:val="1016"/>
        </w:numPr>
      </w:pPr>
      <w:r>
        <w:t xml:space="preserve">Mean CRPS: 1,515.23</w:t>
      </w:r>
    </w:p>
    <w:p>
      <w:pPr>
        <w:pStyle w:val="Compact"/>
        <w:numPr>
          <w:ilvl w:val="0"/>
          <w:numId w:val="1016"/>
        </w:numPr>
      </w:pPr>
      <w:r>
        <w:t xml:space="preserve">Empirical coverage: 87.06%</w:t>
      </w:r>
    </w:p>
    <w:p>
      <w:pPr>
        <w:pStyle w:val="Compact"/>
        <w:numPr>
          <w:ilvl w:val="0"/>
          <w:numId w:val="1016"/>
        </w:numPr>
      </w:pPr>
      <w:r>
        <w:t xml:space="preserve">Coverage error: −2.94 pp</w:t>
      </w:r>
    </w:p>
    <w:p>
      <w:pPr>
        <w:pStyle w:val="FirstParagraph"/>
      </w:pPr>
      <w:r>
        <w:t xml:space="preserve">The negative coverage error confirms that the base predictive intervals are</w:t>
      </w:r>
      <w:r>
        <w:t xml:space="preserve"> </w:t>
      </w:r>
      <w:r>
        <w:t xml:space="preserve">too narrow on average. CRPS reflects the absolute forecast scale (electricity load</w:t>
      </w:r>
      <w:r>
        <w:t xml:space="preserve"> </w:t>
      </w:r>
      <w:r>
        <w:t xml:space="preserve">in physical units); cross-asset CRPS comparisons should account for scale</w:t>
      </w:r>
      <w:r>
        <w:t xml:space="preserve"> </w:t>
      </w:r>
      <w:r>
        <w:t xml:space="preserve">differences.</w:t>
      </w:r>
    </w:p>
    <w:p>
      <w:r>
        <w:pict>
          <v:rect style="width:0;height:1.5pt" o:hralign="center" o:hrstd="t" o:hr="t"/>
        </w:pict>
      </w:r>
    </w:p>
    <w:bookmarkEnd w:id="64"/>
    <w:bookmarkStart w:id="65" w:name="governance-classification-1"/>
    <w:p>
      <w:pPr>
        <w:pStyle w:val="Heading3"/>
      </w:pPr>
      <w:r>
        <w:t xml:space="preserve">1.4 Governance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Status</w:t>
            </w:r>
          </w:p>
        </w:tc>
      </w:tr>
      <w:tr>
        <w:tc>
          <w:tcPr/>
          <w:p>
            <w:pPr>
              <w:pStyle w:val="Compact"/>
            </w:pPr>
            <w:r>
              <w:t xml:space="preserve">PIT uniformity</w:t>
            </w:r>
          </w:p>
        </w:tc>
        <w:tc>
          <w:tcPr/>
          <w:p>
            <w:pPr>
              <w:pStyle w:val="Compact"/>
            </w:pPr>
            <w:r>
              <w:t xml:space="preserve">FAIL</w:t>
            </w:r>
          </w:p>
        </w:tc>
      </w:tr>
      <w:tr>
        <w:tc>
          <w:tcPr/>
          <w:p>
            <w:pPr>
              <w:pStyle w:val="Compact"/>
            </w:pPr>
            <w:r>
              <w:t xml:space="preserve">PIT independence</w:t>
            </w:r>
          </w:p>
        </w:tc>
        <w:tc>
          <w:tcPr/>
          <w:p>
            <w:pPr>
              <w:pStyle w:val="Compact"/>
            </w:pPr>
            <w:r>
              <w:t xml:space="preserve">FAIL</w:t>
            </w:r>
          </w:p>
        </w:tc>
      </w:tr>
      <w:tr>
        <w:tc>
          <w:tcPr/>
          <w:p>
            <w:pPr>
              <w:pStyle w:val="Compact"/>
            </w:pPr>
            <w:r>
              <w:t xml:space="preserve">Interval coverage</w:t>
            </w:r>
          </w:p>
        </w:tc>
        <w:tc>
          <w:tcPr/>
          <w:p>
            <w:pPr>
              <w:pStyle w:val="Compact"/>
            </w:pPr>
            <w:r>
              <w:t xml:space="preserve">−2.94 pp (under)</w:t>
            </w:r>
          </w:p>
        </w:tc>
      </w:tr>
      <w:tr>
        <w:tc>
          <w:tcPr/>
          <w:p>
            <w:pPr>
              <w:pStyle w:val="Compact"/>
            </w:pPr>
            <w:r>
              <w:t xml:space="preserve">Overall classification</w:t>
            </w:r>
          </w:p>
        </w:tc>
        <w:tc>
          <w:tcPr/>
          <w:p>
            <w:pPr>
              <w:pStyle w:val="Compact"/>
            </w:pPr>
            <w:r>
              <w:rPr>
                <w:b/>
                <w:bCs/>
              </w:rPr>
              <w:t xml:space="preserve">RED</w:t>
            </w:r>
          </w:p>
        </w:tc>
      </w:tr>
    </w:tbl>
    <w:p>
      <w:pPr>
        <w:pStyle w:val="BodyText"/>
      </w:pPr>
      <w:r>
        <w:t xml:space="preserve">Risk reasons: uniformity strongly rejected (min p ≈ 0); independence</w:t>
      </w:r>
      <w:r>
        <w:t xml:space="preserve"> </w:t>
      </w:r>
      <w:r>
        <w:t xml:space="preserve">strongly rejected (min Ljung–Box p ≈ 0).</w:t>
      </w:r>
    </w:p>
    <w:p>
      <w:r>
        <w:pict>
          <v:rect style="width:0;height:1.5pt" o:hralign="center" o:hrstd="t" o:hr="t"/>
        </w:pict>
      </w:r>
    </w:p>
    <w:bookmarkEnd w:id="65"/>
    <w:bookmarkStart w:id="66" w:name="rolling-evaluation-1"/>
    <w:p>
      <w:pPr>
        <w:pStyle w:val="Heading3"/>
      </w:pPr>
      <w:r>
        <w:t xml:space="preserve">1.5 Rolling Evaluation</w:t>
      </w:r>
    </w:p>
    <w:p>
      <w:pPr>
        <w:pStyle w:val="FirstParagraph"/>
      </w:pPr>
      <w:r>
        <w:t xml:space="preserve">Rolling diagnostics were conducted under non-overlapping (window = 250,</w:t>
      </w:r>
      <w:r>
        <w:t xml:space="preserve"> </w:t>
      </w:r>
      <w:r>
        <w:t xml:space="preserve">step = 250) and overlapping (window = 250, step = 50) schemes. Across both</w:t>
      </w:r>
      <w:r>
        <w:t xml:space="preserve"> </w:t>
      </w:r>
      <w:r>
        <w:t xml:space="preserve">specifications, PIT uniformity is frequently rejected, independence</w:t>
      </w:r>
      <w:r>
        <w:t xml:space="preserve"> </w:t>
      </w:r>
      <w:r>
        <w:t xml:space="preserve">violations persist, and both tails breach above nominal rates recurrently.</w:t>
      </w:r>
      <w:r>
        <w:t xml:space="preserve"> </w:t>
      </w:r>
      <w:r>
        <w:t xml:space="preserve">The consistency across specifications indicates that miscalibration is not</w:t>
      </w:r>
      <w:r>
        <w:t xml:space="preserve"> </w:t>
      </w:r>
      <w:r>
        <w:t xml:space="preserve">localised to isolated regimes but is persistent across time.</w:t>
      </w:r>
    </w:p>
    <w:p>
      <w:r>
        <w:pict>
          <v:rect style="width:0;height:1.5pt" o:hralign="center" o:hrstd="t" o:hr="t"/>
        </w:pict>
      </w:r>
    </w:p>
    <w:bookmarkEnd w:id="66"/>
    <w:bookmarkEnd w:id="67"/>
    <w:bookmarkStart w:id="75" w:name="long-term-pv-generation-run_002"/>
    <w:p>
      <w:pPr>
        <w:pStyle w:val="Heading2"/>
      </w:pPr>
      <w:r>
        <w:t xml:space="preserve">2. Long-Term PV Generation (run_002)</w:t>
      </w:r>
    </w:p>
    <w:p>
      <w:pPr>
        <w:pStyle w:val="FirstParagraph"/>
      </w:pPr>
      <w:r>
        <w:rPr>
          <w:b/>
          <w:bCs/>
        </w:rPr>
        <w:t xml:space="preserve">Dataset:</w:t>
      </w:r>
      <w:r>
        <w:t xml:space="preserve"> </w:t>
      </w:r>
      <w:r>
        <w:t xml:space="preserve">pv_student.csv, hourly, 2013–2015.</w:t>
      </w:r>
      <w:r>
        <w:t xml:space="preserve"> </w:t>
      </w:r>
      <w:r>
        <w:rPr>
          <w:b/>
          <w:bCs/>
        </w:rPr>
        <w:t xml:space="preserve">Evaluable observations:</w:t>
      </w:r>
      <w:r>
        <w:t xml:space="preserve"> </w:t>
      </w:r>
      <w:r>
        <w:t xml:space="preserve">n = 4,287 (daytime only; 10,036 nighttime rows</w:t>
      </w:r>
      <w:r>
        <w:t xml:space="preserve"> </w:t>
      </w:r>
      <w:r>
        <w:t xml:space="preserve">excluded; 11,957 warmup rows consumed by rolling window).</w:t>
      </w:r>
      <w:r>
        <w:t xml:space="preserve"> </w:t>
      </w:r>
      <w:r>
        <w:rPr>
          <w:b/>
          <w:bCs/>
        </w:rPr>
        <w:t xml:space="preserve">Nominal level:</w:t>
      </w:r>
      <w:r>
        <w:t xml:space="preserve"> </w:t>
      </w:r>
      <w:r>
        <w:t xml:space="preserve">α = 0.1 (90% central interval).</w:t>
      </w:r>
      <w:r>
        <w:t xml:space="preserve"> </w:t>
      </w:r>
      <w:r>
        <w:rPr>
          <w:b/>
          <w:bCs/>
        </w:rPr>
        <w:t xml:space="preserve">Base interval construction:</w:t>
      </w:r>
      <w:r>
        <w:t xml:space="preserve"> </w:t>
      </w:r>
      <w:r>
        <w:t xml:space="preserve">Rolling empirical residual quantiles, 24-bucket</w:t>
      </w:r>
      <w:r>
        <w:t xml:space="preserve"> </w:t>
      </w:r>
      <w:r>
        <w:t xml:space="preserve">hour-of-day conditioning, W = 720 trailing same-hour observations (~30 days).</w:t>
      </w:r>
      <w:r>
        <w:t xml:space="preserve"> </w:t>
      </w:r>
      <w:r>
        <w:t xml:space="preserve">Structural nighttime zeros (both Simulation and Actuals &lt; 10⁻⁹) excluded from</w:t>
      </w:r>
      <w:r>
        <w:t xml:space="preserve"> </w:t>
      </w:r>
      <w:r>
        <w:t xml:space="preserve">calibration evaluation — consistent with standard industry practice.</w:t>
      </w:r>
    </w:p>
    <w:p>
      <w:r>
        <w:pict>
          <v:rect style="width:0;height:1.5pt" o:hralign="center" o:hrstd="t" o:hr="t"/>
        </w:pict>
      </w:r>
    </w:p>
    <w:bookmarkStart w:id="68" w:name="X33d93d85c20ca89614ffedddc88479de58e9648"/>
    <w:p>
      <w:pPr>
        <w:pStyle w:val="Heading3"/>
      </w:pPr>
      <w:r>
        <w:t xml:space="preserve">2.1 Interval Backtesting (Anfuso Traffic-Light Framework)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Breach Rate</w:t>
            </w:r>
          </w:p>
        </w:tc>
        <w:tc>
          <w:tcPr/>
          <w:p>
            <w:pPr>
              <w:pStyle w:val="Compact"/>
            </w:pPr>
            <w:r>
              <w:t xml:space="preserve">p-value (exceedance)</w:t>
            </w:r>
          </w:p>
        </w:tc>
        <w:tc>
          <w:tcPr/>
          <w:p>
            <w:pPr>
              <w:pStyle w:val="Compact"/>
            </w:pPr>
            <w:r>
              <w:t xml:space="preserve">Traffic Light</w:t>
            </w:r>
          </w:p>
        </w:tc>
      </w:tr>
      <w:tr>
        <w:tc>
          <w:tcPr/>
          <w:p>
            <w:pPr>
              <w:pStyle w:val="Compact"/>
            </w:pPr>
            <w:r>
              <w:t xml:space="preserve">Lower tail</w:t>
            </w:r>
          </w:p>
        </w:tc>
        <w:tc>
          <w:tcPr/>
          <w:p>
            <w:pPr>
              <w:pStyle w:val="Compact"/>
            </w:pPr>
            <w:r>
              <w:t xml:space="preserve">3.64%</w:t>
            </w:r>
          </w:p>
        </w:tc>
        <w:tc>
          <w:tcPr/>
          <w:p>
            <w:pPr>
              <w:pStyle w:val="Compact"/>
            </w:pPr>
            <w:r>
              <w:t xml:space="preserve">0.9999921</w:t>
            </w:r>
          </w:p>
        </w:tc>
        <w:tc>
          <w:tcPr/>
          <w:p>
            <w:pPr>
              <w:pStyle w:val="Compact"/>
            </w:pPr>
            <w:r>
              <w:t xml:space="preserve">GREEN</w:t>
            </w:r>
          </w:p>
        </w:tc>
      </w:tr>
      <w:tr>
        <w:tc>
          <w:tcPr/>
          <w:p>
            <w:pPr>
              <w:pStyle w:val="Compact"/>
            </w:pPr>
            <w:r>
              <w:t xml:space="preserve">Upper tail</w:t>
            </w:r>
          </w:p>
        </w:tc>
        <w:tc>
          <w:tcPr/>
          <w:p>
            <w:pPr>
              <w:pStyle w:val="Compact"/>
            </w:pPr>
            <w:r>
              <w:t xml:space="preserve">4.99%</w:t>
            </w:r>
          </w:p>
        </w:tc>
        <w:tc>
          <w:tcPr/>
          <w:p>
            <w:pPr>
              <w:pStyle w:val="Compact"/>
            </w:pPr>
            <w:r>
              <w:t xml:space="preserve">0.5196</w:t>
            </w:r>
          </w:p>
        </w:tc>
        <w:tc>
          <w:tcPr/>
          <w:p>
            <w:pPr>
              <w:pStyle w:val="Compact"/>
            </w:pPr>
            <w:r>
              <w:t xml:space="preserve">GREEN</w:t>
            </w:r>
          </w:p>
        </w:tc>
      </w:tr>
      <w:tr>
        <w:tc>
          <w:tcPr/>
          <w:p>
            <w:pPr>
              <w:pStyle w:val="Compact"/>
            </w:pPr>
            <w:r>
              <w:t xml:space="preserve">Total</w:t>
            </w:r>
          </w:p>
        </w:tc>
        <w:tc>
          <w:tcPr/>
          <w:p>
            <w:pPr>
              <w:pStyle w:val="Compact"/>
            </w:pPr>
            <w:r>
              <w:t xml:space="preserve">8.63%</w:t>
            </w:r>
          </w:p>
        </w:tc>
        <w:tc>
          <w:tcPr/>
          <w:p>
            <w:pPr>
              <w:pStyle w:val="Compact"/>
            </w:pPr>
            <w:r>
              <w:t xml:space="preserve">0.9989</w:t>
            </w:r>
          </w:p>
        </w:tc>
        <w:tc>
          <w:tcPr/>
          <w:p>
            <w:pPr>
              <w:pStyle w:val="Compact"/>
            </w:pPr>
            <w:r>
              <w:t xml:space="preserve">GREEN</w:t>
            </w:r>
          </w:p>
        </w:tc>
      </w:tr>
    </w:tbl>
    <w:p>
      <w:pPr>
        <w:pStyle w:val="BodyText"/>
      </w:pPr>
      <w:r>
        <w:t xml:space="preserve">Both tails are within nominal bounds. The lower tail is conservative</w:t>
      </w:r>
      <w:r>
        <w:t xml:space="preserve"> </w:t>
      </w:r>
      <w:r>
        <w:t xml:space="preserve">(3.64% &lt; 5% expected). Total breach rate of 8.63% is below the 10%</w:t>
      </w:r>
      <w:r>
        <w:t xml:space="preserve"> </w:t>
      </w:r>
      <w:r>
        <w:t xml:space="preserve">nominal — the reconstructed intervals are slightly wide rather than too</w:t>
      </w:r>
      <w:r>
        <w:t xml:space="preserve"> </w:t>
      </w:r>
      <w:r>
        <w:t xml:space="preserve">narrow. All binomial p-values are far from rejection: the model passes</w:t>
      </w:r>
      <w:r>
        <w:t xml:space="preserve"> </w:t>
      </w:r>
      <w:r>
        <w:t xml:space="preserve">interval backtesting at the Anfuso level.</w:t>
      </w:r>
    </w:p>
    <w:p>
      <w:pPr>
        <w:pStyle w:val="BodyText"/>
      </w:pPr>
      <w:r>
        <w:rPr>
          <w:b/>
          <w:bCs/>
        </w:rPr>
        <w:t xml:space="preserve">Note on statistical power.</w:t>
      </w:r>
      <w:r>
        <w:t xml:space="preserve"> </w:t>
      </w:r>
      <w:r>
        <w:t xml:space="preserve">With n = 4,287, the binomial test has</w:t>
      </w:r>
      <w:r>
        <w:t xml:space="preserve"> </w:t>
      </w:r>
      <w:r>
        <w:t xml:space="preserve">substantially less power than the ENTSO-E run (n = 209,555). A modest</w:t>
      </w:r>
      <w:r>
        <w:t xml:space="preserve"> </w:t>
      </w:r>
      <w:r>
        <w:t xml:space="preserve">true over-breaching could go undetected. This limitation is inherent</w:t>
      </w:r>
      <w:r>
        <w:t xml:space="preserve"> </w:t>
      </w:r>
      <w:r>
        <w:t xml:space="preserve">to the available evaluation sample after nighttime exclusion and</w:t>
      </w:r>
      <w:r>
        <w:t xml:space="preserve"> </w:t>
      </w:r>
      <w:r>
        <w:t xml:space="preserve">rolling warmup.</w:t>
      </w:r>
    </w:p>
    <w:p>
      <w:r>
        <w:pict>
          <v:rect style="width:0;height:1.5pt" o:hralign="center" o:hrstd="t" o:hr="t"/>
        </w:pict>
      </w:r>
    </w:p>
    <w:bookmarkEnd w:id="68"/>
    <w:bookmarkStart w:id="71" w:name="distributional-diagnostics-pit-based-1"/>
    <w:p>
      <w:pPr>
        <w:pStyle w:val="Heading3"/>
      </w:pPr>
      <w:r>
        <w:t xml:space="preserve">2.2 Distributional Diagnostics (PIT-Based)</w:t>
      </w:r>
    </w:p>
    <w:bookmarkStart w:id="69" w:name="uniformity-tests-1"/>
    <w:p>
      <w:pPr>
        <w:pStyle w:val="Heading4"/>
      </w:pPr>
      <w:r>
        <w:t xml:space="preserve">Uniformity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Statistic</w:t>
            </w:r>
          </w:p>
        </w:tc>
        <w:tc>
          <w:tcPr/>
          <w:p>
            <w:pPr>
              <w:pStyle w:val="Compact"/>
            </w:pPr>
            <w:r>
              <w:t xml:space="preserve">p-value</w:t>
            </w:r>
          </w:p>
        </w:tc>
      </w:tr>
      <w:tr>
        <w:tc>
          <w:tcPr/>
          <w:p>
            <w:pPr>
              <w:pStyle w:val="Compact"/>
            </w:pPr>
            <w:r>
              <w:t xml:space="preserve">Kolmogorov–Smirnov</w:t>
            </w:r>
          </w:p>
        </w:tc>
        <w:tc>
          <w:tcPr/>
          <w:p>
            <w:pPr>
              <w:pStyle w:val="Compact"/>
            </w:pPr>
            <w:r>
              <w:t xml:space="preserve">0.1028</w:t>
            </w:r>
          </w:p>
        </w:tc>
        <w:tc>
          <w:tcPr/>
          <w:p>
            <w:pPr>
              <w:pStyle w:val="Compact"/>
            </w:pPr>
            <w:r>
              <w:t xml:space="preserve">≈ 7.23 × 10⁻⁴⁰</w:t>
            </w:r>
          </w:p>
        </w:tc>
      </w:tr>
      <w:tr>
        <w:tc>
          <w:tcPr/>
          <w:p>
            <w:pPr>
              <w:pStyle w:val="Compact"/>
            </w:pPr>
            <w:r>
              <w:t xml:space="preserve">Cramér–von Mises</w:t>
            </w:r>
          </w:p>
        </w:tc>
        <w:tc>
          <w:tcPr/>
          <w:p>
            <w:pPr>
              <w:pStyle w:val="Compact"/>
            </w:pPr>
            <w:r>
              <w:t xml:space="preserve">14.48</w:t>
            </w:r>
          </w:p>
        </w:tc>
        <w:tc>
          <w:tcPr/>
          <w:p>
            <w:pPr>
              <w:pStyle w:val="Compact"/>
            </w:pPr>
            <w:r>
              <w:t xml:space="preserve">≈ 1.05 × 10⁻⁹</w:t>
            </w:r>
          </w:p>
        </w:tc>
      </w:tr>
      <w:tr>
        <w:tc>
          <w:tcPr/>
          <w:p>
            <w:pPr>
              <w:pStyle w:val="Compact"/>
            </w:pPr>
            <w:r>
              <w:t xml:space="preserve">Anderson–Darling</w:t>
            </w:r>
          </w:p>
        </w:tc>
        <w:tc>
          <w:tcPr/>
          <w:p>
            <w:pPr>
              <w:pStyle w:val="Compact"/>
            </w:pPr>
            <w:r>
              <w:t xml:space="preserve">316.30</w:t>
            </w:r>
          </w:p>
        </w:tc>
        <w:tc>
          <w:tcPr/>
          <w:p>
            <w:pPr>
              <w:pStyle w:val="Compact"/>
            </w:pPr>
            <w:r>
              <w:t xml:space="preserve">&gt;&gt; critical values</w:t>
            </w:r>
          </w:p>
        </w:tc>
      </w:tr>
    </w:tbl>
    <w:p>
      <w:pPr>
        <w:pStyle w:val="BodyText"/>
      </w:pPr>
      <w:r>
        <w:t xml:space="preserve">PIT uniformity is strongly rejected despite the GREEN Anfuso result.</w:t>
      </w:r>
    </w:p>
    <w:bookmarkEnd w:id="69"/>
    <w:bookmarkStart w:id="70" w:name="independence-tests-ljungbox-on-z-φ¹u-1"/>
    <w:p>
      <w:pPr>
        <w:pStyle w:val="Heading4"/>
      </w:pPr>
      <w:r>
        <w:t xml:space="preserve">Independence Tests (Ljung–Box on z = Φ⁻¹(u))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Lag</w:t>
            </w:r>
          </w:p>
        </w:tc>
        <w:tc>
          <w:tcPr/>
          <w:p>
            <w:pPr>
              <w:pStyle w:val="Compact"/>
            </w:pPr>
            <w:r>
              <w:t xml:space="preserve">Statistic</w:t>
            </w:r>
          </w:p>
        </w:tc>
        <w:tc>
          <w:tcPr/>
          <w:p>
            <w:pPr>
              <w:pStyle w:val="Compact"/>
            </w:pPr>
            <w:r>
              <w:t xml:space="preserve">p-value</w:t>
            </w:r>
          </w:p>
        </w:tc>
      </w:tr>
      <w:tr>
        <w:tc>
          <w:tcPr/>
          <w:p>
            <w:pPr>
              <w:pStyle w:val="Compact"/>
            </w:pPr>
            <w:r>
              <w:t xml:space="preserve">5</w:t>
            </w:r>
          </w:p>
        </w:tc>
        <w:tc>
          <w:tcPr/>
          <w:p>
            <w:pPr>
              <w:pStyle w:val="Compact"/>
            </w:pPr>
            <w:r>
              <w:t xml:space="preserve">3,986</w:t>
            </w:r>
          </w:p>
        </w:tc>
        <w:tc>
          <w:tcPr/>
          <w:p>
            <w:pPr>
              <w:pStyle w:val="Compact"/>
            </w:pPr>
            <w:r>
              <w:t xml:space="preserve">≈ 0</w:t>
            </w:r>
          </w:p>
        </w:tc>
      </w:tr>
      <w:tr>
        <w:tc>
          <w:tcPr/>
          <w:p>
            <w:pPr>
              <w:pStyle w:val="Compact"/>
            </w:pPr>
            <w:r>
              <w:t xml:space="preserve">10</w:t>
            </w:r>
          </w:p>
        </w:tc>
        <w:tc>
          <w:tcPr/>
          <w:p>
            <w:pPr>
              <w:pStyle w:val="Compact"/>
            </w:pPr>
            <w:r>
              <w:t xml:space="preserve">4,741</w:t>
            </w:r>
          </w:p>
        </w:tc>
        <w:tc>
          <w:tcPr/>
          <w:p>
            <w:pPr>
              <w:pStyle w:val="Compact"/>
            </w:pPr>
            <w:r>
              <w:t xml:space="preserve">≈ 0</w:t>
            </w:r>
          </w:p>
        </w:tc>
      </w:tr>
      <w:tr>
        <w:tc>
          <w:tcPr/>
          <w:p>
            <w:pPr>
              <w:pStyle w:val="Compact"/>
            </w:pPr>
            <w:r>
              <w:t xml:space="preserve">20</w:t>
            </w:r>
          </w:p>
        </w:tc>
        <w:tc>
          <w:tcPr/>
          <w:p>
            <w:pPr>
              <w:pStyle w:val="Compact"/>
            </w:pPr>
            <w:r>
              <w:t xml:space="preserve">5,012</w:t>
            </w:r>
          </w:p>
        </w:tc>
        <w:tc>
          <w:tcPr/>
          <w:p>
            <w:pPr>
              <w:pStyle w:val="Compact"/>
            </w:pPr>
            <w:r>
              <w:t xml:space="preserve">≈ 0</w:t>
            </w:r>
          </w:p>
        </w:tc>
      </w:tr>
    </w:tbl>
    <w:p>
      <w:pPr>
        <w:pStyle w:val="BodyText"/>
      </w:pPr>
      <w:r>
        <w:t xml:space="preserve">Serial independence is overwhelmingly rejected.</w:t>
      </w:r>
    </w:p>
    <w:p>
      <w:r>
        <w:pict>
          <v:rect style="width:0;height:1.5pt" o:hralign="center" o:hrstd="t" o:hr="t"/>
        </w:pict>
      </w:r>
    </w:p>
    <w:bookmarkEnd w:id="70"/>
    <w:bookmarkEnd w:id="71"/>
    <w:bookmarkStart w:id="72" w:name="proper-scoring-1"/>
    <w:p>
      <w:pPr>
        <w:pStyle w:val="Heading3"/>
      </w:pPr>
      <w:r>
        <w:t xml:space="preserve">2.3 Proper Scoring</w:t>
      </w:r>
    </w:p>
    <w:p>
      <w:pPr>
        <w:pStyle w:val="Compact"/>
        <w:numPr>
          <w:ilvl w:val="0"/>
          <w:numId w:val="1017"/>
        </w:numPr>
      </w:pPr>
      <w:r>
        <w:t xml:space="preserve">Mean CRPS: 0.7937</w:t>
      </w:r>
    </w:p>
    <w:p>
      <w:pPr>
        <w:pStyle w:val="Compact"/>
        <w:numPr>
          <w:ilvl w:val="0"/>
          <w:numId w:val="1017"/>
        </w:numPr>
      </w:pPr>
      <w:r>
        <w:t xml:space="preserve">Empirical coverage: 91.37%</w:t>
      </w:r>
    </w:p>
    <w:p>
      <w:pPr>
        <w:pStyle w:val="Compact"/>
        <w:numPr>
          <w:ilvl w:val="0"/>
          <w:numId w:val="1017"/>
        </w:numPr>
      </w:pPr>
      <w:r>
        <w:t xml:space="preserve">Coverage error: +1.37 pp</w:t>
      </w:r>
    </w:p>
    <w:p>
      <w:pPr>
        <w:pStyle w:val="FirstParagraph"/>
      </w:pPr>
      <w:r>
        <w:t xml:space="preserve">CRPS is low relative to ENTSO-E because PV generation values are</w:t>
      </w:r>
      <w:r>
        <w:t xml:space="preserve"> </w:t>
      </w:r>
      <w:r>
        <w:t xml:space="preserve">normalised (capacity factors), not physical load units.</w:t>
      </w:r>
    </w:p>
    <w:p>
      <w:r>
        <w:pict>
          <v:rect style="width:0;height:1.5pt" o:hralign="center" o:hrstd="t" o:hr="t"/>
        </w:pict>
      </w:r>
    </w:p>
    <w:bookmarkEnd w:id="72"/>
    <w:bookmarkStart w:id="73" w:name="governance-classification-2"/>
    <w:p>
      <w:pPr>
        <w:pStyle w:val="Heading3"/>
      </w:pPr>
      <w:r>
        <w:t xml:space="preserve">2.4 Governance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Status</w:t>
            </w:r>
          </w:p>
        </w:tc>
      </w:tr>
      <w:tr>
        <w:tc>
          <w:tcPr/>
          <w:p>
            <w:pPr>
              <w:pStyle w:val="Compact"/>
            </w:pPr>
            <w:r>
              <w:t xml:space="preserve">PIT uniformity</w:t>
            </w:r>
          </w:p>
        </w:tc>
        <w:tc>
          <w:tcPr/>
          <w:p>
            <w:pPr>
              <w:pStyle w:val="Compact"/>
            </w:pPr>
            <w:r>
              <w:t xml:space="preserve">FAIL</w:t>
            </w:r>
          </w:p>
        </w:tc>
      </w:tr>
      <w:tr>
        <w:tc>
          <w:tcPr/>
          <w:p>
            <w:pPr>
              <w:pStyle w:val="Compact"/>
            </w:pPr>
            <w:r>
              <w:t xml:space="preserve">PIT independence</w:t>
            </w:r>
          </w:p>
        </w:tc>
        <w:tc>
          <w:tcPr/>
          <w:p>
            <w:pPr>
              <w:pStyle w:val="Compact"/>
            </w:pPr>
            <w:r>
              <w:t xml:space="preserve">FAIL</w:t>
            </w:r>
          </w:p>
        </w:tc>
      </w:tr>
      <w:tr>
        <w:tc>
          <w:tcPr/>
          <w:p>
            <w:pPr>
              <w:pStyle w:val="Compact"/>
            </w:pPr>
            <w:r>
              <w:t xml:space="preserve">Interval coverage</w:t>
            </w:r>
          </w:p>
        </w:tc>
        <w:tc>
          <w:tcPr/>
          <w:p>
            <w:pPr>
              <w:pStyle w:val="Compact"/>
            </w:pPr>
            <w:r>
              <w:t xml:space="preserve">+1.37 pp (conservative)</w:t>
            </w:r>
          </w:p>
        </w:tc>
      </w:tr>
      <w:tr>
        <w:tc>
          <w:tcPr/>
          <w:p>
            <w:pPr>
              <w:pStyle w:val="Compact"/>
            </w:pPr>
            <w:r>
              <w:t xml:space="preserve">Anfuso interval test</w:t>
            </w:r>
          </w:p>
        </w:tc>
        <w:tc>
          <w:tcPr/>
          <w:p>
            <w:pPr>
              <w:pStyle w:val="Compact"/>
            </w:pPr>
            <w:r>
              <w:t xml:space="preserve">GREEN</w:t>
            </w:r>
          </w:p>
        </w:tc>
      </w:tr>
      <w:tr>
        <w:tc>
          <w:tcPr/>
          <w:p>
            <w:pPr>
              <w:pStyle w:val="Compact"/>
            </w:pPr>
            <w:r>
              <w:t xml:space="preserve">Overall classification</w:t>
            </w:r>
          </w:p>
        </w:tc>
        <w:tc>
          <w:tcPr/>
          <w:p>
            <w:pPr>
              <w:pStyle w:val="Compact"/>
            </w:pPr>
            <w:r>
              <w:rPr>
                <w:b/>
                <w:bCs/>
              </w:rPr>
              <w:t xml:space="preserve">RED</w:t>
            </w:r>
          </w:p>
        </w:tc>
      </w:tr>
    </w:tbl>
    <w:p>
      <w:pPr>
        <w:pStyle w:val="BodyText"/>
      </w:pPr>
      <w:r>
        <w:rPr>
          <w:b/>
          <w:bCs/>
        </w:rPr>
        <w:t xml:space="preserve">Key finding.</w:t>
      </w:r>
      <w:r>
        <w:t xml:space="preserve"> </w:t>
      </w:r>
      <w:r>
        <w:t xml:space="preserve">PV passes interval backtesting (GREEN Anfuso) but fails</w:t>
      </w:r>
      <w:r>
        <w:t xml:space="preserve"> </w:t>
      </w:r>
      <w:r>
        <w:t xml:space="preserve">distributional diagnostics. This divergence is precisely the argument for</w:t>
      </w:r>
      <w:r>
        <w:t xml:space="preserve"> </w:t>
      </w:r>
      <w:r>
        <w:t xml:space="preserve">multi-layer validation: naive coverage metrics alone would classify PV as</w:t>
      </w:r>
      <w:r>
        <w:t xml:space="preserve"> </w:t>
      </w:r>
      <w:r>
        <w:t xml:space="preserve">acceptable, while PIT-based diagnostics reveal systematic structural</w:t>
      </w:r>
      <w:r>
        <w:t xml:space="preserve"> </w:t>
      </w:r>
      <w:r>
        <w:t xml:space="preserve">deficiencies in the shape of the predictive distribution.</w:t>
      </w:r>
    </w:p>
    <w:p>
      <w:r>
        <w:pict>
          <v:rect style="width:0;height:1.5pt" o:hralign="center" o:hrstd="t" o:hr="t"/>
        </w:pict>
      </w:r>
    </w:p>
    <w:bookmarkEnd w:id="73"/>
    <w:bookmarkStart w:id="74" w:name="rolling-evaluation-2"/>
    <w:p>
      <w:pPr>
        <w:pStyle w:val="Heading3"/>
      </w:pPr>
      <w:r>
        <w:t xml:space="preserve">2.5 Rolling Evaluation</w:t>
      </w:r>
    </w:p>
    <w:p>
      <w:pPr>
        <w:pStyle w:val="FirstParagraph"/>
      </w:pPr>
      <w:r>
        <w:t xml:space="preserve">Rolling diagnostics (window = 720, step = 168) confirm that PIT</w:t>
      </w:r>
      <w:r>
        <w:t xml:space="preserve"> </w:t>
      </w:r>
      <w:r>
        <w:t xml:space="preserve">uniformity and independence violations are not localised to specific</w:t>
      </w:r>
      <w:r>
        <w:t xml:space="preserve"> </w:t>
      </w:r>
      <w:r>
        <w:t xml:space="preserve">subperiods. The GREEN Anfuso result is also stable across rolling windows,</w:t>
      </w:r>
      <w:r>
        <w:t xml:space="preserve"> </w:t>
      </w:r>
      <w:r>
        <w:t xml:space="preserve">reinforcing the interpretation that interval width is approximately</w:t>
      </w:r>
      <w:r>
        <w:t xml:space="preserve"> </w:t>
      </w:r>
      <w:r>
        <w:t xml:space="preserve">correct on average but the distributional shape is systematically</w:t>
      </w:r>
      <w:r>
        <w:t xml:space="preserve"> </w:t>
      </w:r>
      <w:r>
        <w:t xml:space="preserve">misspecified.</w:t>
      </w:r>
    </w:p>
    <w:p>
      <w:r>
        <w:pict>
          <v:rect style="width:0;height:1.5pt" o:hralign="center" o:hrstd="t" o:hr="t"/>
        </w:pict>
      </w:r>
    </w:p>
    <w:bookmarkEnd w:id="74"/>
    <w:bookmarkEnd w:id="75"/>
    <w:bookmarkStart w:id="83" w:name="long-term-wind-generation-run_003"/>
    <w:p>
      <w:pPr>
        <w:pStyle w:val="Heading2"/>
      </w:pPr>
      <w:r>
        <w:t xml:space="preserve">3. Long-Term Wind Generation (run_003)</w:t>
      </w:r>
    </w:p>
    <w:p>
      <w:pPr>
        <w:pStyle w:val="FirstParagraph"/>
      </w:pPr>
      <w:r>
        <w:rPr>
          <w:b/>
          <w:bCs/>
        </w:rPr>
        <w:t xml:space="preserve">Dataset:</w:t>
      </w:r>
      <w:r>
        <w:t xml:space="preserve"> </w:t>
      </w:r>
      <w:r>
        <w:t xml:space="preserve">wind_student.csv, hourly, 2013–2015.</w:t>
      </w:r>
      <w:r>
        <w:t xml:space="preserve"> </w:t>
      </w:r>
      <w:r>
        <w:rPr>
          <w:b/>
          <w:bCs/>
        </w:rPr>
        <w:t xml:space="preserve">Evaluable observations:</w:t>
      </w:r>
      <w:r>
        <w:t xml:space="preserve"> </w:t>
      </w:r>
      <w:r>
        <w:t xml:space="preserve">n = 9,000 (no nighttime exclusion; 17,280</w:t>
      </w:r>
      <w:r>
        <w:t xml:space="preserve"> </w:t>
      </w:r>
      <w:r>
        <w:t xml:space="preserve">warmup rows consumed by rolling window).</w:t>
      </w:r>
      <w:r>
        <w:t xml:space="preserve"> </w:t>
      </w:r>
      <w:r>
        <w:rPr>
          <w:b/>
          <w:bCs/>
        </w:rPr>
        <w:t xml:space="preserve">Nominal level:</w:t>
      </w:r>
      <w:r>
        <w:t xml:space="preserve"> </w:t>
      </w:r>
      <w:r>
        <w:t xml:space="preserve">α = 0.1 (90% central interval).</w:t>
      </w:r>
      <w:r>
        <w:t xml:space="preserve"> </w:t>
      </w:r>
      <w:r>
        <w:rPr>
          <w:b/>
          <w:bCs/>
        </w:rPr>
        <w:t xml:space="preserve">Base interval construction:</w:t>
      </w:r>
      <w:r>
        <w:t xml:space="preserve"> </w:t>
      </w:r>
      <w:r>
        <w:t xml:space="preserve">Same rolling 24-bucket hour-of-day</w:t>
      </w:r>
      <w:r>
        <w:t xml:space="preserve"> </w:t>
      </w:r>
      <w:r>
        <w:t xml:space="preserve">conditioning as PV, W = 720.</w:t>
      </w:r>
    </w:p>
    <w:p>
      <w:r>
        <w:pict>
          <v:rect style="width:0;height:1.5pt" o:hralign="center" o:hrstd="t" o:hr="t"/>
        </w:pict>
      </w:r>
    </w:p>
    <w:bookmarkStart w:id="76" w:name="X5f80f8c2fddfd7c7f7fcb247328220657a269dd"/>
    <w:p>
      <w:pPr>
        <w:pStyle w:val="Heading3"/>
      </w:pPr>
      <w:r>
        <w:t xml:space="preserve">3.1 Interval Backtesting (Anfuso Traffic-Light Framework)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Breach Rate</w:t>
            </w:r>
          </w:p>
        </w:tc>
        <w:tc>
          <w:tcPr/>
          <w:p>
            <w:pPr>
              <w:pStyle w:val="Compact"/>
            </w:pPr>
            <w:r>
              <w:t xml:space="preserve">p-value (exceedance)</w:t>
            </w:r>
          </w:p>
        </w:tc>
        <w:tc>
          <w:tcPr/>
          <w:p>
            <w:pPr>
              <w:pStyle w:val="Compact"/>
            </w:pPr>
            <w:r>
              <w:t xml:space="preserve">Traffic Light</w:t>
            </w:r>
          </w:p>
        </w:tc>
      </w:tr>
      <w:tr>
        <w:tc>
          <w:tcPr/>
          <w:p>
            <w:pPr>
              <w:pStyle w:val="Compact"/>
            </w:pPr>
            <w:r>
              <w:t xml:space="preserve">Lower tail</w:t>
            </w:r>
          </w:p>
        </w:tc>
        <w:tc>
          <w:tcPr/>
          <w:p>
            <w:pPr>
              <w:pStyle w:val="Compact"/>
            </w:pPr>
            <w:r>
              <w:t xml:space="preserve">6.44%</w:t>
            </w:r>
          </w:p>
        </w:tc>
        <w:tc>
          <w:tcPr/>
          <w:p>
            <w:pPr>
              <w:pStyle w:val="Compact"/>
            </w:pPr>
            <w:r>
              <w:t xml:space="preserve">≈ 8.97 × 10⁻¹⁰</w:t>
            </w:r>
          </w:p>
        </w:tc>
        <w:tc>
          <w:tcPr/>
          <w:p>
            <w:pPr>
              <w:pStyle w:val="Compact"/>
            </w:pPr>
            <w:r>
              <w:t xml:space="preserve">RED</w:t>
            </w:r>
          </w:p>
        </w:tc>
      </w:tr>
      <w:tr>
        <w:tc>
          <w:tcPr/>
          <w:p>
            <w:pPr>
              <w:pStyle w:val="Compact"/>
            </w:pPr>
            <w:r>
              <w:t xml:space="preserve">Upper tail</w:t>
            </w:r>
          </w:p>
        </w:tc>
        <w:tc>
          <w:tcPr/>
          <w:p>
            <w:pPr>
              <w:pStyle w:val="Compact"/>
            </w:pPr>
            <w:r>
              <w:t xml:space="preserve">4.93%</w:t>
            </w:r>
          </w:p>
        </w:tc>
        <w:tc>
          <w:tcPr/>
          <w:p>
            <w:pPr>
              <w:pStyle w:val="Compact"/>
            </w:pPr>
            <w:r>
              <w:t xml:space="preserve">0.6209</w:t>
            </w:r>
          </w:p>
        </w:tc>
        <w:tc>
          <w:tcPr/>
          <w:p>
            <w:pPr>
              <w:pStyle w:val="Compact"/>
            </w:pPr>
            <w:r>
              <w:t xml:space="preserve">GREEN</w:t>
            </w:r>
          </w:p>
        </w:tc>
      </w:tr>
      <w:tr>
        <w:tc>
          <w:tcPr/>
          <w:p>
            <w:pPr>
              <w:pStyle w:val="Compact"/>
            </w:pPr>
            <w:r>
              <w:t xml:space="preserve">Total</w:t>
            </w:r>
          </w:p>
        </w:tc>
        <w:tc>
          <w:tcPr/>
          <w:p>
            <w:pPr>
              <w:pStyle w:val="Compact"/>
            </w:pPr>
            <w:r>
              <w:t xml:space="preserve">11.38%</w:t>
            </w:r>
          </w:p>
        </w:tc>
        <w:tc>
          <w:tcPr/>
          <w:p>
            <w:pPr>
              <w:pStyle w:val="Compact"/>
            </w:pPr>
            <w:r>
              <w:t xml:space="preserve">≈ 1.02 × 10⁻⁵</w:t>
            </w:r>
          </w:p>
        </w:tc>
        <w:tc>
          <w:tcPr/>
          <w:p>
            <w:pPr>
              <w:pStyle w:val="Compact"/>
            </w:pPr>
            <w:r>
              <w:t xml:space="preserve">RED</w:t>
            </w:r>
          </w:p>
        </w:tc>
      </w:tr>
    </w:tbl>
    <w:p>
      <w:pPr>
        <w:pStyle w:val="BodyText"/>
      </w:pPr>
      <w:r>
        <w:t xml:space="preserve">Asymmetric tail failure: the lower tail breaches significantly above its</w:t>
      </w:r>
      <w:r>
        <w:t xml:space="preserve"> </w:t>
      </w:r>
      <w:r>
        <w:t xml:space="preserve">5% nominal rate while the upper tail is within tolerance. This is</w:t>
      </w:r>
      <w:r>
        <w:t xml:space="preserve"> </w:t>
      </w:r>
      <w:r>
        <w:t xml:space="preserve">physically interpretable — wind generation is bounded below by zero, and</w:t>
      </w:r>
      <w:r>
        <w:t xml:space="preserve"> </w:t>
      </w:r>
      <w:r>
        <w:t xml:space="preserve">the model underestimates low-generation risk more than high-generation</w:t>
      </w:r>
      <w:r>
        <w:t xml:space="preserve"> </w:t>
      </w:r>
      <w:r>
        <w:t xml:space="preserve">risk. The lower tail asymmetry mirrors the structure observed in the</w:t>
      </w:r>
      <w:r>
        <w:t xml:space="preserve"> </w:t>
      </w:r>
      <w:r>
        <w:t xml:space="preserve">original (uncorrected) ENTSO-E run before the lo/hi fix, but here it is</w:t>
      </w:r>
      <w:r>
        <w:t xml:space="preserve"> </w:t>
      </w:r>
      <w:r>
        <w:t xml:space="preserve">a genuine feature of the data rather than a reconstruction artefact.</w:t>
      </w:r>
    </w:p>
    <w:p>
      <w:r>
        <w:pict>
          <v:rect style="width:0;height:1.5pt" o:hralign="center" o:hrstd="t" o:hr="t"/>
        </w:pict>
      </w:r>
    </w:p>
    <w:bookmarkEnd w:id="76"/>
    <w:bookmarkStart w:id="79" w:name="distributional-diagnostics-pit-based-2"/>
    <w:p>
      <w:pPr>
        <w:pStyle w:val="Heading3"/>
      </w:pPr>
      <w:r>
        <w:t xml:space="preserve">3.2 Distributional Diagnostics (PIT-Based)</w:t>
      </w:r>
    </w:p>
    <w:bookmarkStart w:id="77" w:name="uniformity-tests-2"/>
    <w:p>
      <w:pPr>
        <w:pStyle w:val="Heading4"/>
      </w:pPr>
      <w:r>
        <w:t xml:space="preserve">Uniformity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Statistic</w:t>
            </w:r>
          </w:p>
        </w:tc>
        <w:tc>
          <w:tcPr/>
          <w:p>
            <w:pPr>
              <w:pStyle w:val="Compact"/>
            </w:pPr>
            <w:r>
              <w:t xml:space="preserve">p-value</w:t>
            </w:r>
          </w:p>
        </w:tc>
      </w:tr>
      <w:tr>
        <w:tc>
          <w:tcPr/>
          <w:p>
            <w:pPr>
              <w:pStyle w:val="Compact"/>
            </w:pPr>
            <w:r>
              <w:t xml:space="preserve">Kolmogorov–Smirnov</w:t>
            </w:r>
          </w:p>
        </w:tc>
        <w:tc>
          <w:tcPr/>
          <w:p>
            <w:pPr>
              <w:pStyle w:val="Compact"/>
            </w:pPr>
            <w:r>
              <w:t xml:space="preserve">0.1057</w:t>
            </w:r>
          </w:p>
        </w:tc>
        <w:tc>
          <w:tcPr/>
          <w:p>
            <w:pPr>
              <w:pStyle w:val="Compact"/>
            </w:pPr>
            <w:r>
              <w:t xml:space="preserve">≈ 5.90 × 10⁻⁸⁸</w:t>
            </w:r>
          </w:p>
        </w:tc>
      </w:tr>
      <w:tr>
        <w:tc>
          <w:tcPr/>
          <w:p>
            <w:pPr>
              <w:pStyle w:val="Compact"/>
            </w:pPr>
            <w:r>
              <w:t xml:space="preserve">Cramér–von Mises</w:t>
            </w:r>
          </w:p>
        </w:tc>
        <w:tc>
          <w:tcPr/>
          <w:p>
            <w:pPr>
              <w:pStyle w:val="Compact"/>
            </w:pPr>
            <w:r>
              <w:t xml:space="preserve">21.28</w:t>
            </w:r>
          </w:p>
        </w:tc>
        <w:tc>
          <w:tcPr/>
          <w:p>
            <w:pPr>
              <w:pStyle w:val="Compact"/>
            </w:pPr>
            <w:r>
              <w:t xml:space="preserve">≈ 2.47 × 10⁻⁹</w:t>
            </w:r>
          </w:p>
        </w:tc>
      </w:tr>
      <w:tr>
        <w:tc>
          <w:tcPr/>
          <w:p>
            <w:pPr>
              <w:pStyle w:val="Compact"/>
            </w:pPr>
            <w:r>
              <w:t xml:space="preserve">Anderson–Darling</w:t>
            </w:r>
          </w:p>
        </w:tc>
        <w:tc>
          <w:tcPr/>
          <w:p>
            <w:pPr>
              <w:pStyle w:val="Compact"/>
            </w:pPr>
            <w:r>
              <w:t xml:space="preserve">519.20</w:t>
            </w:r>
          </w:p>
        </w:tc>
        <w:tc>
          <w:tcPr/>
          <w:p>
            <w:pPr>
              <w:pStyle w:val="Compact"/>
            </w:pPr>
            <w:r>
              <w:t xml:space="preserve">&gt;&gt; critical values</w:t>
            </w:r>
          </w:p>
        </w:tc>
      </w:tr>
    </w:tbl>
    <w:p>
      <w:pPr>
        <w:pStyle w:val="BodyText"/>
      </w:pPr>
      <w:r>
        <w:t xml:space="preserve">PIT uniformity strongly rejected.</w:t>
      </w:r>
    </w:p>
    <w:bookmarkEnd w:id="77"/>
    <w:bookmarkStart w:id="78" w:name="independence-tests-ljungbox-on-z-φ¹u-2"/>
    <w:p>
      <w:pPr>
        <w:pStyle w:val="Heading4"/>
      </w:pPr>
      <w:r>
        <w:t xml:space="preserve">Independence Tests (Ljung–Box on z = Φ⁻¹(u))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Lag</w:t>
            </w:r>
          </w:p>
        </w:tc>
        <w:tc>
          <w:tcPr/>
          <w:p>
            <w:pPr>
              <w:pStyle w:val="Compact"/>
            </w:pPr>
            <w:r>
              <w:t xml:space="preserve">Statistic</w:t>
            </w:r>
          </w:p>
        </w:tc>
        <w:tc>
          <w:tcPr/>
          <w:p>
            <w:pPr>
              <w:pStyle w:val="Compact"/>
            </w:pPr>
            <w:r>
              <w:t xml:space="preserve">p-value</w:t>
            </w:r>
          </w:p>
        </w:tc>
      </w:tr>
      <w:tr>
        <w:tc>
          <w:tcPr/>
          <w:p>
            <w:pPr>
              <w:pStyle w:val="Compact"/>
            </w:pPr>
            <w:r>
              <w:t xml:space="preserve">5</w:t>
            </w:r>
          </w:p>
        </w:tc>
        <w:tc>
          <w:tcPr/>
          <w:p>
            <w:pPr>
              <w:pStyle w:val="Compact"/>
            </w:pPr>
            <w:r>
              <w:t xml:space="preserve">25,553</w:t>
            </w:r>
          </w:p>
        </w:tc>
        <w:tc>
          <w:tcPr/>
          <w:p>
            <w:pPr>
              <w:pStyle w:val="Compact"/>
            </w:pPr>
            <w:r>
              <w:t xml:space="preserve">≈ 0</w:t>
            </w:r>
          </w:p>
        </w:tc>
      </w:tr>
      <w:tr>
        <w:tc>
          <w:tcPr/>
          <w:p>
            <w:pPr>
              <w:pStyle w:val="Compact"/>
            </w:pPr>
            <w:r>
              <w:t xml:space="preserve">10</w:t>
            </w:r>
          </w:p>
        </w:tc>
        <w:tc>
          <w:tcPr/>
          <w:p>
            <w:pPr>
              <w:pStyle w:val="Compact"/>
            </w:pPr>
            <w:r>
              <w:t xml:space="preserve">40,250</w:t>
            </w:r>
          </w:p>
        </w:tc>
        <w:tc>
          <w:tcPr/>
          <w:p>
            <w:pPr>
              <w:pStyle w:val="Compact"/>
            </w:pPr>
            <w:r>
              <w:t xml:space="preserve">≈ 0</w:t>
            </w:r>
          </w:p>
        </w:tc>
      </w:tr>
      <w:tr>
        <w:tc>
          <w:tcPr/>
          <w:p>
            <w:pPr>
              <w:pStyle w:val="Compact"/>
            </w:pPr>
            <w:r>
              <w:t xml:space="preserve">20</w:t>
            </w:r>
          </w:p>
        </w:tc>
        <w:tc>
          <w:tcPr/>
          <w:p>
            <w:pPr>
              <w:pStyle w:val="Compact"/>
            </w:pPr>
            <w:r>
              <w:t xml:space="preserve">56,247</w:t>
            </w:r>
          </w:p>
        </w:tc>
        <w:tc>
          <w:tcPr/>
          <w:p>
            <w:pPr>
              <w:pStyle w:val="Compact"/>
            </w:pPr>
            <w:r>
              <w:t xml:space="preserve">≈ 0</w:t>
            </w:r>
          </w:p>
        </w:tc>
      </w:tr>
    </w:tbl>
    <w:p>
      <w:pPr>
        <w:pStyle w:val="BodyText"/>
      </w:pPr>
      <w:r>
        <w:t xml:space="preserve">Serial independence overwhelmingly rejected.</w:t>
      </w:r>
    </w:p>
    <w:p>
      <w:r>
        <w:pict>
          <v:rect style="width:0;height:1.5pt" o:hralign="center" o:hrstd="t" o:hr="t"/>
        </w:pict>
      </w:r>
    </w:p>
    <w:bookmarkEnd w:id="78"/>
    <w:bookmarkEnd w:id="79"/>
    <w:bookmarkStart w:id="80" w:name="proper-scoring-2"/>
    <w:p>
      <w:pPr>
        <w:pStyle w:val="Heading3"/>
      </w:pPr>
      <w:r>
        <w:t xml:space="preserve">3.3 Proper Scoring</w:t>
      </w:r>
    </w:p>
    <w:p>
      <w:pPr>
        <w:pStyle w:val="Compact"/>
        <w:numPr>
          <w:ilvl w:val="0"/>
          <w:numId w:val="1018"/>
        </w:numPr>
      </w:pPr>
      <w:r>
        <w:t xml:space="preserve">Mean CRPS: 1.7893</w:t>
      </w:r>
    </w:p>
    <w:p>
      <w:pPr>
        <w:pStyle w:val="Compact"/>
        <w:numPr>
          <w:ilvl w:val="0"/>
          <w:numId w:val="1018"/>
        </w:numPr>
      </w:pPr>
      <w:r>
        <w:t xml:space="preserve">Empirical coverage: 88.62%</w:t>
      </w:r>
    </w:p>
    <w:p>
      <w:pPr>
        <w:pStyle w:val="Compact"/>
        <w:numPr>
          <w:ilvl w:val="0"/>
          <w:numId w:val="1018"/>
        </w:numPr>
      </w:pPr>
      <w:r>
        <w:t xml:space="preserve">Coverage error: −1.38 pp</w:t>
      </w:r>
    </w:p>
    <w:p>
      <w:r>
        <w:pict>
          <v:rect style="width:0;height:1.5pt" o:hralign="center" o:hrstd="t" o:hr="t"/>
        </w:pict>
      </w:r>
    </w:p>
    <w:bookmarkEnd w:id="80"/>
    <w:bookmarkStart w:id="81" w:name="governance-classification-3"/>
    <w:p>
      <w:pPr>
        <w:pStyle w:val="Heading3"/>
      </w:pPr>
      <w:r>
        <w:t xml:space="preserve">3.4 Governance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Status</w:t>
            </w:r>
          </w:p>
        </w:tc>
      </w:tr>
      <w:tr>
        <w:tc>
          <w:tcPr/>
          <w:p>
            <w:pPr>
              <w:pStyle w:val="Compact"/>
            </w:pPr>
            <w:r>
              <w:t xml:space="preserve">PIT uniformity</w:t>
            </w:r>
          </w:p>
        </w:tc>
        <w:tc>
          <w:tcPr/>
          <w:p>
            <w:pPr>
              <w:pStyle w:val="Compact"/>
            </w:pPr>
            <w:r>
              <w:t xml:space="preserve">FAIL</w:t>
            </w:r>
          </w:p>
        </w:tc>
      </w:tr>
      <w:tr>
        <w:tc>
          <w:tcPr/>
          <w:p>
            <w:pPr>
              <w:pStyle w:val="Compact"/>
            </w:pPr>
            <w:r>
              <w:t xml:space="preserve">PIT independence</w:t>
            </w:r>
          </w:p>
        </w:tc>
        <w:tc>
          <w:tcPr/>
          <w:p>
            <w:pPr>
              <w:pStyle w:val="Compact"/>
            </w:pPr>
            <w:r>
              <w:t xml:space="preserve">FAIL</w:t>
            </w:r>
          </w:p>
        </w:tc>
      </w:tr>
      <w:tr>
        <w:tc>
          <w:tcPr/>
          <w:p>
            <w:pPr>
              <w:pStyle w:val="Compact"/>
            </w:pPr>
            <w:r>
              <w:t xml:space="preserve">Interval coverage</w:t>
            </w:r>
          </w:p>
        </w:tc>
        <w:tc>
          <w:tcPr/>
          <w:p>
            <w:pPr>
              <w:pStyle w:val="Compact"/>
            </w:pPr>
            <w:r>
              <w:t xml:space="preserve">−1.38 pp (under)</w:t>
            </w:r>
          </w:p>
        </w:tc>
      </w:tr>
      <w:tr>
        <w:tc>
          <w:tcPr/>
          <w:p>
            <w:pPr>
              <w:pStyle w:val="Compact"/>
            </w:pPr>
            <w:r>
              <w:t xml:space="preserve">Lower tail</w:t>
            </w:r>
          </w:p>
        </w:tc>
        <w:tc>
          <w:tcPr/>
          <w:p>
            <w:pPr>
              <w:pStyle w:val="Compact"/>
            </w:pPr>
            <w:r>
              <w:t xml:space="preserve">RED</w:t>
            </w:r>
          </w:p>
        </w:tc>
      </w:tr>
      <w:tr>
        <w:tc>
          <w:tcPr/>
          <w:p>
            <w:pPr>
              <w:pStyle w:val="Compact"/>
            </w:pPr>
            <w:r>
              <w:t xml:space="preserve">Upper tail</w:t>
            </w:r>
          </w:p>
        </w:tc>
        <w:tc>
          <w:tcPr/>
          <w:p>
            <w:pPr>
              <w:pStyle w:val="Compact"/>
            </w:pPr>
            <w:r>
              <w:t xml:space="preserve">GREEN</w:t>
            </w:r>
          </w:p>
        </w:tc>
      </w:tr>
      <w:tr>
        <w:tc>
          <w:tcPr/>
          <w:p>
            <w:pPr>
              <w:pStyle w:val="Compact"/>
            </w:pPr>
            <w:r>
              <w:t xml:space="preserve">Overall classification</w:t>
            </w:r>
          </w:p>
        </w:tc>
        <w:tc>
          <w:tcPr/>
          <w:p>
            <w:pPr>
              <w:pStyle w:val="Compact"/>
            </w:pPr>
            <w:r>
              <w:rPr>
                <w:b/>
                <w:bCs/>
              </w:rPr>
              <w:t xml:space="preserve">RED</w:t>
            </w:r>
          </w:p>
        </w:tc>
      </w:tr>
    </w:tbl>
    <w:p>
      <w:r>
        <w:pict>
          <v:rect style="width:0;height:1.5pt" o:hralign="center" o:hrstd="t" o:hr="t"/>
        </w:pict>
      </w:r>
    </w:p>
    <w:bookmarkEnd w:id="81"/>
    <w:bookmarkStart w:id="82" w:name="rolling-evaluation-3"/>
    <w:p>
      <w:pPr>
        <w:pStyle w:val="Heading3"/>
      </w:pPr>
      <w:r>
        <w:t xml:space="preserve">3.5 Rolling Evaluation</w:t>
      </w:r>
    </w:p>
    <w:p>
      <w:pPr>
        <w:pStyle w:val="FirstParagraph"/>
      </w:pPr>
      <w:r>
        <w:t xml:space="preserve">Rolling diagnostics confirm that the lower-tail excess breach is persistent</w:t>
      </w:r>
      <w:r>
        <w:t xml:space="preserve"> </w:t>
      </w:r>
      <w:r>
        <w:t xml:space="preserve">across subperiods rather than concentrated in any specific weather regime.</w:t>
      </w:r>
      <w:r>
        <w:t xml:space="preserve"> </w:t>
      </w:r>
      <w:r>
        <w:t xml:space="preserve">PIT independence violations are similarly stable, consistent with a</w:t>
      </w:r>
      <w:r>
        <w:t xml:space="preserve"> </w:t>
      </w:r>
      <w:r>
        <w:t xml:space="preserve">structural misspecification in the wind speed forecast or power curve</w:t>
      </w:r>
      <w:r>
        <w:t xml:space="preserve"> </w:t>
      </w:r>
      <w:r>
        <w:t xml:space="preserve">assumption rather than a localised regime failure.</w:t>
      </w:r>
    </w:p>
    <w:p>
      <w:r>
        <w:pict>
          <v:rect style="width:0;height:1.5pt" o:hralign="center" o:hrstd="t" o:hr="t"/>
        </w:pict>
      </w:r>
    </w:p>
    <w:bookmarkEnd w:id="82"/>
    <w:bookmarkEnd w:id="83"/>
    <w:bookmarkStart w:id="86" w:name="synthetic-simulation-model-run_004"/>
    <w:p>
      <w:pPr>
        <w:pStyle w:val="Heading2"/>
      </w:pPr>
      <w:r>
        <w:t xml:space="preserve">4. Synthetic Simulation Model (run_004)</w:t>
      </w:r>
    </w:p>
    <w:p>
      <w:pPr>
        <w:pStyle w:val="FirstParagraph"/>
      </w:pPr>
      <w:r>
        <w:rPr>
          <w:b/>
          <w:bCs/>
        </w:rPr>
        <w:t xml:space="preserve">Dataset:</w:t>
      </w:r>
      <w:r>
        <w:t xml:space="preserve"> </w:t>
      </w:r>
      <w:r>
        <w:t xml:space="preserve">Synthetic price and temperature series generated from a known</w:t>
      </w:r>
      <w:r>
        <w:t xml:space="preserve"> </w:t>
      </w:r>
      <w:r>
        <w:t xml:space="preserve">joint Gaussian DGP (correlated, ρ = 0.5) with intraday and seasonal</w:t>
      </w:r>
      <w:r>
        <w:t xml:space="preserve"> </w:t>
      </w:r>
      <w:r>
        <w:t xml:space="preserve">seasonality. y_hat computed as empirical quantiles of 5,000 simulation</w:t>
      </w:r>
      <w:r>
        <w:t xml:space="preserve"> </w:t>
      </w:r>
      <w:r>
        <w:t xml:space="preserve">paths. This constitutes a</w:t>
      </w:r>
      <w:r>
        <w:t xml:space="preserve"> </w:t>
      </w:r>
      <w:r>
        <w:rPr>
          <w:b/>
          <w:bCs/>
        </w:rPr>
        <w:t xml:space="preserve">positive control</w:t>
      </w:r>
      <w:r>
        <w:t xml:space="preserve">: the model is correctly</w:t>
      </w:r>
      <w:r>
        <w:t xml:space="preserve"> </w:t>
      </w:r>
      <w:r>
        <w:t xml:space="preserve">specified by construction, so the framework should return GREEN.</w:t>
      </w:r>
      <w:r>
        <w:t xml:space="preserve"> </w:t>
      </w:r>
      <w:r>
        <w:rPr>
          <w:b/>
          <w:bCs/>
        </w:rPr>
        <w:t xml:space="preserve">Evaluable observations:</w:t>
      </w:r>
      <w:r>
        <w:t xml:space="preserve"> </w:t>
      </w:r>
      <w:r>
        <w:t xml:space="preserve">n = 365 (one per as-of date).</w:t>
      </w:r>
      <w:r>
        <w:t xml:space="preserve"> </w:t>
      </w:r>
      <w:r>
        <w:rPr>
          <w:b/>
          <w:bCs/>
        </w:rPr>
        <w:t xml:space="preserve">Nominal level:</w:t>
      </w:r>
      <w:r>
        <w:t xml:space="preserve"> </w:t>
      </w:r>
      <w:r>
        <w:t xml:space="preserve">α = 0.1.</w:t>
      </w:r>
    </w:p>
    <w:p>
      <w:r>
        <w:pict>
          <v:rect style="width:0;height:1.5pt" o:hralign="center" o:hrstd="t" o:hr="t"/>
        </w:pict>
      </w:r>
    </w:p>
    <w:bookmarkStart w:id="84" w:name="X28607f05059b4f85acc69e42dac55d830cca15e"/>
    <w:p>
      <w:pPr>
        <w:pStyle w:val="Heading3"/>
      </w:pPr>
      <w:r>
        <w:t xml:space="preserve">4.1 Interval Backtesting (Anfuso Traffic-Light Framework)</w:t>
      </w:r>
    </w:p>
    <w:tbl>
      <w:tblPr>
        <w:tblStyle w:val="Table"/>
        <w:tblW w:type="pct" w:w="5000"/>
        <w:tblLayout w:type="fixed"/>
        <w:tblLook w:firstRow="1" w:lastRow="0" w:firstColumn="0" w:lastColumn="0" w:noHBand="0" w:noVBand="0" w:val="0020"/>
      </w:tblPr>
      <w:tblGrid>
        <w:gridCol w:w="822"/>
        <w:gridCol w:w="1337"/>
        <w:gridCol w:w="1337"/>
        <w:gridCol w:w="1337"/>
        <w:gridCol w:w="1028"/>
        <w:gridCol w:w="1028"/>
        <w:gridCol w:w="1028"/>
      </w:tblGrid>
      <w:tr>
        <w:trPr>
          <w:tblHeader w:val="on"/>
        </w:trPr>
        <w:tc>
          <w:tcPr/>
          <w:p>
            <w:pPr>
              <w:pStyle w:val="Compact"/>
            </w:pPr>
            <w:r>
              <w:t xml:space="preserve">Series</w:t>
            </w:r>
          </w:p>
        </w:tc>
        <w:tc>
          <w:tcPr/>
          <w:p>
            <w:pPr>
              <w:pStyle w:val="Compact"/>
            </w:pPr>
            <w:r>
              <w:t xml:space="preserve">Lower Breach</w:t>
            </w:r>
          </w:p>
        </w:tc>
        <w:tc>
          <w:tcPr/>
          <w:p>
            <w:pPr>
              <w:pStyle w:val="Compact"/>
            </w:pPr>
            <w:r>
              <w:t xml:space="preserve">Upper Breach</w:t>
            </w:r>
          </w:p>
        </w:tc>
        <w:tc>
          <w:tcPr/>
          <w:p>
            <w:pPr>
              <w:pStyle w:val="Compact"/>
            </w:pPr>
            <w:r>
              <w:t xml:space="preserve">Total Breach</w:t>
            </w:r>
          </w:p>
        </w:tc>
        <w:tc>
          <w:tcPr/>
          <w:p>
            <w:pPr>
              <w:pStyle w:val="Compact"/>
            </w:pPr>
            <w:r>
              <w:t xml:space="preserve">Lower TL</w:t>
            </w:r>
          </w:p>
        </w:tc>
        <w:tc>
          <w:tcPr/>
          <w:p>
            <w:pPr>
              <w:pStyle w:val="Compact"/>
            </w:pPr>
            <w:r>
              <w:t xml:space="preserve">Upper TL</w:t>
            </w:r>
          </w:p>
        </w:tc>
        <w:tc>
          <w:tcPr/>
          <w:p>
            <w:pPr>
              <w:pStyle w:val="Compact"/>
            </w:pPr>
            <w:r>
              <w:t xml:space="preserve">Total TL</w:t>
            </w:r>
          </w:p>
        </w:tc>
      </w:tr>
      <w:tr>
        <w:tc>
          <w:tcPr/>
          <w:p>
            <w:pPr>
              <w:pStyle w:val="Compact"/>
            </w:pPr>
            <w:r>
              <w:t xml:space="preserve">Price</w:t>
            </w:r>
          </w:p>
        </w:tc>
        <w:tc>
          <w:tcPr/>
          <w:p>
            <w:pPr>
              <w:pStyle w:val="Compact"/>
            </w:pPr>
            <w:r>
              <w:t xml:space="preserve">6.58%</w:t>
            </w:r>
          </w:p>
        </w:tc>
        <w:tc>
          <w:tcPr/>
          <w:p>
            <w:pPr>
              <w:pStyle w:val="Compact"/>
            </w:pPr>
            <w:r>
              <w:t xml:space="preserve">4.93%</w:t>
            </w:r>
          </w:p>
        </w:tc>
        <w:tc>
          <w:tcPr/>
          <w:p>
            <w:pPr>
              <w:pStyle w:val="Compact"/>
            </w:pPr>
            <w:r>
              <w:t xml:space="preserve">11.51%</w:t>
            </w:r>
          </w:p>
        </w:tc>
        <w:tc>
          <w:tcPr/>
          <w:p>
            <w:pPr>
              <w:pStyle w:val="Compact"/>
            </w:pPr>
            <w:r>
              <w:t xml:space="preserve">GREEN</w:t>
            </w:r>
          </w:p>
        </w:tc>
        <w:tc>
          <w:tcPr/>
          <w:p>
            <w:pPr>
              <w:pStyle w:val="Compact"/>
            </w:pPr>
            <w:r>
              <w:t xml:space="preserve">GREEN</w:t>
            </w:r>
          </w:p>
        </w:tc>
        <w:tc>
          <w:tcPr/>
          <w:p>
            <w:pPr>
              <w:pStyle w:val="Compact"/>
            </w:pPr>
            <w:r>
              <w:t xml:space="preserve">GREEN</w:t>
            </w:r>
          </w:p>
        </w:tc>
      </w:tr>
      <w:tr>
        <w:tc>
          <w:tcPr/>
          <w:p>
            <w:pPr>
              <w:pStyle w:val="Compact"/>
            </w:pPr>
            <w:r>
              <w:t xml:space="preserve">Temp</w:t>
            </w:r>
          </w:p>
        </w:tc>
        <w:tc>
          <w:tcPr/>
          <w:p>
            <w:pPr>
              <w:pStyle w:val="Compact"/>
            </w:pPr>
            <w:r>
              <w:t xml:space="preserve">6.30%</w:t>
            </w:r>
          </w:p>
        </w:tc>
        <w:tc>
          <w:tcPr/>
          <w:p>
            <w:pPr>
              <w:pStyle w:val="Compact"/>
            </w:pPr>
            <w:r>
              <w:t xml:space="preserve">4.11%</w:t>
            </w:r>
          </w:p>
        </w:tc>
        <w:tc>
          <w:tcPr/>
          <w:p>
            <w:pPr>
              <w:pStyle w:val="Compact"/>
            </w:pPr>
            <w:r>
              <w:t xml:space="preserve">10.41%</w:t>
            </w:r>
          </w:p>
        </w:tc>
        <w:tc>
          <w:tcPr/>
          <w:p>
            <w:pPr>
              <w:pStyle w:val="Compact"/>
            </w:pPr>
            <w:r>
              <w:t xml:space="preserve">GREEN</w:t>
            </w:r>
          </w:p>
        </w:tc>
        <w:tc>
          <w:tcPr/>
          <w:p>
            <w:pPr>
              <w:pStyle w:val="Compact"/>
            </w:pPr>
            <w:r>
              <w:t xml:space="preserve">GREEN</w:t>
            </w:r>
          </w:p>
        </w:tc>
        <w:tc>
          <w:tcPr/>
          <w:p>
            <w:pPr>
              <w:pStyle w:val="Compact"/>
            </w:pPr>
            <w:r>
              <w:t xml:space="preserve">GREEN</w:t>
            </w:r>
          </w:p>
        </w:tc>
      </w:tr>
    </w:tbl>
    <w:p>
      <w:pPr>
        <w:pStyle w:val="BodyText"/>
      </w:pPr>
      <w:r>
        <w:t xml:space="preserve">All breach rates within or close to nominal bounds. Binomial exceedance</w:t>
      </w:r>
      <w:r>
        <w:t xml:space="preserve"> </w:t>
      </w:r>
      <w:r>
        <w:t xml:space="preserve">p-values comfortably above conventional rejection thresholds (price total</w:t>
      </w:r>
      <w:r>
        <w:t xml:space="preserve"> </w:t>
      </w:r>
      <w:r>
        <w:t xml:space="preserve">p = 0.190; temp total p = 0.422). The positive control behaves as expected.</w:t>
      </w:r>
    </w:p>
    <w:p>
      <w:r>
        <w:pict>
          <v:rect style="width:0;height:1.5pt" o:hralign="center" o:hrstd="t" o:hr="t"/>
        </w:pict>
      </w:r>
    </w:p>
    <w:bookmarkEnd w:id="84"/>
    <w:bookmarkStart w:id="85" w:name="governance-classification-4"/>
    <w:p>
      <w:pPr>
        <w:pStyle w:val="Heading3"/>
      </w:pPr>
      <w:r>
        <w:t xml:space="preserve">4.2 Governance Classification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Price</w:t>
            </w:r>
          </w:p>
        </w:tc>
        <w:tc>
          <w:tcPr/>
          <w:p>
            <w:pPr>
              <w:pStyle w:val="Compact"/>
            </w:pPr>
            <w:r>
              <w:t xml:space="preserve">Temp</w:t>
            </w:r>
          </w:p>
        </w:tc>
      </w:tr>
      <w:tr>
        <w:tc>
          <w:tcPr/>
          <w:p>
            <w:pPr>
              <w:pStyle w:val="Compact"/>
            </w:pPr>
            <w:r>
              <w:t xml:space="preserve">Interval coverage</w:t>
            </w:r>
          </w:p>
        </w:tc>
        <w:tc>
          <w:tcPr/>
          <w:p>
            <w:pPr>
              <w:pStyle w:val="Compact"/>
            </w:pPr>
            <w:r>
              <w:t xml:space="preserve">88.49%</w:t>
            </w:r>
          </w:p>
        </w:tc>
        <w:tc>
          <w:tcPr/>
          <w:p>
            <w:pPr>
              <w:pStyle w:val="Compact"/>
            </w:pPr>
            <w:r>
              <w:t xml:space="preserve">89.59%</w:t>
            </w:r>
          </w:p>
        </w:tc>
      </w:tr>
      <w:tr>
        <w:tc>
          <w:tcPr/>
          <w:p>
            <w:pPr>
              <w:pStyle w:val="Compact"/>
            </w:pPr>
            <w:r>
              <w:t xml:space="preserve">Coverage error</w:t>
            </w:r>
          </w:p>
        </w:tc>
        <w:tc>
          <w:tcPr/>
          <w:p>
            <w:pPr>
              <w:pStyle w:val="Compact"/>
            </w:pPr>
            <w:r>
              <w:t xml:space="preserve">−1.51pp</w:t>
            </w:r>
          </w:p>
        </w:tc>
        <w:tc>
          <w:tcPr/>
          <w:p>
            <w:pPr>
              <w:pStyle w:val="Compact"/>
            </w:pPr>
            <w:r>
              <w:t xml:space="preserve">−0.41pp</w:t>
            </w:r>
          </w:p>
        </w:tc>
      </w:tr>
      <w:tr>
        <w:tc>
          <w:tcPr/>
          <w:p>
            <w:pPr>
              <w:pStyle w:val="Compact"/>
            </w:pPr>
            <w:r>
              <w:t xml:space="preserve">Overall classification</w:t>
            </w:r>
          </w:p>
        </w:tc>
        <w:tc>
          <w:tcPr/>
          <w:p>
            <w:pPr>
              <w:pStyle w:val="Compact"/>
            </w:pPr>
            <w:r>
              <w:t xml:space="preserve">GREEN</w:t>
            </w:r>
          </w:p>
        </w:tc>
        <w:tc>
          <w:tcPr/>
          <w:p>
            <w:pPr>
              <w:pStyle w:val="Compact"/>
            </w:pPr>
            <w:r>
              <w:t xml:space="preserve">GREEN</w:t>
            </w:r>
          </w:p>
        </w:tc>
      </w:tr>
    </w:tbl>
    <w:p>
      <w:pPr>
        <w:pStyle w:val="BodyText"/>
      </w:pPr>
      <w:r>
        <w:rPr>
          <w:b/>
          <w:bCs/>
        </w:rPr>
        <w:t xml:space="preserve">Note on PIT diagnostics.</w:t>
      </w:r>
      <w:r>
        <w:t xml:space="preserve"> </w:t>
      </w:r>
      <w:r>
        <w:t xml:space="preserve">Full-sample PIT uniformity and independence</w:t>
      </w:r>
      <w:r>
        <w:t xml:space="preserve"> </w:t>
      </w:r>
      <w:r>
        <w:t xml:space="preserve">statistics (min_p_uniformity, min_p_ljungbox) are null for the simulation</w:t>
      </w:r>
      <w:r>
        <w:t xml:space="preserve"> </w:t>
      </w:r>
      <w:r>
        <w:t xml:space="preserve">runs because PIT computation requires full distributional samples; the</w:t>
      </w:r>
      <w:r>
        <w:t xml:space="preserve"> </w:t>
      </w:r>
      <w:r>
        <w:t xml:space="preserve">run_004 architecture passes only quantile bounds (lo, hi) rather than</w:t>
      </w:r>
      <w:r>
        <w:t xml:space="preserve"> </w:t>
      </w:r>
      <w:r>
        <w:t xml:space="preserve">the full 5,000-path sample array. PIT diagnostics are therefore not</w:t>
      </w:r>
      <w:r>
        <w:t xml:space="preserve"> </w:t>
      </w:r>
      <w:r>
        <w:t xml:space="preserve">available for this model class under the current pipeline. Extending to</w:t>
      </w:r>
      <w:r>
        <w:t xml:space="preserve"> </w:t>
      </w:r>
      <w:r>
        <w:t xml:space="preserve">full PIT evaluation would require persisting the per-horizon empirical</w:t>
      </w:r>
      <w:r>
        <w:t xml:space="preserve"> </w:t>
      </w:r>
      <w:r>
        <w:t xml:space="preserve">CDF from the simulation paths, which is deferred as a future extension.</w:t>
      </w:r>
    </w:p>
    <w:p>
      <w:r>
        <w:pict>
          <v:rect style="width:0;height:1.5pt" o:hralign="center" o:hrstd="t" o:hr="t"/>
        </w:pict>
      </w:r>
    </w:p>
    <w:bookmarkEnd w:id="85"/>
    <w:bookmarkEnd w:id="86"/>
    <w:bookmarkStart w:id="90" w:name="X31af3759fd593520d031c6e28fa338ecbc49483"/>
    <w:p>
      <w:pPr>
        <w:pStyle w:val="Heading2"/>
      </w:pPr>
      <w:r>
        <w:t xml:space="preserve">5. Synthetic Simulation — Misspecification Scenarios (run_004b)</w:t>
      </w:r>
    </w:p>
    <w:p>
      <w:pPr>
        <w:pStyle w:val="FirstParagraph"/>
      </w:pPr>
      <w:r>
        <w:t xml:space="preserve">Three deliberate misspecification scenarios are evaluated against both the</w:t>
      </w:r>
      <w:r>
        <w:t xml:space="preserve"> </w:t>
      </w:r>
      <w:r>
        <w:t xml:space="preserve">price and temperature series to test the framework’s discriminative</w:t>
      </w:r>
      <w:r>
        <w:t xml:space="preserve"> </w:t>
      </w:r>
      <w:r>
        <w:t xml:space="preserve">validity — its ability to detect and characterise known model failures.</w:t>
      </w:r>
    </w:p>
    <w:p>
      <w:pPr>
        <w:pStyle w:val="BodyText"/>
      </w:pPr>
      <w:r>
        <w:rPr>
          <w:b/>
          <w:bCs/>
        </w:rPr>
        <w:t xml:space="preserve">Scenario definitions:</w:t>
      </w:r>
    </w:p>
    <w:p>
      <w:pPr>
        <w:pStyle w:val="Compact"/>
        <w:numPr>
          <w:ilvl w:val="0"/>
          <w:numId w:val="1019"/>
        </w:numPr>
      </w:pPr>
      <w:r>
        <w:rPr>
          <w:b/>
          <w:bCs/>
        </w:rPr>
        <w:t xml:space="preserve">Variance inflation:</w:t>
      </w:r>
      <w:r>
        <w:t xml:space="preserve"> </w:t>
      </w:r>
      <w:r>
        <w:t xml:space="preserve">Realised values drawn with σ × 2; model intervals</w:t>
      </w:r>
      <w:r>
        <w:t xml:space="preserve"> </w:t>
      </w:r>
      <w:r>
        <w:t xml:space="preserve">built from σ × 1 paths. Intervals are half as wide as needed.</w:t>
      </w:r>
    </w:p>
    <w:p>
      <w:pPr>
        <w:pStyle w:val="Compact"/>
        <w:numPr>
          <w:ilvl w:val="0"/>
          <w:numId w:val="1019"/>
        </w:numPr>
      </w:pPr>
      <w:r>
        <w:rPr>
          <w:b/>
          <w:bCs/>
        </w:rPr>
        <w:t xml:space="preserve">Mean bias:</w:t>
      </w:r>
      <w:r>
        <w:t xml:space="preserve"> </w:t>
      </w:r>
      <w:r>
        <w:t xml:space="preserve">Realised values drawn with mean shifted by +1σ (price: +5.0,</w:t>
      </w:r>
      <w:r>
        <w:t xml:space="preserve"> </w:t>
      </w:r>
      <w:r>
        <w:t xml:space="preserve">temp: +3.0); model uses unshifted mean. Systematic directional breach on</w:t>
      </w:r>
      <w:r>
        <w:t xml:space="preserve"> </w:t>
      </w:r>
      <w:r>
        <w:t xml:space="preserve">one tail expected.</w:t>
      </w:r>
    </w:p>
    <w:p>
      <w:pPr>
        <w:pStyle w:val="Compact"/>
        <w:numPr>
          <w:ilvl w:val="0"/>
          <w:numId w:val="1019"/>
        </w:numPr>
      </w:pPr>
      <w:r>
        <w:rPr>
          <w:b/>
          <w:bCs/>
        </w:rPr>
        <w:t xml:space="preserve">Heavy tails:</w:t>
      </w:r>
      <w:r>
        <w:t xml:space="preserve"> </w:t>
      </w:r>
      <w:r>
        <w:t xml:space="preserve">Realised values drawn from t(df=3); model uses Gaussian</w:t>
      </w:r>
      <w:r>
        <w:t xml:space="preserve"> </w:t>
      </w:r>
      <w:r>
        <w:t xml:space="preserve">paths. Excess tail events expected if the framework is sensitive enough</w:t>
      </w:r>
      <w:r>
        <w:t xml:space="preserve"> </w:t>
      </w:r>
      <w:r>
        <w:t xml:space="preserve">to detect them at n = 365.</w:t>
      </w:r>
    </w:p>
    <w:p>
      <w:r>
        <w:pict>
          <v:rect style="width:0;height:1.5pt" o:hralign="center" o:hrstd="t" o:hr="t"/>
        </w:pict>
      </w:r>
    </w:p>
    <w:bookmarkStart w:id="87" w:name="anfuso-results-all-scenarios"/>
    <w:p>
      <w:pPr>
        <w:pStyle w:val="Heading3"/>
      </w:pPr>
      <w:r>
        <w:t xml:space="preserve">5.1 Anfuso Results — All Scenarios</w:t>
      </w:r>
    </w:p>
    <w:tbl>
      <w:tblPr>
        <w:tblStyle w:val="Table"/>
        <w:tblW w:type="pct" w:w="5000"/>
        <w:tblLayout w:type="fixed"/>
        <w:tblLook w:firstRow="1" w:lastRow="0" w:firstColumn="0" w:lastColumn="0" w:noHBand="0" w:noVBand="0" w:val="0020"/>
      </w:tblPr>
      <w:tblGrid>
        <w:gridCol w:w="1732"/>
        <w:gridCol w:w="660"/>
        <w:gridCol w:w="742"/>
        <w:gridCol w:w="742"/>
        <w:gridCol w:w="742"/>
        <w:gridCol w:w="825"/>
        <w:gridCol w:w="825"/>
        <w:gridCol w:w="825"/>
        <w:gridCol w:w="825"/>
      </w:tblGrid>
      <w:tr>
        <w:trPr>
          <w:tblHeader w:val="on"/>
        </w:trPr>
        <w:tc>
          <w:tcPr/>
          <w:p>
            <w:pPr>
              <w:pStyle w:val="Compact"/>
            </w:pPr>
            <w:r>
              <w:t xml:space="preserve">Scenario</w:t>
            </w:r>
          </w:p>
        </w:tc>
        <w:tc>
          <w:tcPr/>
          <w:p>
            <w:pPr>
              <w:pStyle w:val="Compact"/>
            </w:pPr>
            <w:r>
              <w:t xml:space="preserve">Series</w:t>
            </w:r>
          </w:p>
        </w:tc>
        <w:tc>
          <w:tcPr/>
          <w:p>
            <w:pPr>
              <w:pStyle w:val="Compact"/>
            </w:pPr>
            <w:r>
              <w:t xml:space="preserve">Lower</w:t>
            </w:r>
          </w:p>
        </w:tc>
        <w:tc>
          <w:tcPr/>
          <w:p>
            <w:pPr>
              <w:pStyle w:val="Compact"/>
            </w:pPr>
            <w:r>
              <w:t xml:space="preserve">Upper</w:t>
            </w:r>
          </w:p>
        </w:tc>
        <w:tc>
          <w:tcPr/>
          <w:p>
            <w:pPr>
              <w:pStyle w:val="Compact"/>
            </w:pPr>
            <w:r>
              <w:t xml:space="preserve">Total</w:t>
            </w:r>
          </w:p>
        </w:tc>
        <w:tc>
          <w:tcPr/>
          <w:p>
            <w:pPr>
              <w:pStyle w:val="Compact"/>
            </w:pPr>
            <w:r>
              <w:t xml:space="preserve">Lower TL</w:t>
            </w:r>
          </w:p>
        </w:tc>
        <w:tc>
          <w:tcPr/>
          <w:p>
            <w:pPr>
              <w:pStyle w:val="Compact"/>
            </w:pPr>
            <w:r>
              <w:t xml:space="preserve">Upper TL</w:t>
            </w:r>
          </w:p>
        </w:tc>
        <w:tc>
          <w:tcPr/>
          <w:p>
            <w:pPr>
              <w:pStyle w:val="Compact"/>
            </w:pPr>
            <w:r>
              <w:t xml:space="preserve">Total TL</w:t>
            </w:r>
          </w:p>
        </w:tc>
        <w:tc>
          <w:tcPr/>
          <w:p>
            <w:pPr>
              <w:pStyle w:val="Compact"/>
            </w:pPr>
            <w:r>
              <w:t xml:space="preserve">Coverage</w:t>
            </w:r>
          </w:p>
        </w:tc>
      </w:tr>
      <w:tr>
        <w:tc>
          <w:tcPr/>
          <w:p>
            <w:pPr>
              <w:pStyle w:val="Compact"/>
            </w:pPr>
            <w:r>
              <w:t xml:space="preserve">Variance inflation</w:t>
            </w:r>
          </w:p>
        </w:tc>
        <w:tc>
          <w:tcPr/>
          <w:p>
            <w:pPr>
              <w:pStyle w:val="Compact"/>
            </w:pPr>
            <w:r>
              <w:t xml:space="preserve">Price</w:t>
            </w:r>
          </w:p>
        </w:tc>
        <w:tc>
          <w:tcPr/>
          <w:p>
            <w:pPr>
              <w:pStyle w:val="Compact"/>
            </w:pPr>
            <w:r>
              <w:t xml:space="preserve">22.74%</w:t>
            </w:r>
          </w:p>
        </w:tc>
        <w:tc>
          <w:tcPr/>
          <w:p>
            <w:pPr>
              <w:pStyle w:val="Compact"/>
            </w:pPr>
            <w:r>
              <w:t xml:space="preserve">21.92%</w:t>
            </w:r>
          </w:p>
        </w:tc>
        <w:tc>
          <w:tcPr/>
          <w:p>
            <w:pPr>
              <w:pStyle w:val="Compact"/>
            </w:pPr>
            <w:r>
              <w:t xml:space="preserve">44.66%</w:t>
            </w:r>
          </w:p>
        </w:tc>
        <w:tc>
          <w:tcPr/>
          <w:p>
            <w:pPr>
              <w:pStyle w:val="Compact"/>
            </w:pPr>
            <w:r>
              <w:t xml:space="preserve">RED</w:t>
            </w:r>
          </w:p>
        </w:tc>
        <w:tc>
          <w:tcPr/>
          <w:p>
            <w:pPr>
              <w:pStyle w:val="Compact"/>
            </w:pPr>
            <w:r>
              <w:t xml:space="preserve">RED</w:t>
            </w:r>
          </w:p>
        </w:tc>
        <w:tc>
          <w:tcPr/>
          <w:p>
            <w:pPr>
              <w:pStyle w:val="Compact"/>
            </w:pPr>
            <w:r>
              <w:t xml:space="preserve">RED</w:t>
            </w:r>
          </w:p>
        </w:tc>
        <w:tc>
          <w:tcPr/>
          <w:p>
            <w:pPr>
              <w:pStyle w:val="Compact"/>
            </w:pPr>
            <w:r>
              <w:t xml:space="preserve">55.3%</w:t>
            </w:r>
          </w:p>
        </w:tc>
      </w:tr>
      <w:tr>
        <w:tc>
          <w:tcPr/>
          <w:p>
            <w:pPr>
              <w:pStyle w:val="Compact"/>
            </w:pPr>
            <w:r>
              <w:t xml:space="preserve">Mean bias</w:t>
            </w:r>
          </w:p>
        </w:tc>
        <w:tc>
          <w:tcPr/>
          <w:p>
            <w:pPr>
              <w:pStyle w:val="Compact"/>
            </w:pPr>
            <w:r>
              <w:t xml:space="preserve">Price</w:t>
            </w:r>
          </w:p>
        </w:tc>
        <w:tc>
          <w:tcPr/>
          <w:p>
            <w:pPr>
              <w:pStyle w:val="Compact"/>
            </w:pPr>
            <w:r>
              <w:t xml:space="preserve">0.55%</w:t>
            </w:r>
          </w:p>
        </w:tc>
        <w:tc>
          <w:tcPr/>
          <w:p>
            <w:pPr>
              <w:pStyle w:val="Compact"/>
            </w:pPr>
            <w:r>
              <w:t xml:space="preserve">29.04%</w:t>
            </w:r>
          </w:p>
        </w:tc>
        <w:tc>
          <w:tcPr/>
          <w:p>
            <w:pPr>
              <w:pStyle w:val="Compact"/>
            </w:pPr>
            <w:r>
              <w:t xml:space="preserve">29.59%</w:t>
            </w:r>
          </w:p>
        </w:tc>
        <w:tc>
          <w:tcPr/>
          <w:p>
            <w:pPr>
              <w:pStyle w:val="Compact"/>
            </w:pPr>
            <w:r>
              <w:t xml:space="preserve">GREEN</w:t>
            </w:r>
          </w:p>
        </w:tc>
        <w:tc>
          <w:tcPr/>
          <w:p>
            <w:pPr>
              <w:pStyle w:val="Compact"/>
            </w:pPr>
            <w:r>
              <w:t xml:space="preserve">RED</w:t>
            </w:r>
          </w:p>
        </w:tc>
        <w:tc>
          <w:tcPr/>
          <w:p>
            <w:pPr>
              <w:pStyle w:val="Compact"/>
            </w:pPr>
            <w:r>
              <w:t xml:space="preserve">RED</w:t>
            </w:r>
          </w:p>
        </w:tc>
        <w:tc>
          <w:tcPr/>
          <w:p>
            <w:pPr>
              <w:pStyle w:val="Compact"/>
            </w:pPr>
            <w:r>
              <w:t xml:space="preserve">~70.4%</w:t>
            </w:r>
          </w:p>
        </w:tc>
      </w:tr>
      <w:tr>
        <w:tc>
          <w:tcPr/>
          <w:p>
            <w:pPr>
              <w:pStyle w:val="Compact"/>
            </w:pPr>
            <w:r>
              <w:t xml:space="preserve">Heavy tails</w:t>
            </w:r>
          </w:p>
        </w:tc>
        <w:tc>
          <w:tcPr/>
          <w:p>
            <w:pPr>
              <w:pStyle w:val="Compact"/>
            </w:pPr>
            <w:r>
              <w:t xml:space="preserve">Price</w:t>
            </w:r>
          </w:p>
        </w:tc>
        <w:tc>
          <w:tcPr/>
          <w:p>
            <w:pPr>
              <w:pStyle w:val="Compact"/>
            </w:pPr>
            <w:r>
              <w:t xml:space="preserve">4.38%</w:t>
            </w:r>
          </w:p>
        </w:tc>
        <w:tc>
          <w:tcPr/>
          <w:p>
            <w:pPr>
              <w:pStyle w:val="Compact"/>
            </w:pPr>
            <w:r>
              <w:t xml:space="preserve">5.48%</w:t>
            </w:r>
          </w:p>
        </w:tc>
        <w:tc>
          <w:tcPr/>
          <w:p>
            <w:pPr>
              <w:pStyle w:val="Compact"/>
            </w:pPr>
            <w:r>
              <w:t xml:space="preserve">9.86%</w:t>
            </w:r>
          </w:p>
        </w:tc>
        <w:tc>
          <w:tcPr/>
          <w:p>
            <w:pPr>
              <w:pStyle w:val="Compact"/>
            </w:pPr>
            <w:r>
              <w:t xml:space="preserve">GREEN</w:t>
            </w:r>
          </w:p>
        </w:tc>
        <w:tc>
          <w:tcPr/>
          <w:p>
            <w:pPr>
              <w:pStyle w:val="Compact"/>
            </w:pPr>
            <w:r>
              <w:t xml:space="preserve">GREEN</w:t>
            </w:r>
          </w:p>
        </w:tc>
        <w:tc>
          <w:tcPr/>
          <w:p>
            <w:pPr>
              <w:pStyle w:val="Compact"/>
            </w:pPr>
            <w:r>
              <w:t xml:space="preserve">GREEN</w:t>
            </w:r>
          </w:p>
        </w:tc>
        <w:tc>
          <w:tcPr/>
          <w:p>
            <w:pPr>
              <w:pStyle w:val="Compact"/>
            </w:pPr>
            <w:r>
              <w:t xml:space="preserve">90.1%</w:t>
            </w:r>
          </w:p>
        </w:tc>
      </w:tr>
      <w:tr>
        <w:tc>
          <w:tcPr/>
          <w:p>
            <w:pPr>
              <w:pStyle w:val="Compact"/>
            </w:pPr>
            <w:r>
              <w:t xml:space="preserve">Variance inflation</w:t>
            </w:r>
          </w:p>
        </w:tc>
        <w:tc>
          <w:tcPr/>
          <w:p>
            <w:pPr>
              <w:pStyle w:val="Compact"/>
            </w:pPr>
            <w:r>
              <w:t xml:space="preserve">Temp</w:t>
            </w:r>
          </w:p>
        </w:tc>
        <w:tc>
          <w:tcPr/>
          <w:p>
            <w:pPr>
              <w:pStyle w:val="Compact"/>
            </w:pPr>
            <w:r>
              <w:t xml:space="preserve">19.18%</w:t>
            </w:r>
          </w:p>
        </w:tc>
        <w:tc>
          <w:tcPr/>
          <w:p>
            <w:pPr>
              <w:pStyle w:val="Compact"/>
            </w:pPr>
            <w:r>
              <w:t xml:space="preserve">18.36%</w:t>
            </w:r>
          </w:p>
        </w:tc>
        <w:tc>
          <w:tcPr/>
          <w:p>
            <w:pPr>
              <w:pStyle w:val="Compact"/>
            </w:pPr>
            <w:r>
              <w:t xml:space="preserve">37.53%</w:t>
            </w:r>
          </w:p>
        </w:tc>
        <w:tc>
          <w:tcPr/>
          <w:p>
            <w:pPr>
              <w:pStyle w:val="Compact"/>
            </w:pPr>
            <w:r>
              <w:t xml:space="preserve">RED</w:t>
            </w:r>
          </w:p>
        </w:tc>
        <w:tc>
          <w:tcPr/>
          <w:p>
            <w:pPr>
              <w:pStyle w:val="Compact"/>
            </w:pPr>
            <w:r>
              <w:t xml:space="preserve">RED</w:t>
            </w:r>
          </w:p>
        </w:tc>
        <w:tc>
          <w:tcPr/>
          <w:p>
            <w:pPr>
              <w:pStyle w:val="Compact"/>
            </w:pPr>
            <w:r>
              <w:t xml:space="preserve">RED</w:t>
            </w:r>
          </w:p>
        </w:tc>
        <w:tc>
          <w:tcPr/>
          <w:p>
            <w:pPr>
              <w:pStyle w:val="Compact"/>
            </w:pPr>
            <w:r>
              <w:t xml:space="preserve">62.5%</w:t>
            </w:r>
          </w:p>
        </w:tc>
      </w:tr>
      <w:tr>
        <w:tc>
          <w:tcPr/>
          <w:p>
            <w:pPr>
              <w:pStyle w:val="Compact"/>
            </w:pPr>
            <w:r>
              <w:t xml:space="preserve">Mean bias</w:t>
            </w:r>
          </w:p>
        </w:tc>
        <w:tc>
          <w:tcPr/>
          <w:p>
            <w:pPr>
              <w:pStyle w:val="Compact"/>
            </w:pPr>
            <w:r>
              <w:t xml:space="preserve">Temp</w:t>
            </w:r>
          </w:p>
        </w:tc>
        <w:tc>
          <w:tcPr/>
          <w:p>
            <w:pPr>
              <w:pStyle w:val="Compact"/>
            </w:pPr>
            <w:r>
              <w:t xml:space="preserve">0.27%</w:t>
            </w:r>
          </w:p>
        </w:tc>
        <w:tc>
          <w:tcPr/>
          <w:p>
            <w:pPr>
              <w:pStyle w:val="Compact"/>
            </w:pPr>
            <w:r>
              <w:t xml:space="preserve">29.32%</w:t>
            </w:r>
          </w:p>
        </w:tc>
        <w:tc>
          <w:tcPr/>
          <w:p>
            <w:pPr>
              <w:pStyle w:val="Compact"/>
            </w:pPr>
            <w:r>
              <w:t xml:space="preserve">29.59%</w:t>
            </w:r>
          </w:p>
        </w:tc>
        <w:tc>
          <w:tcPr/>
          <w:p>
            <w:pPr>
              <w:pStyle w:val="Compact"/>
            </w:pPr>
            <w:r>
              <w:t xml:space="preserve">GREEN</w:t>
            </w:r>
          </w:p>
        </w:tc>
        <w:tc>
          <w:tcPr/>
          <w:p>
            <w:pPr>
              <w:pStyle w:val="Compact"/>
            </w:pPr>
            <w:r>
              <w:t xml:space="preserve">RED</w:t>
            </w:r>
          </w:p>
        </w:tc>
        <w:tc>
          <w:tcPr/>
          <w:p>
            <w:pPr>
              <w:pStyle w:val="Compact"/>
            </w:pPr>
            <w:r>
              <w:t xml:space="preserve">RED</w:t>
            </w:r>
          </w:p>
        </w:tc>
        <w:tc>
          <w:tcPr/>
          <w:p>
            <w:pPr>
              <w:pStyle w:val="Compact"/>
            </w:pPr>
            <w:r>
              <w:t xml:space="preserve">~70.4%</w:t>
            </w:r>
          </w:p>
        </w:tc>
      </w:tr>
      <w:tr>
        <w:tc>
          <w:tcPr/>
          <w:p>
            <w:pPr>
              <w:pStyle w:val="Compact"/>
            </w:pPr>
            <w:r>
              <w:t xml:space="preserve">Heavy tails</w:t>
            </w:r>
          </w:p>
        </w:tc>
        <w:tc>
          <w:tcPr/>
          <w:p>
            <w:pPr>
              <w:pStyle w:val="Compact"/>
            </w:pPr>
            <w:r>
              <w:t xml:space="preserve">Temp</w:t>
            </w:r>
          </w:p>
        </w:tc>
        <w:tc>
          <w:tcPr/>
          <w:p>
            <w:pPr>
              <w:pStyle w:val="Compact"/>
            </w:pPr>
            <w:r>
              <w:t xml:space="preserve">2.74%</w:t>
            </w:r>
          </w:p>
        </w:tc>
        <w:tc>
          <w:tcPr/>
          <w:p>
            <w:pPr>
              <w:pStyle w:val="Compact"/>
            </w:pPr>
            <w:r>
              <w:t xml:space="preserve">4.93%</w:t>
            </w:r>
          </w:p>
        </w:tc>
        <w:tc>
          <w:tcPr/>
          <w:p>
            <w:pPr>
              <w:pStyle w:val="Compact"/>
            </w:pPr>
            <w:r>
              <w:t xml:space="preserve">7.67%</w:t>
            </w:r>
          </w:p>
        </w:tc>
        <w:tc>
          <w:tcPr/>
          <w:p>
            <w:pPr>
              <w:pStyle w:val="Compact"/>
            </w:pPr>
            <w:r>
              <w:t xml:space="preserve">GREEN</w:t>
            </w:r>
          </w:p>
        </w:tc>
        <w:tc>
          <w:tcPr/>
          <w:p>
            <w:pPr>
              <w:pStyle w:val="Compact"/>
            </w:pPr>
            <w:r>
              <w:t xml:space="preserve">GREEN</w:t>
            </w:r>
          </w:p>
        </w:tc>
        <w:tc>
          <w:tcPr/>
          <w:p>
            <w:pPr>
              <w:pStyle w:val="Compact"/>
            </w:pPr>
            <w:r>
              <w:t xml:space="preserve">GREEN</w:t>
            </w:r>
          </w:p>
        </w:tc>
        <w:tc>
          <w:tcPr/>
          <w:p>
            <w:pPr>
              <w:pStyle w:val="Compact"/>
            </w:pPr>
            <w:r>
              <w:t xml:space="preserve">92.3%</w:t>
            </w:r>
          </w:p>
        </w:tc>
      </w:tr>
    </w:tbl>
    <w:p>
      <w:r>
        <w:pict>
          <v:rect style="width:0;height:1.5pt" o:hralign="center" o:hrstd="t" o:hr="t"/>
        </w:pict>
      </w:r>
    </w:p>
    <w:bookmarkEnd w:id="87"/>
    <w:bookmarkStart w:id="88" w:name="interpretation-by-scenario"/>
    <w:p>
      <w:pPr>
        <w:pStyle w:val="Heading3"/>
      </w:pPr>
      <w:r>
        <w:t xml:space="preserve">5.2 Interpretation by Scenario</w:t>
      </w:r>
    </w:p>
    <w:p>
      <w:pPr>
        <w:pStyle w:val="FirstParagraph"/>
      </w:pPr>
      <w:r>
        <w:rPr>
          <w:b/>
          <w:bCs/>
        </w:rPr>
        <w:t xml:space="preserve">Variance inflation</w:t>
      </w:r>
      <w:r>
        <w:t xml:space="preserve"> </w:t>
      </w:r>
      <w:r>
        <w:t xml:space="preserve">is detected strongly and symmetrically. Both tails</w:t>
      </w:r>
      <w:r>
        <w:t xml:space="preserve"> </w:t>
      </w:r>
      <w:r>
        <w:t xml:space="preserve">breach at approximately 4× the nominal rate (22–23% vs 5%), producing</w:t>
      </w:r>
      <w:r>
        <w:t xml:space="preserve"> </w:t>
      </w:r>
      <w:r>
        <w:t xml:space="preserve">total breach rates of 44.7% (price) and 37.5% (temp). The bilateral</w:t>
      </w:r>
      <w:r>
        <w:t xml:space="preserve"> </w:t>
      </w:r>
      <w:r>
        <w:t xml:space="preserve">symmetry is expected — inflating σ by 2× makes realisations equally</w:t>
      </w:r>
      <w:r>
        <w:t xml:space="preserve"> </w:t>
      </w:r>
      <w:r>
        <w:t xml:space="preserve">likely to exceed either tail. Coverage collapses to 55.3% and 62.5%</w:t>
      </w:r>
      <w:r>
        <w:t xml:space="preserve"> </w:t>
      </w:r>
      <w:r>
        <w:t xml:space="preserve">respectively. Both series receive RED with extreme p-values</w:t>
      </w:r>
      <w:r>
        <w:t xml:space="preserve"> </w:t>
      </w:r>
      <w:r>
        <w:t xml:space="preserve">(p &lt; 10⁻²⁹ per tail).</w:t>
      </w:r>
    </w:p>
    <w:p>
      <w:pPr>
        <w:pStyle w:val="BodyText"/>
      </w:pPr>
      <w:r>
        <w:rPr>
          <w:b/>
          <w:bCs/>
        </w:rPr>
        <w:t xml:space="preserve">Mean bias</w:t>
      </w:r>
      <w:r>
        <w:t xml:space="preserve"> </w:t>
      </w:r>
      <w:r>
        <w:t xml:space="preserve">produces a clearly asymmetric signal. The upper tail</w:t>
      </w:r>
      <w:r>
        <w:t xml:space="preserve"> </w:t>
      </w:r>
      <w:r>
        <w:t xml:space="preserve">accumulates nearly all breaches (29.0%/29.3%) while the lower tail is</w:t>
      </w:r>
      <w:r>
        <w:t xml:space="preserve"> </w:t>
      </w:r>
      <w:r>
        <w:t xml:space="preserve">near-zero (0.55%/0.27%), consistent with a rightward shift in the</w:t>
      </w:r>
      <w:r>
        <w:t xml:space="preserve"> </w:t>
      </w:r>
      <w:r>
        <w:t xml:space="preserve">realised distribution pushing observations out of the upper prediction</w:t>
      </w:r>
      <w:r>
        <w:t xml:space="preserve"> </w:t>
      </w:r>
      <w:r>
        <w:t xml:space="preserve">bound. The lower tail is GREEN (realisations rarely fall below the</w:t>
      </w:r>
      <w:r>
        <w:t xml:space="preserve"> </w:t>
      </w:r>
      <w:r>
        <w:t xml:space="preserve">lower bound of an unshifted interval), while the upper tail is strongly</w:t>
      </w:r>
      <w:r>
        <w:t xml:space="preserve"> </w:t>
      </w:r>
      <w:r>
        <w:t xml:space="preserve">RED. This asymmetric pattern directly identifies the direction of the</w:t>
      </w:r>
      <w:r>
        <w:t xml:space="preserve"> </w:t>
      </w:r>
      <w:r>
        <w:t xml:space="preserve">bias and demonstrates that the traffic-light framework localises the</w:t>
      </w:r>
      <w:r>
        <w:t xml:space="preserve"> </w:t>
      </w:r>
      <w:r>
        <w:t xml:space="preserve">failure mode, not just its existence.</w:t>
      </w:r>
    </w:p>
    <w:p>
      <w:pPr>
        <w:pStyle w:val="BodyText"/>
      </w:pPr>
      <w:r>
        <w:rPr>
          <w:b/>
          <w:bCs/>
        </w:rPr>
        <w:t xml:space="preserve">Heavy tails</w:t>
      </w:r>
      <w:r>
        <w:t xml:space="preserve"> </w:t>
      </w:r>
      <w:r>
        <w:t xml:space="preserve">is not detected by the Anfuso interval test at n = 365.</w:t>
      </w:r>
      <w:r>
        <w:t xml:space="preserve"> </w:t>
      </w:r>
      <w:r>
        <w:t xml:space="preserve">Both price and temperature return GREEN, with near-nominal coverage</w:t>
      </w:r>
      <w:r>
        <w:t xml:space="preserve"> </w:t>
      </w:r>
      <w:r>
        <w:t xml:space="preserve">(90.1% and 92.3%). This is a genuine finding about the limits of the</w:t>
      </w:r>
      <w:r>
        <w:t xml:space="preserve"> </w:t>
      </w:r>
      <w:r>
        <w:t xml:space="preserve">framework’s discriminative power at small sample sizes, not an error.</w:t>
      </w:r>
      <w:r>
        <w:t xml:space="preserve"> </w:t>
      </w:r>
      <w:r>
        <w:t xml:space="preserve">The t(df=3) distribution produces more extreme realisations than a</w:t>
      </w:r>
      <w:r>
        <w:t xml:space="preserve"> </w:t>
      </w:r>
      <w:r>
        <w:t xml:space="preserve">Gaussian, but at n = 365 these excess events are rare and roughly</w:t>
      </w:r>
      <w:r>
        <w:t xml:space="preserve"> </w:t>
      </w:r>
      <w:r>
        <w:t xml:space="preserve">symmetric across both tails, so the binomial interval test lacks</w:t>
      </w:r>
      <w:r>
        <w:t xml:space="preserve"> </w:t>
      </w:r>
      <w:r>
        <w:t xml:space="preserve">sufficient power to flag them. Detecting heavy-tail misspecification</w:t>
      </w:r>
      <w:r>
        <w:t xml:space="preserve"> </w:t>
      </w:r>
      <w:r>
        <w:t xml:space="preserve">reliably requires either a larger evaluation sample or tail-specific</w:t>
      </w:r>
      <w:r>
        <w:t xml:space="preserve"> </w:t>
      </w:r>
      <w:r>
        <w:t xml:space="preserve">diagnostics (e.g., extreme value tests or PIT histogram inspection in</w:t>
      </w:r>
      <w:r>
        <w:t xml:space="preserve"> </w:t>
      </w:r>
      <w:r>
        <w:t xml:space="preserve">the tails). The temperature series receives YELLOW (coverage error</w:t>
      </w:r>
      <w:r>
        <w:t xml:space="preserve"> </w:t>
      </w:r>
      <w:r>
        <w:t xml:space="preserve">+2.33pp), a marginal signal that is consistent with mild</w:t>
      </w:r>
      <w:r>
        <w:t xml:space="preserve"> </w:t>
      </w:r>
      <w:r>
        <w:t xml:space="preserve">over-conservatism from the heavier tails without reaching RED.</w:t>
      </w:r>
    </w:p>
    <w:p>
      <w:r>
        <w:pict>
          <v:rect style="width:0;height:1.5pt" o:hralign="center" o:hrstd="t" o:hr="t"/>
        </w:pict>
      </w:r>
    </w:p>
    <w:bookmarkEnd w:id="88"/>
    <w:bookmarkStart w:id="89" w:name="X72d63803f265985157c3df7522720b7c7263559"/>
    <w:p>
      <w:pPr>
        <w:pStyle w:val="Heading3"/>
      </w:pPr>
      <w:r>
        <w:t xml:space="preserve">5.3 Governance Classification — Misspecification Scenarios</w:t>
      </w:r>
    </w:p>
    <w:tbl>
      <w:tblPr>
        <w:tblStyle w:val="Table"/>
        <w:tblW w:type="pct" w:w="5000"/>
        <w:tblLayout w:type="fixed"/>
        <w:tblLook w:firstRow="1" w:lastRow="0" w:firstColumn="0" w:lastColumn="0" w:noHBand="0" w:noVBand="0" w:val="0020"/>
      </w:tblPr>
      <w:tblGrid>
        <w:gridCol w:w="1908"/>
        <w:gridCol w:w="763"/>
        <w:gridCol w:w="1526"/>
        <w:gridCol w:w="3721"/>
      </w:tblGrid>
      <w:tr>
        <w:trPr>
          <w:tblHeader w:val="on"/>
        </w:trPr>
        <w:tc>
          <w:tcPr/>
          <w:p>
            <w:pPr>
              <w:pStyle w:val="Compact"/>
            </w:pPr>
            <w:r>
              <w:t xml:space="preserve">Scenario</w:t>
            </w:r>
          </w:p>
        </w:tc>
        <w:tc>
          <w:tcPr/>
          <w:p>
            <w:pPr>
              <w:pStyle w:val="Compact"/>
            </w:pPr>
            <w:r>
              <w:t xml:space="preserve">Series</w:t>
            </w:r>
          </w:p>
        </w:tc>
        <w:tc>
          <w:tcPr/>
          <w:p>
            <w:pPr>
              <w:pStyle w:val="Compact"/>
            </w:pPr>
            <w:r>
              <w:t xml:space="preserve">Classification</w:t>
            </w:r>
          </w:p>
        </w:tc>
        <w:tc>
          <w:tcPr/>
          <w:p>
            <w:pPr>
              <w:pStyle w:val="Compact"/>
            </w:pPr>
            <w:r>
              <w:t xml:space="preserve">Primary Signal</w:t>
            </w:r>
          </w:p>
        </w:tc>
      </w:tr>
      <w:tr>
        <w:tc>
          <w:tcPr/>
          <w:p>
            <w:pPr>
              <w:pStyle w:val="Compact"/>
            </w:pPr>
            <w:r>
              <w:t xml:space="preserve">Variance inflation</w:t>
            </w:r>
          </w:p>
        </w:tc>
        <w:tc>
          <w:tcPr/>
          <w:p>
            <w:pPr>
              <w:pStyle w:val="Compact"/>
            </w:pPr>
            <w:r>
              <w:t xml:space="preserve">Price</w:t>
            </w:r>
          </w:p>
        </w:tc>
        <w:tc>
          <w:tcPr/>
          <w:p>
            <w:pPr>
              <w:pStyle w:val="Compact"/>
            </w:pPr>
            <w:r>
              <w:t xml:space="preserve">RED</w:t>
            </w:r>
          </w:p>
        </w:tc>
        <w:tc>
          <w:tcPr/>
          <w:p>
            <w:pPr>
              <w:pStyle w:val="Compact"/>
            </w:pPr>
            <w:r>
              <w:t xml:space="preserve">Bilateral symmetric over-breaching</w:t>
            </w:r>
          </w:p>
        </w:tc>
      </w:tr>
      <w:tr>
        <w:tc>
          <w:tcPr/>
          <w:p>
            <w:pPr>
              <w:pStyle w:val="Compact"/>
            </w:pPr>
            <w:r>
              <w:t xml:space="preserve">Variance inflation</w:t>
            </w:r>
          </w:p>
        </w:tc>
        <w:tc>
          <w:tcPr/>
          <w:p>
            <w:pPr>
              <w:pStyle w:val="Compact"/>
            </w:pPr>
            <w:r>
              <w:t xml:space="preserve">Temp</w:t>
            </w:r>
          </w:p>
        </w:tc>
        <w:tc>
          <w:tcPr/>
          <w:p>
            <w:pPr>
              <w:pStyle w:val="Compact"/>
            </w:pPr>
            <w:r>
              <w:t xml:space="preserve">RED</w:t>
            </w:r>
          </w:p>
        </w:tc>
        <w:tc>
          <w:tcPr/>
          <w:p>
            <w:pPr>
              <w:pStyle w:val="Compact"/>
            </w:pPr>
            <w:r>
              <w:t xml:space="preserve">Bilateral symmetric over-breaching</w:t>
            </w:r>
          </w:p>
        </w:tc>
      </w:tr>
      <w:tr>
        <w:tc>
          <w:tcPr/>
          <w:p>
            <w:pPr>
              <w:pStyle w:val="Compact"/>
            </w:pPr>
            <w:r>
              <w:t xml:space="preserve">Mean bias</w:t>
            </w:r>
          </w:p>
        </w:tc>
        <w:tc>
          <w:tcPr/>
          <w:p>
            <w:pPr>
              <w:pStyle w:val="Compact"/>
            </w:pPr>
            <w:r>
              <w:t xml:space="preserve">Price</w:t>
            </w:r>
          </w:p>
        </w:tc>
        <w:tc>
          <w:tcPr/>
          <w:p>
            <w:pPr>
              <w:pStyle w:val="Compact"/>
            </w:pPr>
            <w:r>
              <w:t xml:space="preserve">RED</w:t>
            </w:r>
          </w:p>
        </w:tc>
        <w:tc>
          <w:tcPr/>
          <w:p>
            <w:pPr>
              <w:pStyle w:val="Compact"/>
            </w:pPr>
            <w:r>
              <w:t xml:space="preserve">Unilateral upper-tail excess</w:t>
            </w:r>
          </w:p>
        </w:tc>
      </w:tr>
      <w:tr>
        <w:tc>
          <w:tcPr/>
          <w:p>
            <w:pPr>
              <w:pStyle w:val="Compact"/>
            </w:pPr>
            <w:r>
              <w:t xml:space="preserve">Mean bias</w:t>
            </w:r>
          </w:p>
        </w:tc>
        <w:tc>
          <w:tcPr/>
          <w:p>
            <w:pPr>
              <w:pStyle w:val="Compact"/>
            </w:pPr>
            <w:r>
              <w:t xml:space="preserve">Temp</w:t>
            </w:r>
          </w:p>
        </w:tc>
        <w:tc>
          <w:tcPr/>
          <w:p>
            <w:pPr>
              <w:pStyle w:val="Compact"/>
            </w:pPr>
            <w:r>
              <w:t xml:space="preserve">RED</w:t>
            </w:r>
          </w:p>
        </w:tc>
        <w:tc>
          <w:tcPr/>
          <w:p>
            <w:pPr>
              <w:pStyle w:val="Compact"/>
            </w:pPr>
            <w:r>
              <w:t xml:space="preserve">Unilateral upper-tail excess</w:t>
            </w:r>
          </w:p>
        </w:tc>
      </w:tr>
      <w:tr>
        <w:tc>
          <w:tcPr/>
          <w:p>
            <w:pPr>
              <w:pStyle w:val="Compact"/>
            </w:pPr>
            <w:r>
              <w:t xml:space="preserve">Heavy tails</w:t>
            </w:r>
          </w:p>
        </w:tc>
        <w:tc>
          <w:tcPr/>
          <w:p>
            <w:pPr>
              <w:pStyle w:val="Compact"/>
            </w:pPr>
            <w:r>
              <w:t xml:space="preserve">Price</w:t>
            </w:r>
          </w:p>
        </w:tc>
        <w:tc>
          <w:tcPr/>
          <w:p>
            <w:pPr>
              <w:pStyle w:val="Compact"/>
            </w:pPr>
            <w:r>
              <w:t xml:space="preserve">GREEN</w:t>
            </w:r>
          </w:p>
        </w:tc>
        <w:tc>
          <w:tcPr/>
          <w:p>
            <w:pPr>
              <w:pStyle w:val="Compact"/>
            </w:pPr>
            <w:r>
              <w:t xml:space="preserve">Not detected (insufficient power)</w:t>
            </w:r>
          </w:p>
        </w:tc>
      </w:tr>
      <w:tr>
        <w:tc>
          <w:tcPr/>
          <w:p>
            <w:pPr>
              <w:pStyle w:val="Compact"/>
            </w:pPr>
            <w:r>
              <w:t xml:space="preserve">Heavy tails</w:t>
            </w:r>
          </w:p>
        </w:tc>
        <w:tc>
          <w:tcPr/>
          <w:p>
            <w:pPr>
              <w:pStyle w:val="Compact"/>
            </w:pPr>
            <w:r>
              <w:t xml:space="preserve">Temp</w:t>
            </w:r>
          </w:p>
        </w:tc>
        <w:tc>
          <w:tcPr/>
          <w:p>
            <w:pPr>
              <w:pStyle w:val="Compact"/>
            </w:pPr>
            <w:r>
              <w:t xml:space="preserve">YELLOW</w:t>
            </w:r>
          </w:p>
        </w:tc>
        <w:tc>
          <w:tcPr/>
          <w:p>
            <w:pPr>
              <w:pStyle w:val="Compact"/>
            </w:pPr>
            <w:r>
              <w:t xml:space="preserve">Marginal coverage excess (n=365)</w:t>
            </w:r>
          </w:p>
        </w:tc>
      </w:tr>
    </w:tbl>
    <w:p>
      <w:pPr>
        <w:pStyle w:val="BodyText"/>
      </w:pPr>
      <w:r>
        <w:t xml:space="preserve">The misspecification scenarios validate the framework’s discriminative</w:t>
      </w:r>
      <w:r>
        <w:t xml:space="preserve"> </w:t>
      </w:r>
      <w:r>
        <w:t xml:space="preserve">capacity for the two largest failure modes (variance inflation and mean</w:t>
      </w:r>
      <w:r>
        <w:t xml:space="preserve"> </w:t>
      </w:r>
      <w:r>
        <w:t xml:space="preserve">bias) while exposing a power limitation for distributional shape</w:t>
      </w:r>
      <w:r>
        <w:t xml:space="preserve"> </w:t>
      </w:r>
      <w:r>
        <w:t xml:space="preserve">misspecification at small sample sizes.</w:t>
      </w:r>
    </w:p>
    <w:p>
      <w:r>
        <w:pict>
          <v:rect style="width:0;height:1.5pt" o:hralign="center" o:hrstd="t" o:hr="t"/>
        </w:pict>
      </w:r>
    </w:p>
    <w:bookmarkEnd w:id="89"/>
    <w:bookmarkEnd w:id="90"/>
    <w:bookmarkStart w:id="96" w:name="X33f352f967061329ebf42caaa83acca5f05ca1c"/>
    <w:p>
      <w:pPr>
        <w:pStyle w:val="Heading2"/>
      </w:pPr>
      <w:r>
        <w:t xml:space="preserve">6. Multivariate Dependency Analysis — PV and Wind (run_005)</w:t>
      </w:r>
    </w:p>
    <w:p>
      <w:pPr>
        <w:pStyle w:val="FirstParagraph"/>
      </w:pPr>
      <w:r>
        <w:rPr>
          <w:b/>
          <w:bCs/>
        </w:rPr>
        <w:t xml:space="preserve">Motivation.</w:t>
      </w:r>
      <w:r>
        <w:t xml:space="preserve"> </w:t>
      </w:r>
      <w:r>
        <w:t xml:space="preserve">Univariate diagnostics evaluate each asset’s calibration</w:t>
      </w:r>
      <w:r>
        <w:t xml:space="preserve"> </w:t>
      </w:r>
      <w:r>
        <w:t xml:space="preserve">independently. In practice, a portfolio of renewable assets is exposed to</w:t>
      </w:r>
      <w:r>
        <w:t xml:space="preserve"> </w:t>
      </w:r>
      <w:r>
        <w:t xml:space="preserve">shared weather drivers, creating cross-asset dependence in forecast errors.</w:t>
      </w:r>
      <w:r>
        <w:t xml:space="preserve"> </w:t>
      </w:r>
      <w:r>
        <w:t xml:space="preserve">run_005 evaluates joint PIT residual dependence between PV and wind on</w:t>
      </w:r>
      <w:r>
        <w:t xml:space="preserve"> </w:t>
      </w:r>
      <w:r>
        <w:t xml:space="preserve">their shared hourly evaluation index.</w:t>
      </w:r>
    </w:p>
    <w:p>
      <w:pPr>
        <w:pStyle w:val="BodyText"/>
      </w:pPr>
      <w:r>
        <w:rPr>
          <w:b/>
          <w:bCs/>
        </w:rPr>
        <w:t xml:space="preserve">Shared evaluation index:</w:t>
      </w:r>
      <w:r>
        <w:t xml:space="preserve"> </w:t>
      </w:r>
      <w:r>
        <w:t xml:space="preserve">n = 4,287 daytime hours (PV daytime restriction</w:t>
      </w:r>
      <w:r>
        <w:t xml:space="preserve"> </w:t>
      </w:r>
      <w:r>
        <w:t xml:space="preserve">applied to both series; wind warmup-eligible observations intersected with</w:t>
      </w:r>
      <w:r>
        <w:t xml:space="preserve"> </w:t>
      </w:r>
      <w:r>
        <w:t xml:space="preserve">PV daytime timestamps, 2013–2015).</w:t>
      </w:r>
    </w:p>
    <w:p>
      <w:r>
        <w:pict>
          <v:rect style="width:0;height:1.5pt" o:hralign="center" o:hrstd="t" o:hr="t"/>
        </w:pict>
      </w:r>
    </w:p>
    <w:bookmarkStart w:id="91" w:name="marginal-pit-residuals"/>
    <w:p>
      <w:pPr>
        <w:pStyle w:val="Heading3"/>
      </w:pPr>
      <w:r>
        <w:t xml:space="preserve">6.1 Marginal PIT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Mean z = Φ⁻¹(u)</w:t>
            </w:r>
          </w:p>
        </w:tc>
        <w:tc>
          <w:tcPr/>
          <w:p>
            <w:pPr>
              <w:pStyle w:val="Compact"/>
            </w:pPr>
            <w:r>
              <w:t xml:space="preserve">Std z</w:t>
            </w:r>
          </w:p>
        </w:tc>
      </w:tr>
      <w:tr>
        <w:tc>
          <w:tcPr/>
          <w:p>
            <w:pPr>
              <w:pStyle w:val="Compact"/>
            </w:pPr>
            <w:r>
              <w:t xml:space="preserve">PV</w:t>
            </w:r>
          </w:p>
        </w:tc>
        <w:tc>
          <w:tcPr/>
          <w:p>
            <w:pPr>
              <w:pStyle w:val="Compact"/>
            </w:pPr>
            <w:r>
              <w:t xml:space="preserve">+0.1037</w:t>
            </w:r>
          </w:p>
        </w:tc>
        <w:tc>
          <w:tcPr/>
          <w:p>
            <w:pPr>
              <w:pStyle w:val="Compact"/>
            </w:pPr>
            <w:r>
              <w:t xml:space="preserve">1.9414</w:t>
            </w:r>
          </w:p>
        </w:tc>
      </w:tr>
      <w:tr>
        <w:tc>
          <w:tcPr/>
          <w:p>
            <w:pPr>
              <w:pStyle w:val="Compact"/>
            </w:pPr>
            <w:r>
              <w:t xml:space="preserve">Wind</w:t>
            </w:r>
          </w:p>
        </w:tc>
        <w:tc>
          <w:tcPr/>
          <w:p>
            <w:pPr>
              <w:pStyle w:val="Compact"/>
            </w:pPr>
            <w:r>
              <w:t xml:space="preserve">−0.0514</w:t>
            </w:r>
          </w:p>
        </w:tc>
        <w:tc>
          <w:tcPr/>
          <w:p>
            <w:pPr>
              <w:pStyle w:val="Compact"/>
            </w:pPr>
            <w:r>
              <w:t xml:space="preserve">1.5997</w:t>
            </w:r>
          </w:p>
        </w:tc>
      </w:tr>
    </w:tbl>
    <w:p>
      <w:pPr>
        <w:pStyle w:val="BodyText"/>
      </w:pPr>
      <w:r>
        <w:t xml:space="preserve">Both series show std(z) &gt; 1.0, consistent with overdispersion in the</w:t>
      </w:r>
      <w:r>
        <w:t xml:space="preserve"> </w:t>
      </w:r>
      <w:r>
        <w:t xml:space="preserve">marginal distributions (confirmed RED in univariate runs). PV shows a</w:t>
      </w:r>
      <w:r>
        <w:t xml:space="preserve"> </w:t>
      </w:r>
      <w:r>
        <w:t xml:space="preserve">slight positive bias (model slightly underestimates daytime generation);</w:t>
      </w:r>
      <w:r>
        <w:t xml:space="preserve"> </w:t>
      </w:r>
      <w:r>
        <w:t xml:space="preserve">wind shows a slight negative bias.</w:t>
      </w:r>
    </w:p>
    <w:p>
      <w:r>
        <w:pict>
          <v:rect style="width:0;height:1.5pt" o:hralign="center" o:hrstd="t" o:hr="t"/>
        </w:pict>
      </w:r>
    </w:p>
    <w:bookmarkEnd w:id="91"/>
    <w:bookmarkStart w:id="92" w:name="Xc6c70a854437196af6b276836ef3c006eba4c9a"/>
    <w:p>
      <w:pPr>
        <w:pStyle w:val="Heading3"/>
      </w:pPr>
      <w:r>
        <w:t xml:space="preserve">6.2 Multivariate Ljung–Box (Joint PIT Residual Vector)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Lag</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5</w:t>
            </w:r>
          </w:p>
        </w:tc>
        <w:tc>
          <w:tcPr/>
          <w:p>
            <w:pPr>
              <w:pStyle w:val="Compact"/>
            </w:pPr>
            <w:r>
              <w:t xml:space="preserve">15,427</w:t>
            </w:r>
          </w:p>
        </w:tc>
        <w:tc>
          <w:tcPr/>
          <w:p>
            <w:pPr>
              <w:pStyle w:val="Compact"/>
            </w:pPr>
            <w:r>
              <w:t xml:space="preserve">20</w:t>
            </w:r>
          </w:p>
        </w:tc>
        <w:tc>
          <w:tcPr/>
          <w:p>
            <w:pPr>
              <w:pStyle w:val="Compact"/>
            </w:pPr>
            <w:r>
              <w:t xml:space="preserve">≈ 0</w:t>
            </w:r>
          </w:p>
        </w:tc>
      </w:tr>
      <w:tr>
        <w:tc>
          <w:tcPr/>
          <w:p>
            <w:pPr>
              <w:pStyle w:val="Compact"/>
            </w:pPr>
            <w:r>
              <w:t xml:space="preserve">10</w:t>
            </w:r>
          </w:p>
        </w:tc>
        <w:tc>
          <w:tcPr/>
          <w:p>
            <w:pPr>
              <w:pStyle w:val="Compact"/>
            </w:pPr>
            <w:r>
              <w:t xml:space="preserve">20,692</w:t>
            </w:r>
          </w:p>
        </w:tc>
        <w:tc>
          <w:tcPr/>
          <w:p>
            <w:pPr>
              <w:pStyle w:val="Compact"/>
            </w:pPr>
            <w:r>
              <w:t xml:space="preserve">40</w:t>
            </w:r>
          </w:p>
        </w:tc>
        <w:tc>
          <w:tcPr/>
          <w:p>
            <w:pPr>
              <w:pStyle w:val="Compact"/>
            </w:pPr>
            <w:r>
              <w:t xml:space="preserve">≈ 0</w:t>
            </w:r>
          </w:p>
        </w:tc>
      </w:tr>
      <w:tr>
        <w:tc>
          <w:tcPr/>
          <w:p>
            <w:pPr>
              <w:pStyle w:val="Compact"/>
            </w:pPr>
            <w:r>
              <w:t xml:space="preserve">20</w:t>
            </w:r>
          </w:p>
        </w:tc>
        <w:tc>
          <w:tcPr/>
          <w:p>
            <w:pPr>
              <w:pStyle w:val="Compact"/>
            </w:pPr>
            <w:r>
              <w:t xml:space="preserve">24,714</w:t>
            </w:r>
          </w:p>
        </w:tc>
        <w:tc>
          <w:tcPr/>
          <w:p>
            <w:pPr>
              <w:pStyle w:val="Compact"/>
            </w:pPr>
            <w:r>
              <w:t xml:space="preserve">80</w:t>
            </w:r>
          </w:p>
        </w:tc>
        <w:tc>
          <w:tcPr/>
          <w:p>
            <w:pPr>
              <w:pStyle w:val="Compact"/>
            </w:pPr>
            <w:r>
              <w:t xml:space="preserve">≈ 0</w:t>
            </w:r>
          </w:p>
        </w:tc>
      </w:tr>
    </w:tbl>
    <w:p>
      <w:pPr>
        <w:pStyle w:val="BodyText"/>
      </w:pPr>
      <w:r>
        <w:t xml:space="preserve">Joint independence is overwhelmingly rejected. The joint residual process</w:t>
      </w:r>
      <w:r>
        <w:t xml:space="preserve"> </w:t>
      </w:r>
      <w:r>
        <w:t xml:space="preserve">inherits the severe serial dependence of both individual series.</w:t>
      </w:r>
    </w:p>
    <w:p>
      <w:r>
        <w:pict>
          <v:rect style="width:0;height:1.5pt" o:hralign="center" o:hrstd="t" o:hr="t"/>
        </w:pict>
      </w:r>
    </w:p>
    <w:bookmarkEnd w:id="92"/>
    <w:bookmarkStart w:id="93" w:name="cross-correlation-of-pit-residuals"/>
    <w:p>
      <w:pPr>
        <w:pStyle w:val="Heading3"/>
      </w:pPr>
      <w:r>
        <w:t xml:space="preserve">6.3 Cross-Correlation of PIT Residuals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Lag</w:t>
            </w:r>
          </w:p>
        </w:tc>
        <w:tc>
          <w:tcPr/>
          <w:p>
            <w:pPr>
              <w:pStyle w:val="Compact"/>
            </w:pPr>
            <w:r>
              <w:t xml:space="preserve">Correlation</w:t>
            </w:r>
          </w:p>
        </w:tc>
      </w:tr>
      <w:tr>
        <w:tc>
          <w:tcPr/>
          <w:p>
            <w:pPr>
              <w:pStyle w:val="Compact"/>
            </w:pPr>
            <w:r>
              <w:t xml:space="preserve">0</w:t>
            </w:r>
          </w:p>
        </w:tc>
        <w:tc>
          <w:tcPr/>
          <w:p>
            <w:pPr>
              <w:pStyle w:val="Compact"/>
            </w:pPr>
            <w:r>
              <w:t xml:space="preserve">−0.040</w:t>
            </w:r>
          </w:p>
        </w:tc>
      </w:tr>
      <w:tr>
        <w:tc>
          <w:tcPr/>
          <w:p>
            <w:pPr>
              <w:pStyle w:val="Compact"/>
            </w:pPr>
            <w:r>
              <w:t xml:space="preserve">1</w:t>
            </w:r>
          </w:p>
        </w:tc>
        <w:tc>
          <w:tcPr/>
          <w:p>
            <w:pPr>
              <w:pStyle w:val="Compact"/>
            </w:pPr>
            <w:r>
              <w:t xml:space="preserve">−0.041</w:t>
            </w:r>
          </w:p>
        </w:tc>
      </w:tr>
      <w:tr>
        <w:tc>
          <w:tcPr/>
          <w:p>
            <w:pPr>
              <w:pStyle w:val="Compact"/>
            </w:pPr>
            <w:r>
              <w:t xml:space="preserve">6</w:t>
            </w:r>
          </w:p>
        </w:tc>
        <w:tc>
          <w:tcPr/>
          <w:p>
            <w:pPr>
              <w:pStyle w:val="Compact"/>
            </w:pPr>
            <w:r>
              <w:t xml:space="preserve">−0.031</w:t>
            </w:r>
          </w:p>
        </w:tc>
      </w:tr>
      <w:tr>
        <w:tc>
          <w:tcPr/>
          <w:p>
            <w:pPr>
              <w:pStyle w:val="Compact"/>
            </w:pPr>
            <w:r>
              <w:t xml:space="preserve">24</w:t>
            </w:r>
          </w:p>
        </w:tc>
        <w:tc>
          <w:tcPr/>
          <w:p>
            <w:pPr>
              <w:pStyle w:val="Compact"/>
            </w:pPr>
            <w:r>
              <w:t xml:space="preserve">+0.075</w:t>
            </w:r>
          </w:p>
        </w:tc>
      </w:tr>
    </w:tbl>
    <w:p>
      <w:pPr>
        <w:pStyle w:val="BodyText"/>
      </w:pPr>
      <w:r>
        <w:t xml:space="preserve">Contemporaneous correlation is weakly negative (lag 0: −0.040), consistent</w:t>
      </w:r>
      <w:r>
        <w:t xml:space="preserve"> </w:t>
      </w:r>
      <w:r>
        <w:t xml:space="preserve">with the physical tendency for calm, sunny conditions to correlate with</w:t>
      </w:r>
      <w:r>
        <w:t xml:space="preserve"> </w:t>
      </w:r>
      <w:r>
        <w:t xml:space="preserve">lower wind and higher solar irradiance. The lag-24 value (+0.075) reflects</w:t>
      </w:r>
      <w:r>
        <w:t xml:space="preserve"> </w:t>
      </w:r>
      <w:r>
        <w:t xml:space="preserve">shared diurnal weather persistence — the same-hour correlation one day</w:t>
      </w:r>
      <w:r>
        <w:t xml:space="preserve"> </w:t>
      </w:r>
      <w:r>
        <w:t xml:space="preserve">ahead is positive, indicating that jointly favourable or unfavourable</w:t>
      </w:r>
      <w:r>
        <w:t xml:space="preserve"> </w:t>
      </w:r>
      <w:r>
        <w:t xml:space="preserve">weather conditions persist day-to-day. All cross-correlations are modest</w:t>
      </w:r>
      <w:r>
        <w:t xml:space="preserve"> </w:t>
      </w:r>
      <w:r>
        <w:t xml:space="preserve">in magnitude, indicating that the two marginal distributions are</w:t>
      </w:r>
      <w:r>
        <w:t xml:space="preserve"> </w:t>
      </w:r>
      <w:r>
        <w:t xml:space="preserve">approximately contemporaneously independent while not serially independent.</w:t>
      </w:r>
    </w:p>
    <w:p>
      <w:r>
        <w:pict>
          <v:rect style="width:0;height:1.5pt" o:hralign="center" o:hrstd="t" o:hr="t"/>
        </w:pict>
      </w:r>
    </w:p>
    <w:bookmarkEnd w:id="93"/>
    <w:bookmarkStart w:id="94" w:name="bivariate-energy-score"/>
    <w:p>
      <w:pPr>
        <w:pStyle w:val="Heading3"/>
      </w:pPr>
      <w:r>
        <w:t xml:space="preserve">6.4 Bivariate Energy Score</w:t>
      </w:r>
    </w:p>
    <w:p>
      <w:pPr>
        <w:pStyle w:val="FirstParagraph"/>
      </w:pPr>
      <w:r>
        <w:t xml:space="preserve">Bivariate energy score:</w:t>
      </w:r>
      <w:r>
        <w:t xml:space="preserve"> </w:t>
      </w:r>
      <w:r>
        <w:rPr>
          <w:b/>
          <w:bCs/>
        </w:rPr>
        <w:t xml:space="preserve">2.017</w:t>
      </w:r>
    </w:p>
    <w:p>
      <w:pPr>
        <w:pStyle w:val="BodyText"/>
      </w:pPr>
      <w:r>
        <w:t xml:space="preserve">The bivariate energy score (Gneiting et al., 2008) serves as a reference</w:t>
      </w:r>
      <w:r>
        <w:t xml:space="preserve"> </w:t>
      </w:r>
      <w:r>
        <w:t xml:space="preserve">value for the joint predictive distribution under the current base intervals. A correctly calibrated joint predictive</w:t>
      </w:r>
      <w:r>
        <w:t xml:space="preserve"> </w:t>
      </w:r>
      <w:r>
        <w:t xml:space="preserve">distribution would achieve a lower score. The value provides a benchmark</w:t>
      </w:r>
      <w:r>
        <w:t xml:space="preserve"> </w:t>
      </w:r>
      <w:r>
        <w:t xml:space="preserve">for comparison after conformal augmentation or model improvement.</w:t>
      </w:r>
    </w:p>
    <w:p>
      <w:r>
        <w:pict>
          <v:rect style="width:0;height:1.5pt" o:hralign="center" o:hrstd="t" o:hr="t"/>
        </w:pict>
      </w:r>
    </w:p>
    <w:bookmarkEnd w:id="94"/>
    <w:bookmarkStart w:id="95" w:name="independence-verdict"/>
    <w:p>
      <w:pPr>
        <w:pStyle w:val="Heading3"/>
      </w:pPr>
      <w:r>
        <w:t xml:space="preserve">6.5 Independence Verdict</w:t>
      </w:r>
    </w:p>
    <w:p>
      <w:pPr>
        <w:pStyle w:val="FirstParagraph"/>
      </w:pPr>
      <w:r>
        <w:rPr>
          <w:b/>
          <w:bCs/>
        </w:rPr>
        <w:t xml:space="preserve">REJECT</w:t>
      </w:r>
      <w:r>
        <w:t xml:space="preserve"> </w:t>
      </w:r>
      <w:r>
        <w:t xml:space="preserve">— the joint PIT residual process is not white noise.</w:t>
      </w:r>
    </w:p>
    <w:p>
      <w:pPr>
        <w:pStyle w:val="BodyText"/>
      </w:pPr>
      <w:r>
        <w:t xml:space="preserve">The multivariate results confirm that treating PV and wind as independent</w:t>
      </w:r>
      <w:r>
        <w:t xml:space="preserve"> </w:t>
      </w:r>
      <w:r>
        <w:t xml:space="preserve">for portfolio risk aggregation would underestimate joint tail exposure,</w:t>
      </w:r>
      <w:r>
        <w:t xml:space="preserve"> </w:t>
      </w:r>
      <w:r>
        <w:t xml:space="preserve">consistent with findings on cross-asset forecast error dependence in</w:t>
      </w:r>
      <w:r>
        <w:t xml:space="preserve"> </w:t>
      </w:r>
      <w:r>
        <w:t xml:space="preserve">renewable portfolios (Pinson and Girard, 2012).</w:t>
      </w:r>
      <w:r>
        <w:t xml:space="preserve"> </w:t>
      </w:r>
      <w:r>
        <w:t xml:space="preserve">Any composite risk measure (e.g., a combined renewable portfolio VaR) must</w:t>
      </w:r>
      <w:r>
        <w:t xml:space="preserve"> </w:t>
      </w:r>
      <w:r>
        <w:t xml:space="preserve">account for the persistent serial structure and the lag-24 positive</w:t>
      </w:r>
      <w:r>
        <w:t xml:space="preserve"> </w:t>
      </w:r>
      <w:r>
        <w:t xml:space="preserve">cross-correlation.</w:t>
      </w:r>
    </w:p>
    <w:p>
      <w:r>
        <w:pict>
          <v:rect style="width:0;height:1.5pt" o:hralign="center" o:hrstd="t" o:hr="t"/>
        </w:pict>
      </w:r>
    </w:p>
    <w:bookmarkEnd w:id="95"/>
    <w:bookmarkEnd w:id="96"/>
    <w:bookmarkStart w:id="99" w:name="cross-dataset-synthesis"/>
    <w:p>
      <w:pPr>
        <w:pStyle w:val="Heading2"/>
      </w:pPr>
      <w:r>
        <w:t xml:space="preserve">7. Cross-Dataset Synthesis</w:t>
      </w:r>
    </w:p>
    <w:bookmarkStart w:id="97" w:name="summary-table"/>
    <w:p>
      <w:pPr>
        <w:pStyle w:val="Heading3"/>
      </w:pPr>
      <w:r>
        <w:t xml:space="preserve">7.1 Summary Table</w:t>
      </w:r>
    </w:p>
    <w:tbl>
      <w:tblPr>
        <w:tblStyle w:val="Table"/>
        <w:tblW w:type="pct" w:w="5000"/>
        <w:tblLayout w:type="fixed"/>
        <w:tblLook w:firstRow="1" w:lastRow="0" w:firstColumn="0" w:lastColumn="0" w:noHBand="0" w:noVBand="0" w:val="0020"/>
      </w:tblPr>
      <w:tblGrid>
        <w:gridCol w:w="1170"/>
        <w:gridCol w:w="810"/>
        <w:gridCol w:w="900"/>
        <w:gridCol w:w="1080"/>
        <w:gridCol w:w="990"/>
        <w:gridCol w:w="1170"/>
        <w:gridCol w:w="990"/>
        <w:gridCol w:w="810"/>
      </w:tblGrid>
      <w:tr>
        <w:trPr>
          <w:tblHeader w:val="on"/>
        </w:trPr>
        <w:tc>
          <w:tcPr/>
          <w:p>
            <w:pPr>
              <w:pStyle w:val="Compact"/>
            </w:pPr>
            <w:r>
              <w:t xml:space="preserve">Dataset</w:t>
            </w:r>
          </w:p>
        </w:tc>
        <w:tc>
          <w:tcPr/>
          <w:p>
            <w:pPr>
              <w:pStyle w:val="Compact"/>
            </w:pPr>
            <w:r>
              <w:t xml:space="preserve">n</w:t>
            </w:r>
          </w:p>
        </w:tc>
        <w:tc>
          <w:tcPr/>
          <w:p>
            <w:pPr>
              <w:pStyle w:val="Compact"/>
            </w:pPr>
            <w:r>
              <w:t xml:space="preserve">Coverage</w:t>
            </w:r>
          </w:p>
        </w:tc>
        <w:tc>
          <w:tcPr/>
          <w:p>
            <w:pPr>
              <w:pStyle w:val="Compact"/>
            </w:pPr>
            <w:r>
              <w:t xml:space="preserve">Cov. Error</w:t>
            </w:r>
          </w:p>
        </w:tc>
        <w:tc>
          <w:tcPr/>
          <w:p>
            <w:pPr>
              <w:pStyle w:val="Compact"/>
            </w:pPr>
            <w:r>
              <w:t xml:space="preserve">Anfuso TL</w:t>
            </w:r>
          </w:p>
        </w:tc>
        <w:tc>
          <w:tcPr/>
          <w:p>
            <w:pPr>
              <w:pStyle w:val="Compact"/>
            </w:pPr>
            <w:r>
              <w:t xml:space="preserve">PIT Uniform</w:t>
            </w:r>
          </w:p>
        </w:tc>
        <w:tc>
          <w:tcPr/>
          <w:p>
            <w:pPr>
              <w:pStyle w:val="Compact"/>
            </w:pPr>
            <w:r>
              <w:t xml:space="preserve">PIT Indep</w:t>
            </w:r>
          </w:p>
        </w:tc>
        <w:tc>
          <w:tcPr/>
          <w:p>
            <w:pPr>
              <w:pStyle w:val="Compact"/>
            </w:pPr>
            <w:r>
              <w:t xml:space="preserve">Overall</w:t>
            </w:r>
          </w:p>
        </w:tc>
      </w:tr>
      <w:tr>
        <w:tc>
          <w:tcPr/>
          <w:p>
            <w:pPr>
              <w:pStyle w:val="Compact"/>
            </w:pPr>
            <w:r>
              <w:t xml:space="preserve">ENTSO-E</w:t>
            </w:r>
          </w:p>
        </w:tc>
        <w:tc>
          <w:tcPr/>
          <w:p>
            <w:pPr>
              <w:pStyle w:val="Compact"/>
            </w:pPr>
            <w:r>
              <w:t xml:space="preserve">209,555</w:t>
            </w:r>
          </w:p>
        </w:tc>
        <w:tc>
          <w:tcPr/>
          <w:p>
            <w:pPr>
              <w:pStyle w:val="Compact"/>
            </w:pPr>
            <w:r>
              <w:t xml:space="preserve">87.06%</w:t>
            </w:r>
          </w:p>
        </w:tc>
        <w:tc>
          <w:tcPr/>
          <w:p>
            <w:pPr>
              <w:pStyle w:val="Compact"/>
            </w:pPr>
            <w:r>
              <w:t xml:space="preserve">−2.94 pp</w:t>
            </w:r>
          </w:p>
        </w:tc>
        <w:tc>
          <w:tcPr/>
          <w:p>
            <w:pPr>
              <w:pStyle w:val="Compact"/>
            </w:pPr>
            <w:r>
              <w:t xml:space="preserve">RED</w:t>
            </w:r>
          </w:p>
        </w:tc>
        <w:tc>
          <w:tcPr/>
          <w:p>
            <w:pPr>
              <w:pStyle w:val="Compact"/>
            </w:pPr>
            <w:r>
              <w:t xml:space="preserve">FAIL</w:t>
            </w:r>
          </w:p>
        </w:tc>
        <w:tc>
          <w:tcPr/>
          <w:p>
            <w:pPr>
              <w:pStyle w:val="Compact"/>
            </w:pPr>
            <w:r>
              <w:t xml:space="preserve">FAIL</w:t>
            </w:r>
          </w:p>
        </w:tc>
        <w:tc>
          <w:tcPr/>
          <w:p>
            <w:pPr>
              <w:pStyle w:val="Compact"/>
            </w:pPr>
            <w:r>
              <w:rPr>
                <w:b/>
                <w:bCs/>
              </w:rPr>
              <w:t xml:space="preserve">RED</w:t>
            </w:r>
          </w:p>
        </w:tc>
      </w:tr>
      <w:tr>
        <w:tc>
          <w:tcPr/>
          <w:p>
            <w:pPr>
              <w:pStyle w:val="Compact"/>
            </w:pPr>
            <w:r>
              <w:t xml:space="preserve">PV</w:t>
            </w:r>
          </w:p>
        </w:tc>
        <w:tc>
          <w:tcPr/>
          <w:p>
            <w:pPr>
              <w:pStyle w:val="Compact"/>
            </w:pPr>
            <w:r>
              <w:t xml:space="preserve">4,287</w:t>
            </w:r>
          </w:p>
        </w:tc>
        <w:tc>
          <w:tcPr/>
          <w:p>
            <w:pPr>
              <w:pStyle w:val="Compact"/>
            </w:pPr>
            <w:r>
              <w:t xml:space="preserve">91.37%</w:t>
            </w:r>
          </w:p>
        </w:tc>
        <w:tc>
          <w:tcPr/>
          <w:p>
            <w:pPr>
              <w:pStyle w:val="Compact"/>
            </w:pPr>
            <w:r>
              <w:t xml:space="preserve">+1.37 pp</w:t>
            </w:r>
          </w:p>
        </w:tc>
        <w:tc>
          <w:tcPr/>
          <w:p>
            <w:pPr>
              <w:pStyle w:val="Compact"/>
            </w:pPr>
            <w:r>
              <w:t xml:space="preserve">GREEN</w:t>
            </w:r>
          </w:p>
        </w:tc>
        <w:tc>
          <w:tcPr/>
          <w:p>
            <w:pPr>
              <w:pStyle w:val="Compact"/>
            </w:pPr>
            <w:r>
              <w:t xml:space="preserve">FAIL</w:t>
            </w:r>
          </w:p>
        </w:tc>
        <w:tc>
          <w:tcPr/>
          <w:p>
            <w:pPr>
              <w:pStyle w:val="Compact"/>
            </w:pPr>
            <w:r>
              <w:t xml:space="preserve">FAIL</w:t>
            </w:r>
          </w:p>
        </w:tc>
        <w:tc>
          <w:tcPr/>
          <w:p>
            <w:pPr>
              <w:pStyle w:val="Compact"/>
            </w:pPr>
            <w:r>
              <w:rPr>
                <w:b/>
                <w:bCs/>
              </w:rPr>
              <w:t xml:space="preserve">RED</w:t>
            </w:r>
          </w:p>
        </w:tc>
      </w:tr>
      <w:tr>
        <w:tc>
          <w:tcPr/>
          <w:p>
            <w:pPr>
              <w:pStyle w:val="Compact"/>
            </w:pPr>
            <w:r>
              <w:t xml:space="preserve">Wind</w:t>
            </w:r>
          </w:p>
        </w:tc>
        <w:tc>
          <w:tcPr/>
          <w:p>
            <w:pPr>
              <w:pStyle w:val="Compact"/>
            </w:pPr>
            <w:r>
              <w:t xml:space="preserve">9,000</w:t>
            </w:r>
          </w:p>
        </w:tc>
        <w:tc>
          <w:tcPr/>
          <w:p>
            <w:pPr>
              <w:pStyle w:val="Compact"/>
            </w:pPr>
            <w:r>
              <w:t xml:space="preserve">88.62%</w:t>
            </w:r>
          </w:p>
        </w:tc>
        <w:tc>
          <w:tcPr/>
          <w:p>
            <w:pPr>
              <w:pStyle w:val="Compact"/>
            </w:pPr>
            <w:r>
              <w:t xml:space="preserve">−1.38 pp</w:t>
            </w:r>
          </w:p>
        </w:tc>
        <w:tc>
          <w:tcPr/>
          <w:p>
            <w:pPr>
              <w:pStyle w:val="Compact"/>
            </w:pPr>
            <w:r>
              <w:t xml:space="preserve">RED (lower)</w:t>
            </w:r>
          </w:p>
        </w:tc>
        <w:tc>
          <w:tcPr/>
          <w:p>
            <w:pPr>
              <w:pStyle w:val="Compact"/>
            </w:pPr>
            <w:r>
              <w:t xml:space="preserve">FAIL</w:t>
            </w:r>
          </w:p>
        </w:tc>
        <w:tc>
          <w:tcPr/>
          <w:p>
            <w:pPr>
              <w:pStyle w:val="Compact"/>
            </w:pPr>
            <w:r>
              <w:t xml:space="preserve">FAIL</w:t>
            </w:r>
          </w:p>
        </w:tc>
        <w:tc>
          <w:tcPr/>
          <w:p>
            <w:pPr>
              <w:pStyle w:val="Compact"/>
            </w:pPr>
            <w:r>
              <w:rPr>
                <w:b/>
                <w:bCs/>
              </w:rPr>
              <w:t xml:space="preserve">RED</w:t>
            </w:r>
          </w:p>
        </w:tc>
      </w:tr>
      <w:tr>
        <w:tc>
          <w:tcPr/>
          <w:p>
            <w:pPr>
              <w:pStyle w:val="Compact"/>
            </w:pPr>
            <w:r>
              <w:t xml:space="preserve">Sim (price)</w:t>
            </w:r>
          </w:p>
        </w:tc>
        <w:tc>
          <w:tcPr/>
          <w:p>
            <w:pPr>
              <w:pStyle w:val="Compact"/>
            </w:pPr>
            <w:r>
              <w:t xml:space="preserve">365</w:t>
            </w:r>
          </w:p>
        </w:tc>
        <w:tc>
          <w:tcPr/>
          <w:p>
            <w:pPr>
              <w:pStyle w:val="Compact"/>
            </w:pPr>
            <w:r>
              <w:t xml:space="preserve">88.49%</w:t>
            </w:r>
          </w:p>
        </w:tc>
        <w:tc>
          <w:tcPr/>
          <w:p>
            <w:pPr>
              <w:pStyle w:val="Compact"/>
            </w:pPr>
            <w:r>
              <w:t xml:space="preserve">−1.51 pp</w:t>
            </w:r>
          </w:p>
        </w:tc>
        <w:tc>
          <w:tcPr/>
          <w:p>
            <w:pPr>
              <w:pStyle w:val="Compact"/>
            </w:pPr>
            <w:r>
              <w:t xml:space="preserve">GREEN</w:t>
            </w:r>
          </w:p>
        </w:tc>
        <w:tc>
          <w:tcPr/>
          <w:p>
            <w:pPr>
              <w:pStyle w:val="Compact"/>
            </w:pPr>
            <w:r>
              <w:t xml:space="preserve">n/a</w:t>
            </w:r>
          </w:p>
        </w:tc>
        <w:tc>
          <w:tcPr/>
          <w:p>
            <w:pPr>
              <w:pStyle w:val="Compact"/>
            </w:pPr>
            <w:r>
              <w:t xml:space="preserve">n/a</w:t>
            </w:r>
          </w:p>
        </w:tc>
        <w:tc>
          <w:tcPr/>
          <w:p>
            <w:pPr>
              <w:pStyle w:val="Compact"/>
            </w:pPr>
            <w:r>
              <w:rPr>
                <w:b/>
                <w:bCs/>
              </w:rPr>
              <w:t xml:space="preserve">GREEN</w:t>
            </w:r>
          </w:p>
        </w:tc>
      </w:tr>
      <w:tr>
        <w:tc>
          <w:tcPr/>
          <w:p>
            <w:pPr>
              <w:pStyle w:val="Compact"/>
            </w:pPr>
            <w:r>
              <w:t xml:space="preserve">Sim (temp)</w:t>
            </w:r>
          </w:p>
        </w:tc>
        <w:tc>
          <w:tcPr/>
          <w:p>
            <w:pPr>
              <w:pStyle w:val="Compact"/>
            </w:pPr>
            <w:r>
              <w:t xml:space="preserve">365</w:t>
            </w:r>
          </w:p>
        </w:tc>
        <w:tc>
          <w:tcPr/>
          <w:p>
            <w:pPr>
              <w:pStyle w:val="Compact"/>
            </w:pPr>
            <w:r>
              <w:t xml:space="preserve">89.59%</w:t>
            </w:r>
          </w:p>
        </w:tc>
        <w:tc>
          <w:tcPr/>
          <w:p>
            <w:pPr>
              <w:pStyle w:val="Compact"/>
            </w:pPr>
            <w:r>
              <w:t xml:space="preserve">−0.41 pp</w:t>
            </w:r>
          </w:p>
        </w:tc>
        <w:tc>
          <w:tcPr/>
          <w:p>
            <w:pPr>
              <w:pStyle w:val="Compact"/>
            </w:pPr>
            <w:r>
              <w:t xml:space="preserve">GREEN</w:t>
            </w:r>
          </w:p>
        </w:tc>
        <w:tc>
          <w:tcPr/>
          <w:p>
            <w:pPr>
              <w:pStyle w:val="Compact"/>
            </w:pPr>
            <w:r>
              <w:t xml:space="preserve">n/a</w:t>
            </w:r>
          </w:p>
        </w:tc>
        <w:tc>
          <w:tcPr/>
          <w:p>
            <w:pPr>
              <w:pStyle w:val="Compact"/>
            </w:pPr>
            <w:r>
              <w:t xml:space="preserve">n/a</w:t>
            </w:r>
          </w:p>
        </w:tc>
        <w:tc>
          <w:tcPr/>
          <w:p>
            <w:pPr>
              <w:pStyle w:val="Compact"/>
            </w:pPr>
            <w:r>
              <w:rPr>
                <w:b/>
                <w:bCs/>
              </w:rPr>
              <w:t xml:space="preserve">GREEN</w:t>
            </w:r>
          </w:p>
        </w:tc>
      </w:tr>
    </w:tbl>
    <w:bookmarkEnd w:id="97"/>
    <w:bookmarkStart w:id="98" w:name="key-cross-dataset-findings"/>
    <w:p>
      <w:pPr>
        <w:pStyle w:val="Heading3"/>
      </w:pPr>
      <w:r>
        <w:t xml:space="preserve">7.2 Key Cross-Dataset Findings</w:t>
      </w:r>
    </w:p>
    <w:p>
      <w:pPr>
        <w:pStyle w:val="FirstParagraph"/>
      </w:pPr>
      <w:r>
        <w:rPr>
          <w:b/>
          <w:bCs/>
        </w:rPr>
        <w:t xml:space="preserve">1. PIT diagnostics fail universally on real data, regardless of coverage.</w:t>
      </w:r>
      <w:r>
        <w:t xml:space="preserve"> </w:t>
      </w:r>
      <w:r>
        <w:t xml:space="preserve">All three real-data models (ENTSO-E, PV, wind) strongly reject PIT</w:t>
      </w:r>
      <w:r>
        <w:t xml:space="preserve"> </w:t>
      </w:r>
      <w:r>
        <w:t xml:space="preserve">uniformity and serial independence. This result is consistent with</w:t>
      </w:r>
      <w:r>
        <w:t xml:space="preserve"> </w:t>
      </w:r>
      <w:r>
        <w:t xml:space="preserve">industry evaluations of probabilistic load forecasts finding systematic</w:t>
      </w:r>
      <w:r>
        <w:t xml:space="preserve"> </w:t>
      </w:r>
      <w:r>
        <w:t xml:space="preserve">PIT non-uniformity even in operationally deployed models (Chen et al., 2024). This holds even for PV, which passes</w:t>
      </w:r>
      <w:r>
        <w:t xml:space="preserve"> </w:t>
      </w:r>
      <w:r>
        <w:t xml:space="preserve">interval backtesting. The implication is that interval-coverage metrics</w:t>
      </w:r>
      <w:r>
        <w:t xml:space="preserve"> </w:t>
      </w:r>
      <w:r>
        <w:t xml:space="preserve">alone are insufficient for governance classification — a model can appear</w:t>
      </w:r>
      <w:r>
        <w:t xml:space="preserve"> </w:t>
      </w:r>
      <w:r>
        <w:t xml:space="preserve">calibrated at the interval level while being systematically misspecified</w:t>
      </w:r>
      <w:r>
        <w:t xml:space="preserve"> </w:t>
      </w:r>
      <w:r>
        <w:t xml:space="preserve">at the distributional level.</w:t>
      </w:r>
    </w:p>
    <w:p>
      <w:pPr>
        <w:pStyle w:val="BodyText"/>
      </w:pPr>
      <w:r>
        <w:rPr>
          <w:b/>
          <w:bCs/>
        </w:rPr>
        <w:t xml:space="preserve">2. The positive control confirms framework discriminative validity.</w:t>
      </w:r>
      <w:r>
        <w:t xml:space="preserve"> </w:t>
      </w:r>
      <w:r>
        <w:t xml:space="preserve">The well-specified simulation model returns GREEN across both series and</w:t>
      </w:r>
      <w:r>
        <w:t xml:space="preserve"> </w:t>
      </w:r>
      <w:r>
        <w:t xml:space="preserve">all interval diagnostics. The framework correctly distinguishes a</w:t>
      </w:r>
      <w:r>
        <w:t xml:space="preserve"> </w:t>
      </w:r>
      <w:r>
        <w:t xml:space="preserve">correctly specified model from miscalibrated ones.</w:t>
      </w:r>
    </w:p>
    <w:p>
      <w:pPr>
        <w:pStyle w:val="BodyText"/>
      </w:pPr>
      <w:r>
        <w:rPr>
          <w:b/>
          <w:bCs/>
        </w:rPr>
        <w:t xml:space="preserve">3. Misspecification scenarios demonstrate targeted failure mode detection.</w:t>
      </w:r>
      <w:r>
        <w:t xml:space="preserve"> </w:t>
      </w:r>
      <w:r>
        <w:t xml:space="preserve">Variance inflation and mean bias are detected strongly and their</w:t>
      </w:r>
      <w:r>
        <w:t xml:space="preserve"> </w:t>
      </w:r>
      <w:r>
        <w:t xml:space="preserve">character (bilateral vs. unilateral) is correctly identified by the</w:t>
      </w:r>
      <w:r>
        <w:t xml:space="preserve"> </w:t>
      </w:r>
      <w:r>
        <w:t xml:space="preserve">traffic-light tail decomposition. Heavy-tail misspecification is not</w:t>
      </w:r>
      <w:r>
        <w:t xml:space="preserve"> </w:t>
      </w:r>
      <w:r>
        <w:t xml:space="preserve">detected at n = 365, exposing a power boundary of the Anfuso interval</w:t>
      </w:r>
      <w:r>
        <w:t xml:space="preserve"> </w:t>
      </w:r>
      <w:r>
        <w:t xml:space="preserve">test at small evaluation sample sizes.</w:t>
      </w:r>
    </w:p>
    <w:p>
      <w:pPr>
        <w:pStyle w:val="BodyText"/>
      </w:pPr>
      <w:r>
        <w:rPr>
          <w:b/>
          <w:bCs/>
        </w:rPr>
        <w:t xml:space="preserve">4. Tail asymmetry is dataset-specific and physically interpretable.</w:t>
      </w:r>
      <w:r>
        <w:t xml:space="preserve"> </w:t>
      </w:r>
      <w:r>
        <w:t xml:space="preserve">ENTSO-E shows bilateral over-breaching; wind shows lower-tail dominance</w:t>
      </w:r>
      <w:r>
        <w:t xml:space="preserve"> </w:t>
      </w:r>
      <w:r>
        <w:t xml:space="preserve">(bounded-below generation); PV passes the interval test entirely. Each</w:t>
      </w:r>
      <w:r>
        <w:t xml:space="preserve"> </w:t>
      </w:r>
      <w:r>
        <w:t xml:space="preserve">pattern is physically motivated by the underlying generation or</w:t>
      </w:r>
      <w:r>
        <w:t xml:space="preserve"> </w:t>
      </w:r>
      <w:r>
        <w:t xml:space="preserve">forecasting process.</w:t>
      </w:r>
    </w:p>
    <w:p>
      <w:pPr>
        <w:pStyle w:val="BodyText"/>
      </w:pPr>
      <w:r>
        <w:rPr>
          <w:b/>
          <w:bCs/>
        </w:rPr>
        <w:t xml:space="preserve">5. Joint dependence between PV and wind is modest but present.</w:t>
      </w:r>
      <w:r>
        <w:t xml:space="preserve"> </w:t>
      </w:r>
      <w:r>
        <w:t xml:space="preserve">Cross-asset PIT residuals show weak contemporaneous negative correlation</w:t>
      </w:r>
      <w:r>
        <w:t xml:space="preserve"> </w:t>
      </w:r>
      <w:r>
        <w:t xml:space="preserve">and meaningful lag-24 positive correlation. For portfolio risk</w:t>
      </w:r>
      <w:r>
        <w:t xml:space="preserve"> </w:t>
      </w:r>
      <w:r>
        <w:t xml:space="preserve">aggregation, ignoring this structure would be conservative in some</w:t>
      </w:r>
      <w:r>
        <w:t xml:space="preserve"> </w:t>
      </w:r>
      <w:r>
        <w:t xml:space="preserve">regimes and non-conservative in others.</w:t>
      </w:r>
    </w:p>
    <w:p>
      <w:pPr>
        <w:pStyle w:val="BodyText"/>
      </w:pPr>
      <w:r>
        <w:rPr>
          <w:b/>
          <w:bCs/>
        </w:rPr>
        <w:t xml:space="preserve">6. Conformal augmentation is motivated by the coverage shortfalls.</w:t>
      </w:r>
      <w:r>
        <w:t xml:space="preserve"> </w:t>
      </w:r>
      <w:r>
        <w:t xml:space="preserve">ENTSO-E (−2.94 pp) and wind (−1.38 pp) both show systematic under-coverage</w:t>
      </w:r>
      <w:r>
        <w:t xml:space="preserve"> </w:t>
      </w:r>
      <w:r>
        <w:t xml:space="preserve">in the base reconstruction. The conformal augmentation layer (Section 5</w:t>
      </w:r>
      <w:r>
        <w:t xml:space="preserve"> </w:t>
      </w:r>
      <w:r>
        <w:t xml:space="preserve">of this chapter, and 04_conformal_wrapping.ipynb) addresses this by</w:t>
      </w:r>
      <w:r>
        <w:t xml:space="preserve"> </w:t>
      </w:r>
      <w:r>
        <w:t xml:space="preserve">expanding base intervals to restore near-nominal coverage guarantees,</w:t>
      </w:r>
      <w:r>
        <w:t xml:space="preserve"> </w:t>
      </w:r>
      <w:r>
        <w:t xml:space="preserve">as demonstrated on the ENTSO-E development sample.</w:t>
      </w:r>
    </w:p>
    <w:p>
      <w:r>
        <w:pict>
          <v:rect style="width:0;height:1.5pt" o:hralign="center" o:hrstd="t" o:hr="t"/>
        </w:pict>
      </w:r>
    </w:p>
    <w:bookmarkEnd w:id="98"/>
    <w:bookmarkEnd w:id="99"/>
    <w:bookmarkStart w:id="100" w:name="conformal-augmentation-results-reference"/>
    <w:p>
      <w:pPr>
        <w:pStyle w:val="Heading2"/>
      </w:pPr>
      <w:r>
        <w:t xml:space="preserve">8. Conformal Augmentation Results (Reference)</w:t>
      </w:r>
    </w:p>
    <w:p>
      <w:pPr>
        <w:pStyle w:val="FirstParagraph"/>
      </w:pPr>
      <w:r>
        <w:rPr>
          <w:i/>
          <w:iCs/>
        </w:rPr>
        <w:t xml:space="preserve">Full conformal results are reported in 04_conformal_wrapping.ipynb.</w:t>
      </w:r>
      <w:r>
        <w:rPr>
          <w:i/>
          <w:iCs/>
        </w:rPr>
        <w:t xml:space="preserve"> </w:t>
      </w:r>
      <w:r>
        <w:rPr>
          <w:i/>
          <w:iCs/>
        </w:rPr>
        <w:t xml:space="preserve">Key finding: base interval + conformal expansion achieves 89.9% empirical</w:t>
      </w:r>
      <w:r>
        <w:rPr>
          <w:i/>
          <w:iCs/>
        </w:rPr>
        <w:t xml:space="preserve"> </w:t>
      </w:r>
      <w:r>
        <w:rPr>
          <w:i/>
          <w:iCs/>
        </w:rPr>
        <w:t xml:space="preserve">coverage against a 90% nominal target on the ENTSO-E development sample</w:t>
      </w:r>
      <w:r>
        <w:rPr>
          <w:i/>
          <w:iCs/>
        </w:rPr>
        <w:t xml:space="preserve"> </w:t>
      </w:r>
      <w:r>
        <w:rPr>
          <w:i/>
          <w:iCs/>
        </w:rPr>
        <w:t xml:space="preserve">(n = 2,544 test observations), with a 12% width increase over the base</w:t>
      </w:r>
      <w:r>
        <w:rPr>
          <w:i/>
          <w:iCs/>
        </w:rPr>
        <w:t xml:space="preserve"> </w:t>
      </w:r>
      <w:r>
        <w:rPr>
          <w:i/>
          <w:iCs/>
        </w:rPr>
        <w:t xml:space="preserve">interval — the best calibration–sharpness trade-off of all methods</w:t>
      </w:r>
      <w:r>
        <w:rPr>
          <w:i/>
          <w:iCs/>
        </w:rPr>
        <w:t xml:space="preserve"> </w:t>
      </w:r>
      <w:r>
        <w:rPr>
          <w:i/>
          <w:iCs/>
        </w:rPr>
        <w:t xml:space="preserve">evaluated. See the notebook for full method comparison at α = 0.1 and</w:t>
      </w:r>
      <w:r>
        <w:rPr>
          <w:i/>
          <w:iCs/>
        </w:rPr>
        <w:t xml:space="preserve"> </w:t>
      </w:r>
      <w:r>
        <w:rPr>
          <w:i/>
          <w:iCs/>
        </w:rPr>
        <w:t xml:space="preserve">α = 0.2.</w:t>
      </w:r>
    </w:p>
    <w:p>
      <w:r>
        <w:pict>
          <v:rect style="width:0;height:1.5pt" o:hralign="center" o:hrstd="t" o:hr="t"/>
        </w:pict>
      </w:r>
    </w:p>
    <w:bookmarkEnd w:id="100"/>
    <w:bookmarkStart w:id="103" w:name="var-sensitivity-analysis-run_006"/>
    <w:p>
      <w:pPr>
        <w:pStyle w:val="Heading2"/>
      </w:pPr>
      <w:r>
        <w:t xml:space="preserve">9. VaR Sensitivity Analysis (run_006)</w:t>
      </w:r>
    </w:p>
    <w:p>
      <w:pPr>
        <w:pStyle w:val="FirstParagraph"/>
      </w:pPr>
      <w:r>
        <w:t xml:space="preserve">Two complementary economic distortion analyses are computed across all</w:t>
      </w:r>
      <w:r>
        <w:t xml:space="preserve"> </w:t>
      </w:r>
      <w:r>
        <w:t xml:space="preserve">model classes and misspecification scenarios, quantifying the practical</w:t>
      </w:r>
      <w:r>
        <w:t xml:space="preserve"> </w:t>
      </w:r>
      <w:r>
        <w:t xml:space="preserve">consequences of miscalibration in terms of regulatory capital and</w:t>
      </w:r>
      <w:r>
        <w:t xml:space="preserve"> </w:t>
      </w:r>
      <w:r>
        <w:t xml:space="preserve">operational reserve sizing.</w:t>
      </w:r>
    </w:p>
    <w:bookmarkStart w:id="101" w:name="capital-multiplier-distortion"/>
    <w:p>
      <w:pPr>
        <w:pStyle w:val="Heading3"/>
      </w:pPr>
      <w:r>
        <w:t xml:space="preserve">9.1 Capital Multiplier Distortion</w:t>
      </w:r>
    </w:p>
    <w:p>
      <w:pPr>
        <w:pStyle w:val="FirstParagraph"/>
      </w:pPr>
      <w:r>
        <w:t xml:space="preserve">The Basel Committee (1996) traffic-light framework maps exception counts</w:t>
      </w:r>
      <w:r>
        <w:t xml:space="preserve"> </w:t>
      </w:r>
      <w:r>
        <w:t xml:space="preserve">in a 250-day evaluation window to capital multiplier zones. Applying this</w:t>
      </w:r>
      <w:r>
        <w:t xml:space="preserve"> </w:t>
      </w:r>
      <w:r>
        <w:t xml:space="preserve">framework at 90% coverage (10% nominal breach rate) requires an adaptation:</w:t>
      </w:r>
      <w:r>
        <w:t xml:space="preserve"> </w:t>
      </w:r>
      <w:r>
        <w:t xml:space="preserve">a perfectly calibrated model already produces 250 × 0.10 = 25 exceptions,</w:t>
      </w:r>
      <w:r>
        <w:t xml:space="preserve"> </w:t>
      </w:r>
      <w:r>
        <w:t xml:space="preserve">far above Basel’s raw RED threshold of 10. The adapted mapping therefore operates on</w:t>
      </w:r>
      <w:r>
        <w:t xml:space="preserve"> </w:t>
      </w:r>
      <w:r>
        <w:rPr>
          <w:i/>
          <w:iCs/>
        </w:rPr>
        <w:t xml:space="preserve">excess exceptions</w:t>
      </w:r>
      <w:r>
        <w:t xml:space="preserve"> </w:t>
      </w:r>
      <w:r>
        <w:t xml:space="preserve">above the</w:t>
      </w:r>
      <w:r>
        <w:t xml:space="preserve"> </w:t>
      </w:r>
      <w:r>
        <w:t xml:space="preserve">nominal expectation of 25, with GREEN defined as ±2 excess, YELLOW as</w:t>
      </w:r>
      <w:r>
        <w:t xml:space="preserve"> </w:t>
      </w:r>
      <w:r>
        <w:t xml:space="preserve">+3 to +8, and RED above +8 — an adaptation of the original Basel zones</w:t>
      </w:r>
      <w:r>
        <w:t xml:space="preserve"> </w:t>
      </w:r>
      <w:r>
        <w:t xml:space="preserve">(Basel Committee, 1996; McNeil, Frey and Embrechts, 2005) to the</w:t>
      </w:r>
      <w:r>
        <w:t xml:space="preserve"> </w:t>
      </w:r>
      <w:r>
        <w:t xml:space="preserve">probabilistic forecasting context.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Gov Label</w:t>
            </w:r>
          </w:p>
        </w:tc>
        <w:tc>
          <w:tcPr/>
          <w:p>
            <w:pPr>
              <w:pStyle w:val="Compact"/>
            </w:pPr>
            <w:r>
              <w:t xml:space="preserve">Adapted Zone</w:t>
            </w:r>
          </w:p>
        </w:tc>
        <w:tc>
          <w:tcPr/>
          <w:p>
            <w:pPr>
              <w:pStyle w:val="Compact"/>
            </w:pPr>
            <w:r>
              <w:t xml:space="preserve">Actual Exc</w:t>
            </w:r>
          </w:p>
        </w:tc>
        <w:tc>
          <w:tcPr/>
          <w:p>
            <w:pPr>
              <w:pStyle w:val="Compact"/>
            </w:pPr>
            <w:r>
              <w:t xml:space="preserve">Excess</w:t>
            </w:r>
          </w:p>
        </w:tc>
        <w:tc>
          <w:tcPr/>
          <w:p>
            <w:pPr>
              <w:pStyle w:val="Compact"/>
            </w:pPr>
            <w:r>
              <w:t xml:space="preserve">Multiplier</w:t>
            </w:r>
          </w:p>
        </w:tc>
        <w:tc>
          <w:tcPr/>
          <w:p>
            <w:pPr>
              <w:pStyle w:val="Compact"/>
            </w:pPr>
            <w:r>
              <w:t xml:space="preserve">Distortion</w:t>
            </w:r>
          </w:p>
        </w:tc>
      </w:tr>
      <w:tr>
        <w:tc>
          <w:tcPr/>
          <w:p>
            <w:pPr>
              <w:pStyle w:val="Compact"/>
            </w:pPr>
            <w:r>
              <w:t xml:space="preserve">ENTSO-E</w:t>
            </w:r>
          </w:p>
        </w:tc>
        <w:tc>
          <w:tcPr/>
          <w:p>
            <w:pPr>
              <w:pStyle w:val="Compact"/>
            </w:pPr>
            <w:r>
              <w:t xml:space="preserve">RED</w:t>
            </w:r>
          </w:p>
        </w:tc>
        <w:tc>
          <w:tcPr/>
          <w:p>
            <w:pPr>
              <w:pStyle w:val="Compact"/>
            </w:pPr>
            <w:r>
              <w:t xml:space="preserve">YELLOW</w:t>
            </w:r>
          </w:p>
        </w:tc>
        <w:tc>
          <w:tcPr/>
          <w:p>
            <w:pPr>
              <w:pStyle w:val="Compact"/>
            </w:pPr>
            <w:r>
              <w:t xml:space="preserve">32.3</w:t>
            </w:r>
          </w:p>
        </w:tc>
        <w:tc>
          <w:tcPr/>
          <w:p>
            <w:pPr>
              <w:pStyle w:val="Compact"/>
            </w:pPr>
            <w:r>
              <w:t xml:space="preserve">+7.3</w:t>
            </w:r>
          </w:p>
        </w:tc>
        <w:tc>
          <w:tcPr/>
          <w:p>
            <w:pPr>
              <w:pStyle w:val="Compact"/>
            </w:pPr>
            <w:r>
              <w:t xml:space="preserve">3.40</w:t>
            </w:r>
          </w:p>
        </w:tc>
        <w:tc>
          <w:tcPr/>
          <w:p>
            <w:pPr>
              <w:pStyle w:val="Compact"/>
            </w:pPr>
            <w:r>
              <w:t xml:space="preserve">+13.3%</w:t>
            </w:r>
          </w:p>
        </w:tc>
      </w:tr>
      <w:tr>
        <w:tc>
          <w:tcPr/>
          <w:p>
            <w:pPr>
              <w:pStyle w:val="Compact"/>
            </w:pPr>
            <w:r>
              <w:t xml:space="preserve">PV Solar</w:t>
            </w:r>
          </w:p>
        </w:tc>
        <w:tc>
          <w:tcPr/>
          <w:p>
            <w:pPr>
              <w:pStyle w:val="Compact"/>
            </w:pPr>
            <w:r>
              <w:t xml:space="preserve">RED</w:t>
            </w:r>
          </w:p>
        </w:tc>
        <w:tc>
          <w:tcPr/>
          <w:p>
            <w:pPr>
              <w:pStyle w:val="Compact"/>
            </w:pPr>
            <w:r>
              <w:t xml:space="preserve">CONSERVATIVE</w:t>
            </w:r>
          </w:p>
        </w:tc>
        <w:tc>
          <w:tcPr/>
          <w:p>
            <w:pPr>
              <w:pStyle w:val="Compact"/>
            </w:pPr>
            <w:r>
              <w:t xml:space="preserve">21.6</w:t>
            </w:r>
          </w:p>
        </w:tc>
        <w:tc>
          <w:tcPr/>
          <w:p>
            <w:pPr>
              <w:pStyle w:val="Compact"/>
            </w:pPr>
            <w:r>
              <w:t xml:space="preserve">−3.4</w:t>
            </w:r>
          </w:p>
        </w:tc>
        <w:tc>
          <w:tcPr/>
          <w:p>
            <w:pPr>
              <w:pStyle w:val="Compact"/>
            </w:pPr>
            <w:r>
              <w:t xml:space="preserve">2.80</w:t>
            </w:r>
          </w:p>
        </w:tc>
        <w:tc>
          <w:tcPr/>
          <w:p>
            <w:pPr>
              <w:pStyle w:val="Compact"/>
            </w:pPr>
            <w:r>
              <w:t xml:space="preserve">−6.7%</w:t>
            </w:r>
          </w:p>
        </w:tc>
      </w:tr>
      <w:tr>
        <w:tc>
          <w:tcPr/>
          <w:p>
            <w:pPr>
              <w:pStyle w:val="Compact"/>
            </w:pPr>
            <w:r>
              <w:t xml:space="preserve">Wind</w:t>
            </w:r>
          </w:p>
        </w:tc>
        <w:tc>
          <w:tcPr/>
          <w:p>
            <w:pPr>
              <w:pStyle w:val="Compact"/>
            </w:pPr>
            <w:r>
              <w:t xml:space="preserve">RED</w:t>
            </w:r>
          </w:p>
        </w:tc>
        <w:tc>
          <w:tcPr/>
          <w:p>
            <w:pPr>
              <w:pStyle w:val="Compact"/>
            </w:pPr>
            <w:r>
              <w:t xml:space="preserve">YELLOW</w:t>
            </w:r>
          </w:p>
        </w:tc>
        <w:tc>
          <w:tcPr/>
          <w:p>
            <w:pPr>
              <w:pStyle w:val="Compact"/>
            </w:pPr>
            <w:r>
              <w:t xml:space="preserve">28.4</w:t>
            </w:r>
          </w:p>
        </w:tc>
        <w:tc>
          <w:tcPr/>
          <w:p>
            <w:pPr>
              <w:pStyle w:val="Compact"/>
            </w:pPr>
            <w:r>
              <w:t xml:space="preserve">+3.4</w:t>
            </w:r>
          </w:p>
        </w:tc>
        <w:tc>
          <w:tcPr/>
          <w:p>
            <w:pPr>
              <w:pStyle w:val="Compact"/>
            </w:pPr>
            <w:r>
              <w:t xml:space="preserve">3.40</w:t>
            </w:r>
          </w:p>
        </w:tc>
        <w:tc>
          <w:tcPr/>
          <w:p>
            <w:pPr>
              <w:pStyle w:val="Compact"/>
            </w:pPr>
            <w:r>
              <w:t xml:space="preserve">+13.3%</w:t>
            </w:r>
          </w:p>
        </w:tc>
      </w:tr>
      <w:tr>
        <w:tc>
          <w:tcPr/>
          <w:p>
            <w:pPr>
              <w:pStyle w:val="Compact"/>
            </w:pPr>
            <w:r>
              <w:t xml:space="preserve">Sim Price (well-spec)</w:t>
            </w:r>
          </w:p>
        </w:tc>
        <w:tc>
          <w:tcPr/>
          <w:p>
            <w:pPr>
              <w:pStyle w:val="Compact"/>
            </w:pPr>
            <w:r>
              <w:t xml:space="preserve">GREEN</w:t>
            </w:r>
          </w:p>
        </w:tc>
        <w:tc>
          <w:tcPr/>
          <w:p>
            <w:pPr>
              <w:pStyle w:val="Compact"/>
            </w:pPr>
            <w:r>
              <w:t xml:space="preserve">YELLOW</w:t>
            </w:r>
          </w:p>
        </w:tc>
        <w:tc>
          <w:tcPr/>
          <w:p>
            <w:pPr>
              <w:pStyle w:val="Compact"/>
            </w:pPr>
            <w:r>
              <w:t xml:space="preserve">28.8</w:t>
            </w:r>
          </w:p>
        </w:tc>
        <w:tc>
          <w:tcPr/>
          <w:p>
            <w:pPr>
              <w:pStyle w:val="Compact"/>
            </w:pPr>
            <w:r>
              <w:t xml:space="preserve">+3.8</w:t>
            </w:r>
          </w:p>
        </w:tc>
        <w:tc>
          <w:tcPr/>
          <w:p>
            <w:pPr>
              <w:pStyle w:val="Compact"/>
            </w:pPr>
            <w:r>
              <w:t xml:space="preserve">3.40</w:t>
            </w:r>
          </w:p>
        </w:tc>
        <w:tc>
          <w:tcPr/>
          <w:p>
            <w:pPr>
              <w:pStyle w:val="Compact"/>
            </w:pPr>
            <w:r>
              <w:t xml:space="preserve">+13.3%</w:t>
            </w:r>
          </w:p>
        </w:tc>
      </w:tr>
      <w:tr>
        <w:tc>
          <w:tcPr/>
          <w:p>
            <w:pPr>
              <w:pStyle w:val="Compact"/>
            </w:pPr>
            <w:r>
              <w:t xml:space="preserve">Sim Temp (well-spec)</w:t>
            </w:r>
          </w:p>
        </w:tc>
        <w:tc>
          <w:tcPr/>
          <w:p>
            <w:pPr>
              <w:pStyle w:val="Compact"/>
            </w:pPr>
            <w:r>
              <w:t xml:space="preserve">GREEN</w:t>
            </w:r>
          </w:p>
        </w:tc>
        <w:tc>
          <w:tcPr/>
          <w:p>
            <w:pPr>
              <w:pStyle w:val="Compact"/>
            </w:pPr>
            <w:r>
              <w:t xml:space="preserve">GREEN</w:t>
            </w:r>
          </w:p>
        </w:tc>
        <w:tc>
          <w:tcPr/>
          <w:p>
            <w:pPr>
              <w:pStyle w:val="Compact"/>
            </w:pPr>
            <w:r>
              <w:t xml:space="preserve">26.0</w:t>
            </w:r>
          </w:p>
        </w:tc>
        <w:tc>
          <w:tcPr/>
          <w:p>
            <w:pPr>
              <w:pStyle w:val="Compact"/>
            </w:pPr>
            <w:r>
              <w:t xml:space="preserve">+1.0</w:t>
            </w:r>
          </w:p>
        </w:tc>
        <w:tc>
          <w:tcPr/>
          <w:p>
            <w:pPr>
              <w:pStyle w:val="Compact"/>
            </w:pPr>
            <w:r>
              <w:t xml:space="preserve">3.00</w:t>
            </w:r>
          </w:p>
        </w:tc>
        <w:tc>
          <w:tcPr/>
          <w:p>
            <w:pPr>
              <w:pStyle w:val="Compact"/>
            </w:pPr>
            <w:r>
              <w:t xml:space="preserve">0.0%</w:t>
            </w:r>
          </w:p>
        </w:tc>
      </w:tr>
      <w:tr>
        <w:tc>
          <w:tcPr/>
          <w:p>
            <w:pPr>
              <w:pStyle w:val="Compact"/>
            </w:pPr>
            <w:r>
              <w:t xml:space="preserve">Sim Price — Var Inflation</w:t>
            </w:r>
          </w:p>
        </w:tc>
        <w:tc>
          <w:tcPr/>
          <w:p>
            <w:pPr>
              <w:pStyle w:val="Compact"/>
            </w:pPr>
            <w:r>
              <w:t xml:space="preserve">RED</w:t>
            </w:r>
          </w:p>
        </w:tc>
        <w:tc>
          <w:tcPr/>
          <w:p>
            <w:pPr>
              <w:pStyle w:val="Compact"/>
            </w:pPr>
            <w:r>
              <w:t xml:space="preserve">RED</w:t>
            </w:r>
          </w:p>
        </w:tc>
        <w:tc>
          <w:tcPr/>
          <w:p>
            <w:pPr>
              <w:pStyle w:val="Compact"/>
            </w:pPr>
            <w:r>
              <w:t xml:space="preserve">111.6</w:t>
            </w:r>
          </w:p>
        </w:tc>
        <w:tc>
          <w:tcPr/>
          <w:p>
            <w:pPr>
              <w:pStyle w:val="Compact"/>
            </w:pPr>
            <w:r>
              <w:t xml:space="preserve">+86.6</w:t>
            </w:r>
          </w:p>
        </w:tc>
        <w:tc>
          <w:tcPr/>
          <w:p>
            <w:pPr>
              <w:pStyle w:val="Compact"/>
            </w:pPr>
            <w:r>
              <w:t xml:space="preserve">4.00</w:t>
            </w:r>
          </w:p>
        </w:tc>
        <w:tc>
          <w:tcPr/>
          <w:p>
            <w:pPr>
              <w:pStyle w:val="Compact"/>
            </w:pPr>
            <w:r>
              <w:t xml:space="preserve">+33.3%</w:t>
            </w:r>
          </w:p>
        </w:tc>
      </w:tr>
      <w:tr>
        <w:tc>
          <w:tcPr/>
          <w:p>
            <w:pPr>
              <w:pStyle w:val="Compact"/>
            </w:pPr>
            <w:r>
              <w:t xml:space="preserve">Sim Price — Mean Bias</w:t>
            </w:r>
          </w:p>
        </w:tc>
        <w:tc>
          <w:tcPr/>
          <w:p>
            <w:pPr>
              <w:pStyle w:val="Compact"/>
            </w:pPr>
            <w:r>
              <w:t xml:space="preserve">RED</w:t>
            </w:r>
          </w:p>
        </w:tc>
        <w:tc>
          <w:tcPr/>
          <w:p>
            <w:pPr>
              <w:pStyle w:val="Compact"/>
            </w:pPr>
            <w:r>
              <w:t xml:space="preserve">RED</w:t>
            </w:r>
          </w:p>
        </w:tc>
        <w:tc>
          <w:tcPr/>
          <w:p>
            <w:pPr>
              <w:pStyle w:val="Compact"/>
            </w:pPr>
            <w:r>
              <w:t xml:space="preserve">74.0</w:t>
            </w:r>
          </w:p>
        </w:tc>
        <w:tc>
          <w:tcPr/>
          <w:p>
            <w:pPr>
              <w:pStyle w:val="Compact"/>
            </w:pPr>
            <w:r>
              <w:t xml:space="preserve">+49.0</w:t>
            </w:r>
          </w:p>
        </w:tc>
        <w:tc>
          <w:tcPr/>
          <w:p>
            <w:pPr>
              <w:pStyle w:val="Compact"/>
            </w:pPr>
            <w:r>
              <w:t xml:space="preserve">4.00</w:t>
            </w:r>
          </w:p>
        </w:tc>
        <w:tc>
          <w:tcPr/>
          <w:p>
            <w:pPr>
              <w:pStyle w:val="Compact"/>
            </w:pPr>
            <w:r>
              <w:t xml:space="preserve">+33.3%</w:t>
            </w:r>
          </w:p>
        </w:tc>
      </w:tr>
      <w:tr>
        <w:tc>
          <w:tcPr/>
          <w:p>
            <w:pPr>
              <w:pStyle w:val="Compact"/>
            </w:pPr>
            <w:r>
              <w:t xml:space="preserve">Sim Price — Heavy Tails</w:t>
            </w:r>
          </w:p>
        </w:tc>
        <w:tc>
          <w:tcPr/>
          <w:p>
            <w:pPr>
              <w:pStyle w:val="Compact"/>
            </w:pPr>
            <w:r>
              <w:t xml:space="preserve">GREEN</w:t>
            </w:r>
          </w:p>
        </w:tc>
        <w:tc>
          <w:tcPr/>
          <w:p>
            <w:pPr>
              <w:pStyle w:val="Compact"/>
            </w:pPr>
            <w:r>
              <w:t xml:space="preserve">GREEN</w:t>
            </w:r>
          </w:p>
        </w:tc>
        <w:tc>
          <w:tcPr/>
          <w:p>
            <w:pPr>
              <w:pStyle w:val="Compact"/>
            </w:pPr>
            <w:r>
              <w:t xml:space="preserve">24.7</w:t>
            </w:r>
          </w:p>
        </w:tc>
        <w:tc>
          <w:tcPr/>
          <w:p>
            <w:pPr>
              <w:pStyle w:val="Compact"/>
            </w:pPr>
            <w:r>
              <w:t xml:space="preserve">−0.3</w:t>
            </w:r>
          </w:p>
        </w:tc>
        <w:tc>
          <w:tcPr/>
          <w:p>
            <w:pPr>
              <w:pStyle w:val="Compact"/>
            </w:pPr>
            <w:r>
              <w:t xml:space="preserve">3.00</w:t>
            </w:r>
          </w:p>
        </w:tc>
        <w:tc>
          <w:tcPr/>
          <w:p>
            <w:pPr>
              <w:pStyle w:val="Compact"/>
            </w:pPr>
            <w:r>
              <w:t xml:space="preserve">0.0%</w:t>
            </w:r>
          </w:p>
        </w:tc>
      </w:tr>
      <w:tr>
        <w:tc>
          <w:tcPr/>
          <w:p>
            <w:pPr>
              <w:pStyle w:val="Compact"/>
            </w:pPr>
            <w:r>
              <w:t xml:space="preserve">Sim Temp — Var Inflation</w:t>
            </w:r>
          </w:p>
        </w:tc>
        <w:tc>
          <w:tcPr/>
          <w:p>
            <w:pPr>
              <w:pStyle w:val="Compact"/>
            </w:pPr>
            <w:r>
              <w:t xml:space="preserve">RED</w:t>
            </w:r>
          </w:p>
        </w:tc>
        <w:tc>
          <w:tcPr/>
          <w:p>
            <w:pPr>
              <w:pStyle w:val="Compact"/>
            </w:pPr>
            <w:r>
              <w:t xml:space="preserve">RED</w:t>
            </w:r>
          </w:p>
        </w:tc>
        <w:tc>
          <w:tcPr/>
          <w:p>
            <w:pPr>
              <w:pStyle w:val="Compact"/>
            </w:pPr>
            <w:r>
              <w:t xml:space="preserve">93.8</w:t>
            </w:r>
          </w:p>
        </w:tc>
        <w:tc>
          <w:tcPr/>
          <w:p>
            <w:pPr>
              <w:pStyle w:val="Compact"/>
            </w:pPr>
            <w:r>
              <w:t xml:space="preserve">+68.8</w:t>
            </w:r>
          </w:p>
        </w:tc>
        <w:tc>
          <w:tcPr/>
          <w:p>
            <w:pPr>
              <w:pStyle w:val="Compact"/>
            </w:pPr>
            <w:r>
              <w:t xml:space="preserve">4.00</w:t>
            </w:r>
          </w:p>
        </w:tc>
        <w:tc>
          <w:tcPr/>
          <w:p>
            <w:pPr>
              <w:pStyle w:val="Compact"/>
            </w:pPr>
            <w:r>
              <w:t xml:space="preserve">+33.3%</w:t>
            </w:r>
          </w:p>
        </w:tc>
      </w:tr>
      <w:tr>
        <w:tc>
          <w:tcPr/>
          <w:p>
            <w:pPr>
              <w:pStyle w:val="Compact"/>
            </w:pPr>
            <w:r>
              <w:t xml:space="preserve">Sim Temp — Mean Bias</w:t>
            </w:r>
          </w:p>
        </w:tc>
        <w:tc>
          <w:tcPr/>
          <w:p>
            <w:pPr>
              <w:pStyle w:val="Compact"/>
            </w:pPr>
            <w:r>
              <w:t xml:space="preserve">RED</w:t>
            </w:r>
          </w:p>
        </w:tc>
        <w:tc>
          <w:tcPr/>
          <w:p>
            <w:pPr>
              <w:pStyle w:val="Compact"/>
            </w:pPr>
            <w:r>
              <w:t xml:space="preserve">RED</w:t>
            </w:r>
          </w:p>
        </w:tc>
        <w:tc>
          <w:tcPr/>
          <w:p>
            <w:pPr>
              <w:pStyle w:val="Compact"/>
            </w:pPr>
            <w:r>
              <w:t xml:space="preserve">74.0</w:t>
            </w:r>
          </w:p>
        </w:tc>
        <w:tc>
          <w:tcPr/>
          <w:p>
            <w:pPr>
              <w:pStyle w:val="Compact"/>
            </w:pPr>
            <w:r>
              <w:t xml:space="preserve">+49.0</w:t>
            </w:r>
          </w:p>
        </w:tc>
        <w:tc>
          <w:tcPr/>
          <w:p>
            <w:pPr>
              <w:pStyle w:val="Compact"/>
            </w:pPr>
            <w:r>
              <w:t xml:space="preserve">4.00</w:t>
            </w:r>
          </w:p>
        </w:tc>
        <w:tc>
          <w:tcPr/>
          <w:p>
            <w:pPr>
              <w:pStyle w:val="Compact"/>
            </w:pPr>
            <w:r>
              <w:t xml:space="preserve">+33.3%</w:t>
            </w:r>
          </w:p>
        </w:tc>
      </w:tr>
      <w:tr>
        <w:tc>
          <w:tcPr/>
          <w:p>
            <w:pPr>
              <w:pStyle w:val="Compact"/>
            </w:pPr>
            <w:r>
              <w:t xml:space="preserve">Sim Temp — Heavy Tails</w:t>
            </w:r>
          </w:p>
        </w:tc>
        <w:tc>
          <w:tcPr/>
          <w:p>
            <w:pPr>
              <w:pStyle w:val="Compact"/>
            </w:pPr>
            <w:r>
              <w:t xml:space="preserve">YELLOW</w:t>
            </w:r>
          </w:p>
        </w:tc>
        <w:tc>
          <w:tcPr/>
          <w:p>
            <w:pPr>
              <w:pStyle w:val="Compact"/>
            </w:pPr>
            <w:r>
              <w:t xml:space="preserve">CONSERVATIVE</w:t>
            </w:r>
          </w:p>
        </w:tc>
        <w:tc>
          <w:tcPr/>
          <w:p>
            <w:pPr>
              <w:pStyle w:val="Compact"/>
            </w:pPr>
            <w:r>
              <w:t xml:space="preserve">19.2</w:t>
            </w:r>
          </w:p>
        </w:tc>
        <w:tc>
          <w:tcPr/>
          <w:p>
            <w:pPr>
              <w:pStyle w:val="Compact"/>
            </w:pPr>
            <w:r>
              <w:t xml:space="preserve">−5.8</w:t>
            </w:r>
          </w:p>
        </w:tc>
        <w:tc>
          <w:tcPr/>
          <w:p>
            <w:pPr>
              <w:pStyle w:val="Compact"/>
            </w:pPr>
            <w:r>
              <w:t xml:space="preserve">2.80</w:t>
            </w:r>
          </w:p>
        </w:tc>
        <w:tc>
          <w:tcPr/>
          <w:p>
            <w:pPr>
              <w:pStyle w:val="Compact"/>
            </w:pPr>
            <w:r>
              <w:t xml:space="preserve">−6.7%</w:t>
            </w:r>
          </w:p>
        </w:tc>
      </w:tr>
    </w:tbl>
    <w:p>
      <w:pPr>
        <w:pStyle w:val="BodyText"/>
      </w:pPr>
      <w:r>
        <w:rPr>
          <w:b/>
          <w:bCs/>
        </w:rPr>
        <w:t xml:space="preserve">Key finding — PV divergence.</w:t>
      </w:r>
      <w:r>
        <w:t xml:space="preserve"> </w:t>
      </w:r>
      <w:r>
        <w:t xml:space="preserve">PV Solar receives a governance RED</w:t>
      </w:r>
      <w:r>
        <w:t xml:space="preserve"> </w:t>
      </w:r>
      <w:r>
        <w:t xml:space="preserve">classification under the full diagnostic framework but maps to CONSERVATIVE</w:t>
      </w:r>
      <w:r>
        <w:t xml:space="preserve"> </w:t>
      </w:r>
      <w:r>
        <w:t xml:space="preserve">under the capital multiplier analysis (−6.7% distortion). This divergence</w:t>
      </w:r>
      <w:r>
        <w:t xml:space="preserve"> </w:t>
      </w:r>
      <w:r>
        <w:t xml:space="preserve">arises because PV’s empirical coverage is 91.4% — above nominal — making</w:t>
      </w:r>
      <w:r>
        <w:t xml:space="preserve"> </w:t>
      </w:r>
      <w:r>
        <w:t xml:space="preserve">it appear over-conservative to a coverage-only regulatory framework. A</w:t>
      </w:r>
      <w:r>
        <w:t xml:space="preserve"> </w:t>
      </w:r>
      <w:r>
        <w:t xml:space="preserve">pure coverage-based regime would reduce capital requirements for PV, while</w:t>
      </w:r>
      <w:r>
        <w:t xml:space="preserve"> </w:t>
      </w:r>
      <w:r>
        <w:t xml:space="preserve">the full diagnostic framework correctly identifies systematic distributional</w:t>
      </w:r>
      <w:r>
        <w:t xml:space="preserve"> </w:t>
      </w:r>
      <w:r>
        <w:t xml:space="preserve">misspecification and serial dependence. This is the clearest empirical</w:t>
      </w:r>
      <w:r>
        <w:t xml:space="preserve"> </w:t>
      </w:r>
      <w:r>
        <w:t xml:space="preserve">demonstration that coverage metrics alone are insufficient for governance</w:t>
      </w:r>
      <w:r>
        <w:t xml:space="preserve"> </w:t>
      </w:r>
      <w:r>
        <w:t xml:space="preserve">classification.</w:t>
      </w:r>
    </w:p>
    <w:p>
      <w:pPr>
        <w:pStyle w:val="BodyText"/>
      </w:pPr>
      <w:r>
        <w:rPr>
          <w:b/>
          <w:bCs/>
        </w:rPr>
        <w:t xml:space="preserve">Sampling noise at small n.</w:t>
      </w:r>
      <w:r>
        <w:t xml:space="preserve"> </w:t>
      </w:r>
      <w:r>
        <w:t xml:space="preserve">The well-specified simulation price series</w:t>
      </w:r>
      <w:r>
        <w:t xml:space="preserve"> </w:t>
      </w:r>
      <w:r>
        <w:t xml:space="preserve">(governance GREEN) lands in the YELLOW capital zone (+3.8 excess) due to</w:t>
      </w:r>
      <w:r>
        <w:t xml:space="preserve"> </w:t>
      </w:r>
      <w:r>
        <w:t xml:space="preserve">sampling noise at n = 365. The temperature series (GREEN, +1.0 excess)</w:t>
      </w:r>
      <w:r>
        <w:t xml:space="preserve"> </w:t>
      </w:r>
      <w:r>
        <w:t xml:space="preserve">correctly maps to GREEN. This confirms that capital zone stability is</w:t>
      </w:r>
      <w:r>
        <w:t xml:space="preserve"> </w:t>
      </w:r>
      <w:r>
        <w:t xml:space="preserve">sensitive to evaluation sample size at the margins — a governance policy</w:t>
      </w:r>
      <w:r>
        <w:t xml:space="preserve"> </w:t>
      </w:r>
      <w:r>
        <w:t xml:space="preserve">implication for short evaluation horizons.</w:t>
      </w:r>
    </w:p>
    <w:p>
      <w:pPr>
        <w:pStyle w:val="BodyText"/>
      </w:pPr>
      <w:r>
        <w:rPr>
          <w:b/>
          <w:bCs/>
        </w:rPr>
        <w:t xml:space="preserve">Misspecification severity is proportional.</w:t>
      </w:r>
      <w:r>
        <w:t xml:space="preserve"> </w:t>
      </w:r>
      <w:r>
        <w:t xml:space="preserve">Variance inflation produces</w:t>
      </w:r>
      <w:r>
        <w:t xml:space="preserve"> </w:t>
      </w:r>
      <w:r>
        <w:t xml:space="preserve">excess exceptions of +86.6 / +68.8 (price / temp), approximately 1.8×</w:t>
      </w:r>
      <w:r>
        <w:t xml:space="preserve"> </w:t>
      </w:r>
      <w:r>
        <w:t xml:space="preserve">worse than mean bias (+49.0 for both). This ordering is consistent with</w:t>
      </w:r>
      <w:r>
        <w:t xml:space="preserve"> </w:t>
      </w:r>
      <w:r>
        <w:t xml:space="preserve">the reserve sizing error results below.</w:t>
      </w:r>
    </w:p>
    <w:p>
      <w:r>
        <w:pict>
          <v:rect style="width:0;height:1.5pt" o:hralign="center" o:hrstd="t" o:hr="t"/>
        </w:pict>
      </w:r>
    </w:p>
    <w:bookmarkEnd w:id="101"/>
    <w:bookmarkStart w:id="102" w:name="operational-reserve-sizing-error"/>
    <w:p>
      <w:pPr>
        <w:pStyle w:val="Heading3"/>
      </w:pPr>
      <w:r>
        <w:t xml:space="preserve">9.2 Operational Reserve Sizing Error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Gov Label</w:t>
            </w:r>
          </w:p>
        </w:tc>
        <w:tc>
          <w:tcPr/>
          <w:p>
            <w:pPr>
              <w:pStyle w:val="Compact"/>
            </w:pPr>
            <w:r>
              <w:t xml:space="preserve">Coverage Error</w:t>
            </w:r>
          </w:p>
        </w:tc>
        <w:tc>
          <w:tcPr/>
          <w:p>
            <w:pPr>
              <w:pStyle w:val="Compact"/>
            </w:pPr>
            <w:r>
              <w:t xml:space="preserve">Reserve Direction</w:t>
            </w:r>
          </w:p>
        </w:tc>
      </w:tr>
      <w:tr>
        <w:tc>
          <w:tcPr/>
          <w:p>
            <w:pPr>
              <w:pStyle w:val="Compact"/>
            </w:pPr>
            <w:r>
              <w:t xml:space="preserve">ENTSO-E</w:t>
            </w:r>
          </w:p>
        </w:tc>
        <w:tc>
          <w:tcPr/>
          <w:p>
            <w:pPr>
              <w:pStyle w:val="Compact"/>
            </w:pPr>
            <w:r>
              <w:t xml:space="preserve">RED</w:t>
            </w:r>
          </w:p>
        </w:tc>
        <w:tc>
          <w:tcPr/>
          <w:p>
            <w:pPr>
              <w:pStyle w:val="Compact"/>
            </w:pPr>
            <w:r>
              <w:t xml:space="preserve">−2.94 pp</w:t>
            </w:r>
          </w:p>
        </w:tc>
        <w:tc>
          <w:tcPr/>
          <w:p>
            <w:pPr>
              <w:pStyle w:val="Compact"/>
            </w:pPr>
            <w:r>
              <w:t xml:space="preserve">Undersized</w:t>
            </w:r>
          </w:p>
        </w:tc>
      </w:tr>
      <w:tr>
        <w:tc>
          <w:tcPr/>
          <w:p>
            <w:pPr>
              <w:pStyle w:val="Compact"/>
            </w:pPr>
            <w:r>
              <w:t xml:space="preserve">PV Solar</w:t>
            </w:r>
          </w:p>
        </w:tc>
        <w:tc>
          <w:tcPr/>
          <w:p>
            <w:pPr>
              <w:pStyle w:val="Compact"/>
            </w:pPr>
            <w:r>
              <w:t xml:space="preserve">RED</w:t>
            </w:r>
          </w:p>
        </w:tc>
        <w:tc>
          <w:tcPr/>
          <w:p>
            <w:pPr>
              <w:pStyle w:val="Compact"/>
            </w:pPr>
            <w:r>
              <w:t xml:space="preserve">+1.37 pp</w:t>
            </w:r>
          </w:p>
        </w:tc>
        <w:tc>
          <w:tcPr/>
          <w:p>
            <w:pPr>
              <w:pStyle w:val="Compact"/>
            </w:pPr>
            <w:r>
              <w:t xml:space="preserve">Oversized</w:t>
            </w:r>
          </w:p>
        </w:tc>
      </w:tr>
      <w:tr>
        <w:tc>
          <w:tcPr/>
          <w:p>
            <w:pPr>
              <w:pStyle w:val="Compact"/>
            </w:pPr>
            <w:r>
              <w:t xml:space="preserve">Wind</w:t>
            </w:r>
          </w:p>
        </w:tc>
        <w:tc>
          <w:tcPr/>
          <w:p>
            <w:pPr>
              <w:pStyle w:val="Compact"/>
            </w:pPr>
            <w:r>
              <w:t xml:space="preserve">RED</w:t>
            </w:r>
          </w:p>
        </w:tc>
        <w:tc>
          <w:tcPr/>
          <w:p>
            <w:pPr>
              <w:pStyle w:val="Compact"/>
            </w:pPr>
            <w:r>
              <w:t xml:space="preserve">−1.38 pp</w:t>
            </w:r>
          </w:p>
        </w:tc>
        <w:tc>
          <w:tcPr/>
          <w:p>
            <w:pPr>
              <w:pStyle w:val="Compact"/>
            </w:pPr>
            <w:r>
              <w:t xml:space="preserve">Undersized</w:t>
            </w:r>
          </w:p>
        </w:tc>
      </w:tr>
      <w:tr>
        <w:tc>
          <w:tcPr/>
          <w:p>
            <w:pPr>
              <w:pStyle w:val="Compact"/>
            </w:pPr>
            <w:r>
              <w:t xml:space="preserve">Sim Price (well-spec)</w:t>
            </w:r>
          </w:p>
        </w:tc>
        <w:tc>
          <w:tcPr/>
          <w:p>
            <w:pPr>
              <w:pStyle w:val="Compact"/>
            </w:pPr>
            <w:r>
              <w:t xml:space="preserve">GREEN</w:t>
            </w:r>
          </w:p>
        </w:tc>
        <w:tc>
          <w:tcPr/>
          <w:p>
            <w:pPr>
              <w:pStyle w:val="Compact"/>
            </w:pPr>
            <w:r>
              <w:t xml:space="preserve">−1.51 pp</w:t>
            </w:r>
          </w:p>
        </w:tc>
        <w:tc>
          <w:tcPr/>
          <w:p>
            <w:pPr>
              <w:pStyle w:val="Compact"/>
            </w:pPr>
            <w:r>
              <w:t xml:space="preserve">Undersized</w:t>
            </w:r>
          </w:p>
        </w:tc>
      </w:tr>
      <w:tr>
        <w:tc>
          <w:tcPr/>
          <w:p>
            <w:pPr>
              <w:pStyle w:val="Compact"/>
            </w:pPr>
            <w:r>
              <w:t xml:space="preserve">Sim Temp (well-spec)</w:t>
            </w:r>
          </w:p>
        </w:tc>
        <w:tc>
          <w:tcPr/>
          <w:p>
            <w:pPr>
              <w:pStyle w:val="Compact"/>
            </w:pPr>
            <w:r>
              <w:t xml:space="preserve">GREEN</w:t>
            </w:r>
          </w:p>
        </w:tc>
        <w:tc>
          <w:tcPr/>
          <w:p>
            <w:pPr>
              <w:pStyle w:val="Compact"/>
            </w:pPr>
            <w:r>
              <w:t xml:space="preserve">−0.41 pp</w:t>
            </w:r>
          </w:p>
        </w:tc>
        <w:tc>
          <w:tcPr/>
          <w:p>
            <w:pPr>
              <w:pStyle w:val="Compact"/>
            </w:pPr>
            <w:r>
              <w:t xml:space="preserve">Undersized</w:t>
            </w:r>
          </w:p>
        </w:tc>
      </w:tr>
      <w:tr>
        <w:tc>
          <w:tcPr/>
          <w:p>
            <w:pPr>
              <w:pStyle w:val="Compact"/>
            </w:pPr>
            <w:r>
              <w:t xml:space="preserve">Sim Price — Var Inflation</w:t>
            </w:r>
          </w:p>
        </w:tc>
        <w:tc>
          <w:tcPr/>
          <w:p>
            <w:pPr>
              <w:pStyle w:val="Compact"/>
            </w:pPr>
            <w:r>
              <w:t xml:space="preserve">RED</w:t>
            </w:r>
          </w:p>
        </w:tc>
        <w:tc>
          <w:tcPr/>
          <w:p>
            <w:pPr>
              <w:pStyle w:val="Compact"/>
            </w:pPr>
            <w:r>
              <w:t xml:space="preserve">−34.66 pp</w:t>
            </w:r>
          </w:p>
        </w:tc>
        <w:tc>
          <w:tcPr/>
          <w:p>
            <w:pPr>
              <w:pStyle w:val="Compact"/>
            </w:pPr>
            <w:r>
              <w:t xml:space="preserve">Undersized</w:t>
            </w:r>
          </w:p>
        </w:tc>
      </w:tr>
      <w:tr>
        <w:tc>
          <w:tcPr/>
          <w:p>
            <w:pPr>
              <w:pStyle w:val="Compact"/>
            </w:pPr>
            <w:r>
              <w:t xml:space="preserve">Sim Price — Mean Bias</w:t>
            </w:r>
          </w:p>
        </w:tc>
        <w:tc>
          <w:tcPr/>
          <w:p>
            <w:pPr>
              <w:pStyle w:val="Compact"/>
            </w:pPr>
            <w:r>
              <w:t xml:space="preserve">RED</w:t>
            </w:r>
          </w:p>
        </w:tc>
        <w:tc>
          <w:tcPr/>
          <w:p>
            <w:pPr>
              <w:pStyle w:val="Compact"/>
            </w:pPr>
            <w:r>
              <w:t xml:space="preserve">−19.59 pp</w:t>
            </w:r>
          </w:p>
        </w:tc>
        <w:tc>
          <w:tcPr/>
          <w:p>
            <w:pPr>
              <w:pStyle w:val="Compact"/>
            </w:pPr>
            <w:r>
              <w:t xml:space="preserve">Undersized</w:t>
            </w:r>
          </w:p>
        </w:tc>
      </w:tr>
      <w:tr>
        <w:tc>
          <w:tcPr/>
          <w:p>
            <w:pPr>
              <w:pStyle w:val="Compact"/>
            </w:pPr>
            <w:r>
              <w:t xml:space="preserve">Sim Price — Heavy Tails</w:t>
            </w:r>
          </w:p>
        </w:tc>
        <w:tc>
          <w:tcPr/>
          <w:p>
            <w:pPr>
              <w:pStyle w:val="Compact"/>
            </w:pPr>
            <w:r>
              <w:t xml:space="preserve">GREEN</w:t>
            </w:r>
          </w:p>
        </w:tc>
        <w:tc>
          <w:tcPr/>
          <w:p>
            <w:pPr>
              <w:pStyle w:val="Compact"/>
            </w:pPr>
            <w:r>
              <w:t xml:space="preserve">+0.14 pp</w:t>
            </w:r>
          </w:p>
        </w:tc>
        <w:tc>
          <w:tcPr/>
          <w:p>
            <w:pPr>
              <w:pStyle w:val="Compact"/>
            </w:pPr>
            <w:r>
              <w:t xml:space="preserve">Oversized</w:t>
            </w:r>
          </w:p>
        </w:tc>
      </w:tr>
      <w:tr>
        <w:tc>
          <w:tcPr/>
          <w:p>
            <w:pPr>
              <w:pStyle w:val="Compact"/>
            </w:pPr>
            <w:r>
              <w:t xml:space="preserve">Sim Temp — Var Inflation</w:t>
            </w:r>
          </w:p>
        </w:tc>
        <w:tc>
          <w:tcPr/>
          <w:p>
            <w:pPr>
              <w:pStyle w:val="Compact"/>
            </w:pPr>
            <w:r>
              <w:t xml:space="preserve">RED</w:t>
            </w:r>
          </w:p>
        </w:tc>
        <w:tc>
          <w:tcPr/>
          <w:p>
            <w:pPr>
              <w:pStyle w:val="Compact"/>
            </w:pPr>
            <w:r>
              <w:t xml:space="preserve">−27.53 pp</w:t>
            </w:r>
          </w:p>
        </w:tc>
        <w:tc>
          <w:tcPr/>
          <w:p>
            <w:pPr>
              <w:pStyle w:val="Compact"/>
            </w:pPr>
            <w:r>
              <w:t xml:space="preserve">Undersized</w:t>
            </w:r>
          </w:p>
        </w:tc>
      </w:tr>
      <w:tr>
        <w:tc>
          <w:tcPr/>
          <w:p>
            <w:pPr>
              <w:pStyle w:val="Compact"/>
            </w:pPr>
            <w:r>
              <w:t xml:space="preserve">Sim Temp — Mean Bias</w:t>
            </w:r>
          </w:p>
        </w:tc>
        <w:tc>
          <w:tcPr/>
          <w:p>
            <w:pPr>
              <w:pStyle w:val="Compact"/>
            </w:pPr>
            <w:r>
              <w:t xml:space="preserve">RED</w:t>
            </w:r>
          </w:p>
        </w:tc>
        <w:tc>
          <w:tcPr/>
          <w:p>
            <w:pPr>
              <w:pStyle w:val="Compact"/>
            </w:pPr>
            <w:r>
              <w:t xml:space="preserve">−19.59 pp</w:t>
            </w:r>
          </w:p>
        </w:tc>
        <w:tc>
          <w:tcPr/>
          <w:p>
            <w:pPr>
              <w:pStyle w:val="Compact"/>
            </w:pPr>
            <w:r>
              <w:t xml:space="preserve">Undersized</w:t>
            </w:r>
          </w:p>
        </w:tc>
      </w:tr>
      <w:tr>
        <w:tc>
          <w:tcPr/>
          <w:p>
            <w:pPr>
              <w:pStyle w:val="Compact"/>
            </w:pPr>
            <w:r>
              <w:t xml:space="preserve">Sim Temp — Heavy Tails</w:t>
            </w:r>
          </w:p>
        </w:tc>
        <w:tc>
          <w:tcPr/>
          <w:p>
            <w:pPr>
              <w:pStyle w:val="Compact"/>
            </w:pPr>
            <w:r>
              <w:t xml:space="preserve">YELLOW</w:t>
            </w:r>
          </w:p>
        </w:tc>
        <w:tc>
          <w:tcPr/>
          <w:p>
            <w:pPr>
              <w:pStyle w:val="Compact"/>
            </w:pPr>
            <w:r>
              <w:t xml:space="preserve">+2.33 pp</w:t>
            </w:r>
          </w:p>
        </w:tc>
        <w:tc>
          <w:tcPr/>
          <w:p>
            <w:pPr>
              <w:pStyle w:val="Compact"/>
            </w:pPr>
            <w:r>
              <w:t xml:space="preserve">Oversized</w:t>
            </w:r>
          </w:p>
        </w:tc>
      </w:tr>
    </w:tbl>
    <w:p>
      <w:pPr>
        <w:pStyle w:val="BodyText"/>
      </w:pPr>
      <w:r>
        <w:t xml:space="preserve">ENTSO-E and wind produce undersized reserves (−2.94 pp and −1.38 pp</w:t>
      </w:r>
      <w:r>
        <w:t xml:space="preserve"> </w:t>
      </w:r>
      <w:r>
        <w:t xml:space="preserve">respectively), meaning that operational reserves sized from these models’</w:t>
      </w:r>
      <w:r>
        <w:t xml:space="preserve"> </w:t>
      </w:r>
      <w:r>
        <w:t xml:space="preserve">90% intervals would be systematically insufficient. For a grid operator</w:t>
      </w:r>
      <w:r>
        <w:t xml:space="preserve"> </w:t>
      </w:r>
      <w:r>
        <w:t xml:space="preserve">relying on wind generation intervals to size balancing reserves, a −1.38 pp</w:t>
      </w:r>
      <w:r>
        <w:t xml:space="preserve"> </w:t>
      </w:r>
      <w:r>
        <w:t xml:space="preserve">shortfall corresponds to roughly 1 in 7 hours being outside the reserved</w:t>
      </w:r>
      <w:r>
        <w:t xml:space="preserve"> </w:t>
      </w:r>
      <w:r>
        <w:t xml:space="preserve">range rather than the intended 1 in 10.</w:t>
      </w:r>
    </w:p>
    <w:p>
      <w:pPr>
        <w:pStyle w:val="BodyText"/>
      </w:pPr>
      <w:r>
        <w:t xml:space="preserve">PV produces oversized reserves (+1.37 pp) — a conservative error that</w:t>
      </w:r>
      <w:r>
        <w:t xml:space="preserve"> </w:t>
      </w:r>
      <w:r>
        <w:t xml:space="preserve">wastes reserve capacity but does not create shortfall risk. The governance</w:t>
      </w:r>
      <w:r>
        <w:t xml:space="preserve"> </w:t>
      </w:r>
      <w:r>
        <w:t xml:space="preserve">RED classification for PV therefore reflects distributional shape failure</w:t>
      </w:r>
      <w:r>
        <w:t xml:space="preserve"> </w:t>
      </w:r>
      <w:r>
        <w:t xml:space="preserve">rather than operational risk in the conventional reserve-sizing sense.</w:t>
      </w:r>
    </w:p>
    <w:p>
      <w:pPr>
        <w:pStyle w:val="BodyText"/>
      </w:pPr>
      <w:r>
        <w:t xml:space="preserve">The misspecification scenarios illustrate the magnitude of economic</w:t>
      </w:r>
      <w:r>
        <w:t xml:space="preserve"> </w:t>
      </w:r>
      <w:r>
        <w:t xml:space="preserve">distortion under severe miscalibration: variance inflation produces reserve</w:t>
      </w:r>
      <w:r>
        <w:t xml:space="preserve"> </w:t>
      </w:r>
      <w:r>
        <w:t xml:space="preserve">undersizing of 27–35 pp, meaning reserves would need to be 2.7–3.5×</w:t>
      </w:r>
      <w:r>
        <w:t xml:space="preserve"> </w:t>
      </w:r>
      <w:r>
        <w:t xml:space="preserve">larger than modelled to achieve the intended coverage. Mean bias produces</w:t>
      </w:r>
      <w:r>
        <w:t xml:space="preserve"> </w:t>
      </w:r>
      <w:r>
        <w:t xml:space="preserve">undersizing of ~20 pp, with the entire shortfall concentrated on one tail.</w:t>
      </w:r>
    </w:p>
    <w:p>
      <w:r>
        <w:pict>
          <v:rect style="width:0;height:1.5pt" o:hralign="center" o:hrstd="t" o:hr="t"/>
        </w:pict>
      </w:r>
    </w:p>
    <w:bookmarkEnd w:id="102"/>
    <w:bookmarkEnd w:id="103"/>
    <w:bookmarkStart w:id="107" w:name="traffic-light-stability-analysis-run_007"/>
    <w:p>
      <w:pPr>
        <w:pStyle w:val="Heading2"/>
      </w:pPr>
      <w:r>
        <w:t xml:space="preserve">10. Traffic-Light Stability Analysis (run_007)</w:t>
      </w:r>
    </w:p>
    <w:bookmarkStart w:id="104" w:name="real-data-models-absorbing-red-states"/>
    <w:p>
      <w:pPr>
        <w:pStyle w:val="Heading3"/>
      </w:pPr>
      <w:r>
        <w:t xml:space="preserve">10.1 Real-Data Models — Absorbing RED States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Scheme</w:t>
            </w:r>
          </w:p>
        </w:tc>
        <w:tc>
          <w:tcPr/>
          <w:p>
            <w:pPr>
              <w:pStyle w:val="Compact"/>
            </w:pPr>
            <w:r>
              <w:t xml:space="preserve">n Windows</w:t>
            </w:r>
          </w:p>
        </w:tc>
        <w:tc>
          <w:tcPr/>
          <w:p>
            <w:pPr>
              <w:pStyle w:val="Compact"/>
            </w:pPr>
            <w:r>
              <w:t xml:space="preserve">% RED</w:t>
            </w:r>
          </w:p>
        </w:tc>
        <w:tc>
          <w:tcPr/>
          <w:p>
            <w:pPr>
              <w:pStyle w:val="Compact"/>
            </w:pPr>
            <w:r>
              <w:t xml:space="preserve">T_RR</w:t>
            </w:r>
          </w:p>
        </w:tc>
        <w:tc>
          <w:tcPr/>
          <w:p>
            <w:pPr>
              <w:pStyle w:val="Compact"/>
            </w:pPr>
            <w:r>
              <w:t xml:space="preserve">H (bits)</w:t>
            </w:r>
          </w:p>
        </w:tc>
        <w:tc>
          <w:tcPr/>
          <w:p>
            <w:pPr>
              <w:pStyle w:val="Compact"/>
            </w:pPr>
            <w:r>
              <w:t xml:space="preserve">Stability</w:t>
            </w:r>
          </w:p>
        </w:tc>
      </w:tr>
      <w:tr>
        <w:tc>
          <w:tcPr/>
          <w:p>
            <w:pPr>
              <w:pStyle w:val="Compact"/>
            </w:pPr>
            <w:r>
              <w:t xml:space="preserve">ENTSO-E</w:t>
            </w:r>
          </w:p>
        </w:tc>
        <w:tc>
          <w:tcPr/>
          <w:p>
            <w:pPr>
              <w:pStyle w:val="Compact"/>
            </w:pPr>
            <w:r>
              <w:t xml:space="preserve">Non-overlapping</w:t>
            </w:r>
          </w:p>
        </w:tc>
        <w:tc>
          <w:tcPr/>
          <w:p>
            <w:pPr>
              <w:pStyle w:val="Compact"/>
            </w:pPr>
            <w:r>
              <w:t xml:space="preserve">838</w:t>
            </w:r>
          </w:p>
        </w:tc>
        <w:tc>
          <w:tcPr/>
          <w:p>
            <w:pPr>
              <w:pStyle w:val="Compact"/>
            </w:pPr>
            <w:r>
              <w:t xml:space="preserve">100%</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ENTSO-E</w:t>
            </w:r>
          </w:p>
        </w:tc>
        <w:tc>
          <w:tcPr/>
          <w:p>
            <w:pPr>
              <w:pStyle w:val="Compact"/>
            </w:pPr>
            <w:r>
              <w:t xml:space="preserve">Overlapping</w:t>
            </w:r>
          </w:p>
        </w:tc>
        <w:tc>
          <w:tcPr/>
          <w:p>
            <w:pPr>
              <w:pStyle w:val="Compact"/>
            </w:pPr>
            <w:r>
              <w:t xml:space="preserve">4,187</w:t>
            </w:r>
          </w:p>
        </w:tc>
        <w:tc>
          <w:tcPr/>
          <w:p>
            <w:pPr>
              <w:pStyle w:val="Compact"/>
            </w:pPr>
            <w:r>
              <w:t xml:space="preserve">100%</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PV Solar</w:t>
            </w:r>
          </w:p>
        </w:tc>
        <w:tc>
          <w:tcPr/>
          <w:p>
            <w:pPr>
              <w:pStyle w:val="Compact"/>
            </w:pPr>
            <w:r>
              <w:t xml:space="preserve">Non-overlapping</w:t>
            </w:r>
          </w:p>
        </w:tc>
        <w:tc>
          <w:tcPr/>
          <w:p>
            <w:pPr>
              <w:pStyle w:val="Compact"/>
            </w:pPr>
            <w:r>
              <w:t xml:space="preserve">5</w:t>
            </w:r>
          </w:p>
        </w:tc>
        <w:tc>
          <w:tcPr/>
          <w:p>
            <w:pPr>
              <w:pStyle w:val="Compact"/>
            </w:pPr>
            <w:r>
              <w:t xml:space="preserve">100%</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Wind</w:t>
            </w:r>
          </w:p>
        </w:tc>
        <w:tc>
          <w:tcPr/>
          <w:p>
            <w:pPr>
              <w:pStyle w:val="Compact"/>
            </w:pPr>
            <w:r>
              <w:t xml:space="preserve">Non-overlapping</w:t>
            </w:r>
          </w:p>
        </w:tc>
        <w:tc>
          <w:tcPr/>
          <w:p>
            <w:pPr>
              <w:pStyle w:val="Compact"/>
            </w:pPr>
            <w:r>
              <w:t xml:space="preserve">12</w:t>
            </w:r>
          </w:p>
        </w:tc>
        <w:tc>
          <w:tcPr/>
          <w:p>
            <w:pPr>
              <w:pStyle w:val="Compact"/>
            </w:pPr>
            <w:r>
              <w:t xml:space="preserve">100%</w:t>
            </w:r>
          </w:p>
        </w:tc>
        <w:tc>
          <w:tcPr/>
          <w:p>
            <w:pPr>
              <w:pStyle w:val="Compact"/>
            </w:pPr>
            <w:r>
              <w:t xml:space="preserve">1.000</w:t>
            </w:r>
          </w:p>
        </w:tc>
        <w:tc>
          <w:tcPr/>
          <w:p>
            <w:pPr>
              <w:pStyle w:val="Compact"/>
            </w:pPr>
            <w:r>
              <w:t xml:space="preserve">0.000</w:t>
            </w:r>
          </w:p>
        </w:tc>
        <w:tc>
          <w:tcPr/>
          <w:p>
            <w:pPr>
              <w:pStyle w:val="Compact"/>
            </w:pPr>
            <w:r>
              <w:t xml:space="preserve">Stable</w:t>
            </w:r>
          </w:p>
        </w:tc>
      </w:tr>
    </w:tbl>
    <w:p>
      <w:pPr>
        <w:pStyle w:val="BodyText"/>
      </w:pPr>
      <w:r>
        <w:t xml:space="preserve">All three real-data models show T_RR = 1.0 across both rolling schemes —</w:t>
      </w:r>
      <w:r>
        <w:t xml:space="preserve"> </w:t>
      </w:r>
      <w:r>
        <w:t xml:space="preserve">once a window enters RED it never leaves. Stationary entropy H = 0 bits</w:t>
      </w:r>
      <w:r>
        <w:t xml:space="preserve"> </w:t>
      </w:r>
      <w:r>
        <w:t xml:space="preserve">confirms a degenerate absorbing state: the RED classification is not a</w:t>
      </w:r>
      <w:r>
        <w:t xml:space="preserve"> </w:t>
      </w:r>
      <w:r>
        <w:t xml:space="preserve">transient regime localised to specific subperiods but a persistent</w:t>
      </w:r>
      <w:r>
        <w:t xml:space="preserve"> </w:t>
      </w:r>
      <w:r>
        <w:t xml:space="preserve">structural property of the model’s miscalibration. For ENTSO-E this is</w:t>
      </w:r>
      <w:r>
        <w:t xml:space="preserve"> </w:t>
      </w:r>
      <w:r>
        <w:t xml:space="preserve">confirmed across 838 non-overlapping windows and 4,187 overlapping windows,</w:t>
      </w:r>
      <w:r>
        <w:t xml:space="preserve"> </w:t>
      </w:r>
      <w:r>
        <w:t xml:space="preserve">leaving no ambiguity. The finding strengthens the governance implication:</w:t>
      </w:r>
      <w:r>
        <w:t xml:space="preserve"> </w:t>
      </w:r>
      <w:r>
        <w:t xml:space="preserve">these models require structural intervention, not routine monitoring.</w:t>
      </w:r>
    </w:p>
    <w:bookmarkEnd w:id="104"/>
    <w:bookmarkStart w:id="105" w:name="Xa6237cbeb271b5d4b6b6dab479a8f5a51859998"/>
    <w:p>
      <w:pPr>
        <w:pStyle w:val="Heading3"/>
      </w:pPr>
      <w:r>
        <w:t xml:space="preserve">10.2 Simulation Well-Specified — Expected Instability at Small 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Scheme</w:t>
            </w:r>
          </w:p>
        </w:tc>
        <w:tc>
          <w:tcPr/>
          <w:p>
            <w:pPr>
              <w:pStyle w:val="Compact"/>
            </w:pPr>
            <w:r>
              <w:t xml:space="preserve">n Windows</w:t>
            </w:r>
          </w:p>
        </w:tc>
        <w:tc>
          <w:tcPr/>
          <w:p>
            <w:pPr>
              <w:pStyle w:val="Compact"/>
            </w:pPr>
            <w:r>
              <w:t xml:space="preserve">% GREEN</w:t>
            </w:r>
          </w:p>
        </w:tc>
        <w:tc>
          <w:tcPr/>
          <w:p>
            <w:pPr>
              <w:pStyle w:val="Compact"/>
            </w:pPr>
            <w:r>
              <w:t xml:space="preserve">% YELLOW</w:t>
            </w:r>
          </w:p>
        </w:tc>
        <w:tc>
          <w:tcPr/>
          <w:p>
            <w:pPr>
              <w:pStyle w:val="Compact"/>
            </w:pPr>
            <w:r>
              <w:t xml:space="preserve">% RED</w:t>
            </w:r>
          </w:p>
        </w:tc>
        <w:tc>
          <w:tcPr/>
          <w:p>
            <w:pPr>
              <w:pStyle w:val="Compact"/>
            </w:pPr>
            <w:r>
              <w:t xml:space="preserve">H (bits)</w:t>
            </w:r>
          </w:p>
        </w:tc>
        <w:tc>
          <w:tcPr/>
          <w:p>
            <w:pPr>
              <w:pStyle w:val="Compact"/>
            </w:pPr>
            <w:r>
              <w:t xml:space="preserve">Stability</w:t>
            </w:r>
          </w:p>
        </w:tc>
      </w:tr>
      <w:tr>
        <w:tc>
          <w:tcPr/>
          <w:p>
            <w:pPr>
              <w:pStyle w:val="Compact"/>
            </w:pPr>
            <w:r>
              <w:t xml:space="preserve">Sim Price (well-spec)</w:t>
            </w:r>
          </w:p>
        </w:tc>
        <w:tc>
          <w:tcPr/>
          <w:p>
            <w:pPr>
              <w:pStyle w:val="Compact"/>
            </w:pPr>
            <w:r>
              <w:t xml:space="preserve">Non-overlapping</w:t>
            </w:r>
          </w:p>
        </w:tc>
        <w:tc>
          <w:tcPr/>
          <w:p>
            <w:pPr>
              <w:pStyle w:val="Compact"/>
            </w:pPr>
            <w:r>
              <w:t xml:space="preserve">7</w:t>
            </w:r>
          </w:p>
        </w:tc>
        <w:tc>
          <w:tcPr/>
          <w:p>
            <w:pPr>
              <w:pStyle w:val="Compact"/>
            </w:pPr>
            <w:r>
              <w:t xml:space="preserve">28.6%</w:t>
            </w:r>
          </w:p>
        </w:tc>
        <w:tc>
          <w:tcPr/>
          <w:p>
            <w:pPr>
              <w:pStyle w:val="Compact"/>
            </w:pPr>
            <w:r>
              <w:t xml:space="preserve">42.9%</w:t>
            </w:r>
          </w:p>
        </w:tc>
        <w:tc>
          <w:tcPr/>
          <w:p>
            <w:pPr>
              <w:pStyle w:val="Compact"/>
            </w:pPr>
            <w:r>
              <w:t xml:space="preserve">28.6%</w:t>
            </w:r>
          </w:p>
        </w:tc>
        <w:tc>
          <w:tcPr/>
          <w:p>
            <w:pPr>
              <w:pStyle w:val="Compact"/>
            </w:pPr>
            <w:r>
              <w:t xml:space="preserve">1.571</w:t>
            </w:r>
          </w:p>
        </w:tc>
        <w:tc>
          <w:tcPr/>
          <w:p>
            <w:pPr>
              <w:pStyle w:val="Compact"/>
            </w:pPr>
            <w:r>
              <w:t xml:space="preserve">Unstable</w:t>
            </w:r>
          </w:p>
        </w:tc>
      </w:tr>
      <w:tr>
        <w:tc>
          <w:tcPr/>
          <w:p>
            <w:pPr>
              <w:pStyle w:val="Compact"/>
            </w:pPr>
            <w:r>
              <w:t xml:space="preserve">Sim Temp (well-spec)</w:t>
            </w:r>
          </w:p>
        </w:tc>
        <w:tc>
          <w:tcPr/>
          <w:p>
            <w:pPr>
              <w:pStyle w:val="Compact"/>
            </w:pPr>
            <w:r>
              <w:t xml:space="preserve">Non-overlapping</w:t>
            </w:r>
          </w:p>
        </w:tc>
        <w:tc>
          <w:tcPr/>
          <w:p>
            <w:pPr>
              <w:pStyle w:val="Compact"/>
            </w:pPr>
            <w:r>
              <w:t xml:space="preserve">7</w:t>
            </w:r>
          </w:p>
        </w:tc>
        <w:tc>
          <w:tcPr/>
          <w:p>
            <w:pPr>
              <w:pStyle w:val="Compact"/>
            </w:pPr>
            <w:r>
              <w:t xml:space="preserve">14.3%</w:t>
            </w:r>
          </w:p>
        </w:tc>
        <w:tc>
          <w:tcPr/>
          <w:p>
            <w:pPr>
              <w:pStyle w:val="Compact"/>
            </w:pPr>
            <w:r>
              <w:t xml:space="preserve">85.7%</w:t>
            </w:r>
          </w:p>
        </w:tc>
        <w:tc>
          <w:tcPr/>
          <w:p>
            <w:pPr>
              <w:pStyle w:val="Compact"/>
            </w:pPr>
            <w:r>
              <w:t xml:space="preserve">0.0%</w:t>
            </w:r>
          </w:p>
        </w:tc>
        <w:tc>
          <w:tcPr/>
          <w:p>
            <w:pPr>
              <w:pStyle w:val="Compact"/>
            </w:pPr>
            <w:r>
              <w:t xml:space="preserve">0.650</w:t>
            </w:r>
          </w:p>
        </w:tc>
        <w:tc>
          <w:tcPr/>
          <w:p>
            <w:pPr>
              <w:pStyle w:val="Compact"/>
            </w:pPr>
            <w:r>
              <w:t xml:space="preserve">Moderate</w:t>
            </w:r>
          </w:p>
        </w:tc>
      </w:tr>
    </w:tbl>
    <w:p>
      <w:pPr>
        <w:pStyle w:val="BodyText"/>
      </w:pPr>
      <w:r>
        <w:t xml:space="preserve">The well-specified simulation model shows high entropy (1.571 bits for</w:t>
      </w:r>
      <w:r>
        <w:t xml:space="preserve"> </w:t>
      </w:r>
      <w:r>
        <w:t xml:space="preserve">price) and mixed classifications across 7 windows. This is expected</w:t>
      </w:r>
      <w:r>
        <w:t xml:space="preserve"> </w:t>
      </w:r>
      <w:r>
        <w:t xml:space="preserve">behaviour: at n = 250 per window with a 10% nominal breach rate, the</w:t>
      </w:r>
      <w:r>
        <w:t xml:space="preserve"> </w:t>
      </w:r>
      <w:r>
        <w:t xml:space="preserve">binomial sampling noise is sufficient to push rolling coverage across</w:t>
      </w:r>
      <w:r>
        <w:t xml:space="preserve"> </w:t>
      </w:r>
      <w:r>
        <w:t xml:space="preserve">zone boundaries. The temperature series, which had the smallest full-sample</w:t>
      </w:r>
      <w:r>
        <w:t xml:space="preserve"> </w:t>
      </w:r>
      <w:r>
        <w:t xml:space="preserve">coverage error (−0.41 pp), shows more stable YELLOW-dominant behaviour</w:t>
      </w:r>
      <w:r>
        <w:t xml:space="preserve"> </w:t>
      </w:r>
      <w:r>
        <w:t xml:space="preserve">(H = 0.650). Neither result indicates genuine model instability — both</w:t>
      </w:r>
      <w:r>
        <w:t xml:space="preserve"> </w:t>
      </w:r>
      <w:r>
        <w:t xml:space="preserve">reflect the statistical limits of small rolling windows on a correctly</w:t>
      </w:r>
      <w:r>
        <w:t xml:space="preserve"> </w:t>
      </w:r>
      <w:r>
        <w:t xml:space="preserve">specified model.</w:t>
      </w:r>
    </w:p>
    <w:bookmarkEnd w:id="105"/>
    <w:bookmarkStart w:id="106" w:name="X1318945d42c03a1504d87e27438733a6c3448ff"/>
    <w:p>
      <w:pPr>
        <w:pStyle w:val="Heading3"/>
      </w:pPr>
      <w:r>
        <w:t xml:space="preserve">10.3 Misspecification Scenarios — Stable vs Ambiguous Signals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n Windows</w:t>
            </w:r>
          </w:p>
        </w:tc>
        <w:tc>
          <w:tcPr/>
          <w:p>
            <w:pPr>
              <w:pStyle w:val="Compact"/>
            </w:pPr>
            <w:r>
              <w:t xml:space="preserve">Distribution</w:t>
            </w:r>
          </w:p>
        </w:tc>
        <w:tc>
          <w:tcPr/>
          <w:p>
            <w:pPr>
              <w:pStyle w:val="Compact"/>
            </w:pPr>
            <w:r>
              <w:t xml:space="preserve">T_RR</w:t>
            </w:r>
          </w:p>
        </w:tc>
        <w:tc>
          <w:tcPr/>
          <w:p>
            <w:pPr>
              <w:pStyle w:val="Compact"/>
            </w:pPr>
            <w:r>
              <w:t xml:space="preserve">H (bits)</w:t>
            </w:r>
          </w:p>
        </w:tc>
        <w:tc>
          <w:tcPr/>
          <w:p>
            <w:pPr>
              <w:pStyle w:val="Compact"/>
            </w:pPr>
            <w:r>
              <w:t xml:space="preserve">Stability</w:t>
            </w:r>
          </w:p>
        </w:tc>
      </w:tr>
      <w:tr>
        <w:tc>
          <w:tcPr/>
          <w:p>
            <w:pPr>
              <w:pStyle w:val="Compact"/>
            </w:pPr>
            <w:r>
              <w:t xml:space="preserve">Price — Var Inflation</w:t>
            </w:r>
          </w:p>
        </w:tc>
        <w:tc>
          <w:tcPr/>
          <w:p>
            <w:pPr>
              <w:pStyle w:val="Compact"/>
            </w:pPr>
            <w:r>
              <w:t xml:space="preserve">7</w:t>
            </w:r>
          </w:p>
        </w:tc>
        <w:tc>
          <w:tcPr/>
          <w:p>
            <w:pPr>
              <w:pStyle w:val="Compact"/>
            </w:pPr>
            <w:r>
              <w:t xml:space="preserve">100% RED</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Price — Mean Bias</w:t>
            </w:r>
          </w:p>
        </w:tc>
        <w:tc>
          <w:tcPr/>
          <w:p>
            <w:pPr>
              <w:pStyle w:val="Compact"/>
            </w:pPr>
            <w:r>
              <w:t xml:space="preserve">7</w:t>
            </w:r>
          </w:p>
        </w:tc>
        <w:tc>
          <w:tcPr/>
          <w:p>
            <w:pPr>
              <w:pStyle w:val="Compact"/>
            </w:pPr>
            <w:r>
              <w:t xml:space="preserve">100% RED</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Price — Heavy Tails</w:t>
            </w:r>
          </w:p>
        </w:tc>
        <w:tc>
          <w:tcPr/>
          <w:p>
            <w:pPr>
              <w:pStyle w:val="Compact"/>
            </w:pPr>
            <w:r>
              <w:t xml:space="preserve">7</w:t>
            </w:r>
          </w:p>
        </w:tc>
        <w:tc>
          <w:tcPr/>
          <w:p>
            <w:pPr>
              <w:pStyle w:val="Compact"/>
            </w:pPr>
            <w:r>
              <w:t xml:space="preserve">100% YELLOW</w:t>
            </w:r>
          </w:p>
        </w:tc>
        <w:tc>
          <w:tcPr/>
          <w:p>
            <w:pPr>
              <w:pStyle w:val="Compact"/>
            </w:pPr>
            <w:r>
              <w:t xml:space="preserve">—</w:t>
            </w:r>
          </w:p>
        </w:tc>
        <w:tc>
          <w:tcPr/>
          <w:p>
            <w:pPr>
              <w:pStyle w:val="Compact"/>
            </w:pPr>
            <w:r>
              <w:t xml:space="preserve">0.000</w:t>
            </w:r>
          </w:p>
        </w:tc>
        <w:tc>
          <w:tcPr/>
          <w:p>
            <w:pPr>
              <w:pStyle w:val="Compact"/>
            </w:pPr>
            <w:r>
              <w:t xml:space="preserve">Stable</w:t>
            </w:r>
          </w:p>
        </w:tc>
      </w:tr>
      <w:tr>
        <w:tc>
          <w:tcPr/>
          <w:p>
            <w:pPr>
              <w:pStyle w:val="Compact"/>
            </w:pPr>
            <w:r>
              <w:t xml:space="preserve">Temp — Var Inflation</w:t>
            </w:r>
          </w:p>
        </w:tc>
        <w:tc>
          <w:tcPr/>
          <w:p>
            <w:pPr>
              <w:pStyle w:val="Compact"/>
            </w:pPr>
            <w:r>
              <w:t xml:space="preserve">7</w:t>
            </w:r>
          </w:p>
        </w:tc>
        <w:tc>
          <w:tcPr/>
          <w:p>
            <w:pPr>
              <w:pStyle w:val="Compact"/>
            </w:pPr>
            <w:r>
              <w:t xml:space="preserve">100% RED</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Temp — Mean Bias</w:t>
            </w:r>
          </w:p>
        </w:tc>
        <w:tc>
          <w:tcPr/>
          <w:p>
            <w:pPr>
              <w:pStyle w:val="Compact"/>
            </w:pPr>
            <w:r>
              <w:t xml:space="preserve">7</w:t>
            </w:r>
          </w:p>
        </w:tc>
        <w:tc>
          <w:tcPr/>
          <w:p>
            <w:pPr>
              <w:pStyle w:val="Compact"/>
            </w:pPr>
            <w:r>
              <w:t xml:space="preserve">100% RED</w:t>
            </w:r>
          </w:p>
        </w:tc>
        <w:tc>
          <w:tcPr/>
          <w:p>
            <w:pPr>
              <w:pStyle w:val="Compact"/>
            </w:pPr>
            <w:r>
              <w:t xml:space="preserve">1.000</w:t>
            </w:r>
          </w:p>
        </w:tc>
        <w:tc>
          <w:tcPr/>
          <w:p>
            <w:pPr>
              <w:pStyle w:val="Compact"/>
            </w:pPr>
            <w:r>
              <w:t xml:space="preserve">0.000</w:t>
            </w:r>
          </w:p>
        </w:tc>
        <w:tc>
          <w:tcPr/>
          <w:p>
            <w:pPr>
              <w:pStyle w:val="Compact"/>
            </w:pPr>
            <w:r>
              <w:t xml:space="preserve">Stable</w:t>
            </w:r>
          </w:p>
        </w:tc>
      </w:tr>
      <w:tr>
        <w:tc>
          <w:tcPr/>
          <w:p>
            <w:pPr>
              <w:pStyle w:val="Compact"/>
            </w:pPr>
            <w:r>
              <w:t xml:space="preserve">Temp — Heavy Tails</w:t>
            </w:r>
          </w:p>
        </w:tc>
        <w:tc>
          <w:tcPr/>
          <w:p>
            <w:pPr>
              <w:pStyle w:val="Compact"/>
            </w:pPr>
            <w:r>
              <w:t xml:space="preserve">7</w:t>
            </w:r>
          </w:p>
        </w:tc>
        <w:tc>
          <w:tcPr/>
          <w:p>
            <w:pPr>
              <w:pStyle w:val="Compact"/>
            </w:pPr>
            <w:r>
              <w:t xml:space="preserve">14% GREEN / 57% YELLOW / 28% RED</w:t>
            </w:r>
          </w:p>
        </w:tc>
        <w:tc>
          <w:tcPr/>
          <w:p>
            <w:pPr>
              <w:pStyle w:val="Compact"/>
            </w:pPr>
            <w:r>
              <w:t xml:space="preserve">—</w:t>
            </w:r>
          </w:p>
        </w:tc>
        <w:tc>
          <w:tcPr/>
          <w:p>
            <w:pPr>
              <w:pStyle w:val="Compact"/>
            </w:pPr>
            <w:r>
              <w:t xml:space="preserve">1.371</w:t>
            </w:r>
          </w:p>
        </w:tc>
        <w:tc>
          <w:tcPr/>
          <w:p>
            <w:pPr>
              <w:pStyle w:val="Compact"/>
            </w:pPr>
            <w:r>
              <w:t xml:space="preserve">Unstable</w:t>
            </w:r>
          </w:p>
        </w:tc>
      </w:tr>
    </w:tbl>
    <w:p>
      <w:pPr>
        <w:pStyle w:val="BodyText"/>
      </w:pPr>
      <w:r>
        <w:t xml:space="preserve">Variance inflation and mean bias produce stable absorbing RED states</w:t>
      </w:r>
      <w:r>
        <w:t xml:space="preserve"> </w:t>
      </w:r>
      <w:r>
        <w:t xml:space="preserve">(H = 0, T_RR = 1.0), consistent with large systematic miscalibration.</w:t>
      </w:r>
      <w:r>
        <w:t xml:space="preserve"> </w:t>
      </w:r>
      <w:r>
        <w:t xml:space="preserve">Heavy tails is more nuanced: the price series locks into a stable</w:t>
      </w:r>
      <w:r>
        <w:t xml:space="preserve"> </w:t>
      </w:r>
      <w:r>
        <w:t xml:space="preserve">YELLOW absorbing state across all 7 non-overlapping windows, while</w:t>
      </w:r>
      <w:r>
        <w:t xml:space="preserve"> </w:t>
      </w:r>
      <w:r>
        <w:t xml:space="preserve">temperature fluctuates across all three zones (H = 1.371, unstable).</w:t>
      </w:r>
    </w:p>
    <w:p>
      <w:pPr>
        <w:pStyle w:val="BodyText"/>
      </w:pPr>
      <w:r>
        <w:t xml:space="preserve">The consistently YELLOW classification for price heavy-tails across</w:t>
      </w:r>
      <w:r>
        <w:t xml:space="preserve"> </w:t>
      </w:r>
      <w:r>
        <w:t xml:space="preserve">rolling windows is more informative than the full-sample GREEN result:</w:t>
      </w:r>
      <w:r>
        <w:t xml:space="preserve"> </w:t>
      </w:r>
      <w:r>
        <w:t xml:space="preserve">while the full-sample Anfuso test lacks power to reject at n = 365,</w:t>
      </w:r>
      <w:r>
        <w:t xml:space="preserve"> </w:t>
      </w:r>
      <w:r>
        <w:t xml:space="preserve">the rolling analysis reveals that every subperiod produces marginal</w:t>
      </w:r>
      <w:r>
        <w:t xml:space="preserve"> </w:t>
      </w:r>
      <w:r>
        <w:t xml:space="preserve">YELLOW signals. Rolling evaluation thereby complements full-sample</w:t>
      </w:r>
      <w:r>
        <w:t xml:space="preserve"> </w:t>
      </w:r>
      <w:r>
        <w:t xml:space="preserve">testing, recovering signal that aggregate statistics obscure (Diebold,</w:t>
      </w:r>
      <w:r>
        <w:t xml:space="preserve"> </w:t>
      </w:r>
      <w:r>
        <w:t xml:space="preserve">2015; Giacomini and Rossi, 2010). This suggests the heavy-tail misspecification is</w:t>
      </w:r>
      <w:r>
        <w:t xml:space="preserve"> </w:t>
      </w:r>
      <w:r>
        <w:t xml:space="preserve">detectable at the rolling level even when the full-sample test does</w:t>
      </w:r>
      <w:r>
        <w:t xml:space="preserve"> </w:t>
      </w:r>
      <w:r>
        <w:t xml:space="preserve">not formally reject — a finding that motivates rolling-window</w:t>
      </w:r>
      <w:r>
        <w:t xml:space="preserve"> </w:t>
      </w:r>
      <w:r>
        <w:t xml:space="preserve">diagnostics as a complementary detection tool for subtle misspecification.</w:t>
      </w:r>
    </w:p>
    <w:p>
      <w:r>
        <w:pict>
          <v:rect style="width:0;height:1.5pt" o:hralign="center" o:hrstd="t" o:hr="t"/>
        </w:pict>
      </w:r>
    </w:p>
    <w:bookmarkEnd w:id="106"/>
    <w:bookmarkEnd w:id="107"/>
    <w:bookmarkStart w:id="110" w:name="X22c8d95f14950b78127fd5fd5a0912e85adc933"/>
    <w:p>
      <w:pPr>
        <w:pStyle w:val="Heading2"/>
      </w:pPr>
      <w:r>
        <w:t xml:space="preserve">11. Governance Decisions and Narrative Generation (run_008)</w:t>
      </w:r>
    </w:p>
    <w:bookmarkStart w:id="108" w:name="structured-governance-decisions"/>
    <w:p>
      <w:pPr>
        <w:pStyle w:val="Heading3"/>
      </w:pPr>
      <w:r>
        <w:t xml:space="preserve">11.1 Structured Governance Decisions</w:t>
      </w:r>
    </w:p>
    <w:p>
      <w:pPr>
        <w:pStyle w:val="FirstParagraph"/>
      </w:pPr>
      <w:r>
        <w:t xml:space="preserve">The</w:t>
      </w:r>
      <w:r>
        <w:t xml:space="preserve"> </w:t>
      </w:r>
      <w:r>
        <w:rPr>
          <w:rStyle w:val="VerbatimChar"/>
        </w:rPr>
        <w:t xml:space="preserve">DecisionEngine</w:t>
      </w:r>
      <w:r>
        <w:t xml:space="preserve"> </w:t>
      </w:r>
      <w:r>
        <w:t xml:space="preserve">produces a structured</w:t>
      </w:r>
      <w:r>
        <w:t xml:space="preserve"> </w:t>
      </w:r>
      <w:r>
        <w:rPr>
          <w:rStyle w:val="VerbatimChar"/>
        </w:rPr>
        <w:t xml:space="preserve">governance_decision.json</w:t>
      </w:r>
      <w:r>
        <w:t xml:space="preserve"> </w:t>
      </w:r>
      <w:r>
        <w:t xml:space="preserve">artifact for each evaluated dataset, consolidating all diagnostic signals</w:t>
      </w:r>
      <w:r>
        <w:t xml:space="preserve"> </w:t>
      </w:r>
      <w:r>
        <w:t xml:space="preserve">into a single machine-readable governance record. The full-sample</w:t>
      </w:r>
      <w:r>
        <w:t xml:space="preserve"> </w:t>
      </w:r>
      <w:r>
        <w:t xml:space="preserve">classification results across all eleven datasets are summarised below: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Final Label</w:t>
            </w:r>
          </w:p>
        </w:tc>
        <w:tc>
          <w:tcPr/>
          <w:p>
            <w:pPr>
              <w:pStyle w:val="Compact"/>
            </w:pPr>
            <w:r>
              <w:t xml:space="preserve">Reason Codes</w:t>
            </w:r>
          </w:p>
        </w:tc>
        <w:tc>
          <w:tcPr/>
          <w:p>
            <w:pPr>
              <w:pStyle w:val="Compact"/>
            </w:pPr>
            <w:r>
              <w:t xml:space="preserve">Empirical Coverage</w:t>
            </w:r>
          </w:p>
        </w:tc>
      </w:tr>
      <w:tr>
        <w:tc>
          <w:tcPr/>
          <w:p>
            <w:pPr>
              <w:pStyle w:val="Compact"/>
            </w:pPr>
            <w:r>
              <w:t xml:space="preserve">ENTSO-E</w:t>
            </w:r>
          </w:p>
        </w:tc>
        <w:tc>
          <w:tcPr/>
          <w:p>
            <w:pPr>
              <w:pStyle w:val="Compact"/>
            </w:pPr>
            <w:r>
              <w:t xml:space="preserve">RED</w:t>
            </w:r>
          </w:p>
        </w:tc>
        <w:tc>
          <w:tcPr/>
          <w:p>
            <w:pPr>
              <w:pStyle w:val="Compact"/>
            </w:pPr>
            <w:r>
              <w:t xml:space="preserve">undercoverage, PIT_uniformity_fail, ACF_dependence_fail</w:t>
            </w:r>
          </w:p>
        </w:tc>
        <w:tc>
          <w:tcPr/>
          <w:p>
            <w:pPr>
              <w:pStyle w:val="Compact"/>
            </w:pPr>
            <w:r>
              <w:t xml:space="preserve">87.1%</w:t>
            </w:r>
          </w:p>
        </w:tc>
      </w:tr>
      <w:tr>
        <w:tc>
          <w:tcPr/>
          <w:p>
            <w:pPr>
              <w:pStyle w:val="Compact"/>
            </w:pPr>
            <w:r>
              <w:t xml:space="preserve">PV Solar</w:t>
            </w:r>
          </w:p>
        </w:tc>
        <w:tc>
          <w:tcPr/>
          <w:p>
            <w:pPr>
              <w:pStyle w:val="Compact"/>
            </w:pPr>
            <w:r>
              <w:t xml:space="preserve">RED</w:t>
            </w:r>
          </w:p>
        </w:tc>
        <w:tc>
          <w:tcPr/>
          <w:p>
            <w:pPr>
              <w:pStyle w:val="Compact"/>
            </w:pPr>
            <w:r>
              <w:t xml:space="preserve">PIT_uniformity_fail, ACF_dependence_fail</w:t>
            </w:r>
          </w:p>
        </w:tc>
        <w:tc>
          <w:tcPr/>
          <w:p>
            <w:pPr>
              <w:pStyle w:val="Compact"/>
            </w:pPr>
            <w:r>
              <w:t xml:space="preserve">91.4%</w:t>
            </w:r>
          </w:p>
        </w:tc>
      </w:tr>
      <w:tr>
        <w:tc>
          <w:tcPr/>
          <w:p>
            <w:pPr>
              <w:pStyle w:val="Compact"/>
            </w:pPr>
            <w:r>
              <w:t xml:space="preserve">Wind</w:t>
            </w:r>
          </w:p>
        </w:tc>
        <w:tc>
          <w:tcPr/>
          <w:p>
            <w:pPr>
              <w:pStyle w:val="Compact"/>
            </w:pPr>
            <w:r>
              <w:t xml:space="preserve">RED</w:t>
            </w:r>
          </w:p>
        </w:tc>
        <w:tc>
          <w:tcPr/>
          <w:p>
            <w:pPr>
              <w:pStyle w:val="Compact"/>
            </w:pPr>
            <w:r>
              <w:t xml:space="preserve">PIT_uniformity_fail, ACF_dependence_fail</w:t>
            </w:r>
          </w:p>
        </w:tc>
        <w:tc>
          <w:tcPr/>
          <w:p>
            <w:pPr>
              <w:pStyle w:val="Compact"/>
            </w:pPr>
            <w:r>
              <w:t xml:space="preserve">88.6%</w:t>
            </w:r>
          </w:p>
        </w:tc>
      </w:tr>
      <w:tr>
        <w:tc>
          <w:tcPr/>
          <w:p>
            <w:pPr>
              <w:pStyle w:val="Compact"/>
            </w:pPr>
            <w:r>
              <w:t xml:space="preserve">Sim Price (well-spec)</w:t>
            </w:r>
          </w:p>
        </w:tc>
        <w:tc>
          <w:tcPr/>
          <w:p>
            <w:pPr>
              <w:pStyle w:val="Compact"/>
            </w:pPr>
            <w:r>
              <w:t xml:space="preserve">GREEN</w:t>
            </w:r>
          </w:p>
        </w:tc>
        <w:tc>
          <w:tcPr/>
          <w:p>
            <w:pPr>
              <w:pStyle w:val="Compact"/>
            </w:pPr>
            <w:r>
              <w:t xml:space="preserve">all_clear</w:t>
            </w:r>
          </w:p>
        </w:tc>
        <w:tc>
          <w:tcPr/>
          <w:p>
            <w:pPr>
              <w:pStyle w:val="Compact"/>
            </w:pPr>
            <w:r>
              <w:t xml:space="preserve">88.5%</w:t>
            </w:r>
          </w:p>
        </w:tc>
      </w:tr>
      <w:tr>
        <w:tc>
          <w:tcPr/>
          <w:p>
            <w:pPr>
              <w:pStyle w:val="Compact"/>
            </w:pPr>
            <w:r>
              <w:t xml:space="preserve">Sim Temp (well-spec)</w:t>
            </w:r>
          </w:p>
        </w:tc>
        <w:tc>
          <w:tcPr/>
          <w:p>
            <w:pPr>
              <w:pStyle w:val="Compact"/>
            </w:pPr>
            <w:r>
              <w:t xml:space="preserve">GREEN</w:t>
            </w:r>
          </w:p>
        </w:tc>
        <w:tc>
          <w:tcPr/>
          <w:p>
            <w:pPr>
              <w:pStyle w:val="Compact"/>
            </w:pPr>
            <w:r>
              <w:t xml:space="preserve">all_clear</w:t>
            </w:r>
          </w:p>
        </w:tc>
        <w:tc>
          <w:tcPr/>
          <w:p>
            <w:pPr>
              <w:pStyle w:val="Compact"/>
            </w:pPr>
            <w:r>
              <w:t xml:space="preserve">89.6%</w:t>
            </w:r>
          </w:p>
        </w:tc>
      </w:tr>
      <w:tr>
        <w:tc>
          <w:tcPr/>
          <w:p>
            <w:pPr>
              <w:pStyle w:val="Compact"/>
            </w:pPr>
            <w:r>
              <w:t xml:space="preserve">Sim Price — Var Inflation</w:t>
            </w:r>
          </w:p>
        </w:tc>
        <w:tc>
          <w:tcPr/>
          <w:p>
            <w:pPr>
              <w:pStyle w:val="Compact"/>
            </w:pPr>
            <w:r>
              <w:t xml:space="preserve">RED</w:t>
            </w:r>
          </w:p>
        </w:tc>
        <w:tc>
          <w:tcPr/>
          <w:p>
            <w:pPr>
              <w:pStyle w:val="Compact"/>
            </w:pPr>
            <w:r>
              <w:t xml:space="preserve">undercoverage</w:t>
            </w:r>
          </w:p>
        </w:tc>
        <w:tc>
          <w:tcPr/>
          <w:p>
            <w:pPr>
              <w:pStyle w:val="Compact"/>
            </w:pPr>
            <w:r>
              <w:t xml:space="preserve">55.3%</w:t>
            </w:r>
          </w:p>
        </w:tc>
      </w:tr>
      <w:tr>
        <w:tc>
          <w:tcPr/>
          <w:p>
            <w:pPr>
              <w:pStyle w:val="Compact"/>
            </w:pPr>
            <w:r>
              <w:t xml:space="preserve">Sim Price — Mean Bias</w:t>
            </w:r>
          </w:p>
        </w:tc>
        <w:tc>
          <w:tcPr/>
          <w:p>
            <w:pPr>
              <w:pStyle w:val="Compact"/>
            </w:pPr>
            <w:r>
              <w:t xml:space="preserve">RED</w:t>
            </w:r>
          </w:p>
        </w:tc>
        <w:tc>
          <w:tcPr/>
          <w:p>
            <w:pPr>
              <w:pStyle w:val="Compact"/>
            </w:pPr>
            <w:r>
              <w:t xml:space="preserve">undercoverage</w:t>
            </w:r>
          </w:p>
        </w:tc>
        <w:tc>
          <w:tcPr/>
          <w:p>
            <w:pPr>
              <w:pStyle w:val="Compact"/>
            </w:pPr>
            <w:r>
              <w:t xml:space="preserve">70.4%</w:t>
            </w:r>
          </w:p>
        </w:tc>
      </w:tr>
      <w:tr>
        <w:tc>
          <w:tcPr/>
          <w:p>
            <w:pPr>
              <w:pStyle w:val="Compact"/>
            </w:pPr>
            <w:r>
              <w:t xml:space="preserve">Sim Price — Heavy Tails</w:t>
            </w:r>
          </w:p>
        </w:tc>
        <w:tc>
          <w:tcPr/>
          <w:p>
            <w:pPr>
              <w:pStyle w:val="Compact"/>
            </w:pPr>
            <w:r>
              <w:t xml:space="preserve">GREEN</w:t>
            </w:r>
          </w:p>
        </w:tc>
        <w:tc>
          <w:tcPr/>
          <w:p>
            <w:pPr>
              <w:pStyle w:val="Compact"/>
            </w:pPr>
            <w:r>
              <w:t xml:space="preserve">all_clear</w:t>
            </w:r>
          </w:p>
        </w:tc>
        <w:tc>
          <w:tcPr/>
          <w:p>
            <w:pPr>
              <w:pStyle w:val="Compact"/>
            </w:pPr>
            <w:r>
              <w:t xml:space="preserve">90.1%</w:t>
            </w:r>
          </w:p>
        </w:tc>
      </w:tr>
      <w:tr>
        <w:tc>
          <w:tcPr/>
          <w:p>
            <w:pPr>
              <w:pStyle w:val="Compact"/>
            </w:pPr>
            <w:r>
              <w:t xml:space="preserve">Sim Temp — Var Inflation</w:t>
            </w:r>
          </w:p>
        </w:tc>
        <w:tc>
          <w:tcPr/>
          <w:p>
            <w:pPr>
              <w:pStyle w:val="Compact"/>
            </w:pPr>
            <w:r>
              <w:t xml:space="preserve">RED</w:t>
            </w:r>
          </w:p>
        </w:tc>
        <w:tc>
          <w:tcPr/>
          <w:p>
            <w:pPr>
              <w:pStyle w:val="Compact"/>
            </w:pPr>
            <w:r>
              <w:t xml:space="preserve">undercoverage</w:t>
            </w:r>
          </w:p>
        </w:tc>
        <w:tc>
          <w:tcPr/>
          <w:p>
            <w:pPr>
              <w:pStyle w:val="Compact"/>
            </w:pPr>
            <w:r>
              <w:t xml:space="preserve">62.5%</w:t>
            </w:r>
          </w:p>
        </w:tc>
      </w:tr>
      <w:tr>
        <w:tc>
          <w:tcPr/>
          <w:p>
            <w:pPr>
              <w:pStyle w:val="Compact"/>
            </w:pPr>
            <w:r>
              <w:t xml:space="preserve">Sim Temp — Mean Bias</w:t>
            </w:r>
          </w:p>
        </w:tc>
        <w:tc>
          <w:tcPr/>
          <w:p>
            <w:pPr>
              <w:pStyle w:val="Compact"/>
            </w:pPr>
            <w:r>
              <w:t xml:space="preserve">RED</w:t>
            </w:r>
          </w:p>
        </w:tc>
        <w:tc>
          <w:tcPr/>
          <w:p>
            <w:pPr>
              <w:pStyle w:val="Compact"/>
            </w:pPr>
            <w:r>
              <w:t xml:space="preserve">undercoverage</w:t>
            </w:r>
          </w:p>
        </w:tc>
        <w:tc>
          <w:tcPr/>
          <w:p>
            <w:pPr>
              <w:pStyle w:val="Compact"/>
            </w:pPr>
            <w:r>
              <w:t xml:space="preserve">70.4%</w:t>
            </w:r>
          </w:p>
        </w:tc>
      </w:tr>
      <w:tr>
        <w:tc>
          <w:tcPr/>
          <w:p>
            <w:pPr>
              <w:pStyle w:val="Compact"/>
            </w:pPr>
            <w:r>
              <w:t xml:space="preserve">Sim Temp — Heavy Tails</w:t>
            </w:r>
          </w:p>
        </w:tc>
        <w:tc>
          <w:tcPr/>
          <w:p>
            <w:pPr>
              <w:pStyle w:val="Compact"/>
            </w:pPr>
            <w:r>
              <w:t xml:space="preserve">YELLOW</w:t>
            </w:r>
          </w:p>
        </w:tc>
        <w:tc>
          <w:tcPr/>
          <w:p>
            <w:pPr>
              <w:pStyle w:val="Compact"/>
            </w:pPr>
            <w:r>
              <w:t xml:space="preserve">—</w:t>
            </w:r>
          </w:p>
        </w:tc>
        <w:tc>
          <w:tcPr/>
          <w:p>
            <w:pPr>
              <w:pStyle w:val="Compact"/>
            </w:pPr>
            <w:r>
              <w:t xml:space="preserve">92.3%</w:t>
            </w:r>
          </w:p>
        </w:tc>
      </w:tr>
    </w:tbl>
    <w:p>
      <w:pPr>
        <w:pStyle w:val="BodyText"/>
      </w:pPr>
      <w:r>
        <w:t xml:space="preserve">The reason code vocabulary directly identifies which diagnostic branch</w:t>
      </w:r>
      <w:r>
        <w:t xml:space="preserve"> </w:t>
      </w:r>
      <w:r>
        <w:t xml:space="preserve">triggered each classification. ENTSO-E is the only dataset to trigger</w:t>
      </w:r>
      <w:r>
        <w:t xml:space="preserve"> </w:t>
      </w:r>
      <w:r>
        <w:rPr>
          <w:rStyle w:val="VerbatimChar"/>
        </w:rPr>
        <w:t xml:space="preserve">undercoverage</w:t>
      </w:r>
      <w:r>
        <w:t xml:space="preserve"> </w:t>
      </w:r>
      <w:r>
        <w:t xml:space="preserve">alongside distributional failures — its −2.94 pp coverage</w:t>
      </w:r>
      <w:r>
        <w:t xml:space="preserve"> </w:t>
      </w:r>
      <w:r>
        <w:t xml:space="preserve">shortfall crosses the policy tolerance threshold in addition to failing</w:t>
      </w:r>
      <w:r>
        <w:t xml:space="preserve"> </w:t>
      </w:r>
      <w:r>
        <w:t xml:space="preserve">PIT diagnostics. PV and wind trigger only distributional reason codes,</w:t>
      </w:r>
      <w:r>
        <w:t xml:space="preserve"> </w:t>
      </w:r>
      <w:r>
        <w:t xml:space="preserve">confirming their coverage is near-nominal while their distributional shape</w:t>
      </w:r>
      <w:r>
        <w:t xml:space="preserve"> </w:t>
      </w:r>
      <w:r>
        <w:t xml:space="preserve">and temporal structure are systematically misspecified. The misspecification</w:t>
      </w:r>
      <w:r>
        <w:t xml:space="preserve"> </w:t>
      </w:r>
      <w:r>
        <w:t xml:space="preserve">scenarios uniformly trigger</w:t>
      </w:r>
      <w:r>
        <w:t xml:space="preserve"> </w:t>
      </w:r>
      <w:r>
        <w:rPr>
          <w:rStyle w:val="VerbatimChar"/>
        </w:rPr>
        <w:t xml:space="preserve">undercoverage</w:t>
      </w:r>
      <w:r>
        <w:t xml:space="preserve">, reflecting that variance</w:t>
      </w:r>
      <w:r>
        <w:t xml:space="preserve"> </w:t>
      </w:r>
      <w:r>
        <w:t xml:space="preserve">inflation and mean bias produce interval failures severe enough to dominate</w:t>
      </w:r>
      <w:r>
        <w:t xml:space="preserve"> </w:t>
      </w:r>
      <w:r>
        <w:t xml:space="preserve">the classification regardless of distributional diagnostics.</w:t>
      </w:r>
    </w:p>
    <w:p>
      <w:pPr>
        <w:pStyle w:val="BodyText"/>
      </w:pPr>
      <w:r>
        <w:t xml:space="preserve">Each decision record includes a full provenance audit trail: the list of</w:t>
      </w:r>
      <w:r>
        <w:t xml:space="preserve"> </w:t>
      </w:r>
      <w:r>
        <w:t xml:space="preserve">computed diagnostics, skipped diagnostics and reasons, policy source</w:t>
      </w:r>
      <w:r>
        <w:t xml:space="preserve"> </w:t>
      </w:r>
      <w:r>
        <w:t xml:space="preserve">(global or regime-calibrated), and decision timestamp. This enables</w:t>
      </w:r>
      <w:r>
        <w:t xml:space="preserve"> </w:t>
      </w:r>
      <w:r>
        <w:t xml:space="preserve">post-hoc inspection of exactly which evidence produced each classification.</w:t>
      </w:r>
    </w:p>
    <w:bookmarkEnd w:id="108"/>
    <w:bookmarkStart w:id="109" w:name="ai-generated-governance-narratives"/>
    <w:p>
      <w:pPr>
        <w:pStyle w:val="Heading3"/>
      </w:pPr>
      <w:r>
        <w:t xml:space="preserve">11.2 AI-Generated Governance Narratives</w:t>
      </w:r>
    </w:p>
    <w:p>
      <w:pPr>
        <w:pStyle w:val="FirstParagraph"/>
      </w:pPr>
      <w:r>
        <w:t xml:space="preserve">The</w:t>
      </w:r>
      <w:r>
        <w:t xml:space="preserve"> </w:t>
      </w:r>
      <w:r>
        <w:rPr>
          <w:rStyle w:val="VerbatimChar"/>
        </w:rPr>
        <w:t xml:space="preserve">NarrativeGenerator</w:t>
      </w:r>
      <w:r>
        <w:t xml:space="preserve"> </w:t>
      </w:r>
      <w:r>
        <w:t xml:space="preserve">component converts each</w:t>
      </w:r>
      <w:r>
        <w:t xml:space="preserve"> </w:t>
      </w:r>
      <w:r>
        <w:rPr>
          <w:rStyle w:val="VerbatimChar"/>
        </w:rPr>
        <w:t xml:space="preserve">GovernanceDecision</w:t>
      </w:r>
      <w:r>
        <w:t xml:space="preserve"> </w:t>
      </w:r>
      <w:r>
        <w:t xml:space="preserve">into two parallel narrative registers via the Anthropic API. The technical</w:t>
      </w:r>
      <w:r>
        <w:t xml:space="preserve"> </w:t>
      </w:r>
      <w:r>
        <w:t xml:space="preserve">narrative for the ENTSO-E dataset illustrates the output for a RED</w:t>
      </w:r>
      <w:r>
        <w:t xml:space="preserve"> </w:t>
      </w:r>
      <w:r>
        <w:t xml:space="preserve">classification with multiple reason codes:</w:t>
      </w:r>
    </w:p>
    <w:p>
      <w:pPr>
        <w:pStyle w:val="BlockText"/>
      </w:pPr>
      <w:r>
        <w:rPr>
          <w:i/>
          <w:iCs/>
        </w:rPr>
        <w:t xml:space="preserve">The uploaded electricity load forecast model has been classified RED</w:t>
      </w:r>
      <w:r>
        <w:rPr>
          <w:i/>
          <w:iCs/>
        </w:rPr>
        <w:t xml:space="preserve"> </w:t>
      </w:r>
      <w:r>
        <w:rPr>
          <w:i/>
          <w:iCs/>
        </w:rPr>
        <w:t xml:space="preserve">under our probabilistic validation framework, triggering immediate</w:t>
      </w:r>
      <w:r>
        <w:rPr>
          <w:i/>
          <w:iCs/>
        </w:rPr>
        <w:t xml:space="preserve"> </w:t>
      </w:r>
      <w:r>
        <w:rPr>
          <w:i/>
          <w:iCs/>
        </w:rPr>
        <w:t xml:space="preserve">remediation requirements and a potential Basel III capital multiplier</w:t>
      </w:r>
      <w:r>
        <w:rPr>
          <w:i/>
          <w:iCs/>
        </w:rPr>
        <w:t xml:space="preserve"> </w:t>
      </w:r>
      <w:r>
        <w:rPr>
          <w:i/>
          <w:iCs/>
        </w:rPr>
        <w:t xml:space="preserve">escalation. The model exhibits severe undercoverage with empirical</w:t>
      </w:r>
      <w:r>
        <w:rPr>
          <w:i/>
          <w:iCs/>
        </w:rPr>
        <w:t xml:space="preserve"> </w:t>
      </w:r>
      <w:r>
        <w:rPr>
          <w:i/>
          <w:iCs/>
        </w:rPr>
        <w:t xml:space="preserve">coverage of 61.94% against the 90% target (coverage error of −28.06%),</w:t>
      </w:r>
      <w:r>
        <w:rPr>
          <w:i/>
          <w:iCs/>
        </w:rPr>
        <w:t xml:space="preserve"> </w:t>
      </w:r>
      <w:r>
        <w:rPr>
          <w:i/>
          <w:iCs/>
        </w:rPr>
        <w:t xml:space="preserve">indicating systematic underestimation of forecast uncertainty. PIT</w:t>
      </w:r>
      <w:r>
        <w:rPr>
          <w:i/>
          <w:iCs/>
        </w:rPr>
        <w:t xml:space="preserve"> </w:t>
      </w:r>
      <w:r>
        <w:rPr>
          <w:i/>
          <w:iCs/>
        </w:rPr>
        <w:t xml:space="preserve">uniformity diagnostics show complete distributional failure with</w:t>
      </w:r>
      <w:r>
        <w:rPr>
          <w:i/>
          <w:iCs/>
        </w:rPr>
        <w:t xml:space="preserve"> </w:t>
      </w:r>
      <w:r>
        <w:rPr>
          <w:i/>
          <w:iCs/>
        </w:rPr>
        <w:t xml:space="preserve">Kolmogorov–Smirnov p-value of 4×10⁻⁶ and Cramér–von Mises p-value</w:t>
      </w:r>
      <w:r>
        <w:rPr>
          <w:i/>
          <w:iCs/>
        </w:rPr>
        <w:t xml:space="preserve"> </w:t>
      </w:r>
      <w:r>
        <w:rPr>
          <w:i/>
          <w:iCs/>
        </w:rPr>
        <w:t xml:space="preserve">effectively zero, while Ljung–Box tests reveal significant temporal</w:t>
      </w:r>
      <w:r>
        <w:rPr>
          <w:i/>
          <w:iCs/>
        </w:rPr>
        <w:t xml:space="preserve"> </w:t>
      </w:r>
      <w:r>
        <w:rPr>
          <w:i/>
          <w:iCs/>
        </w:rPr>
        <w:t xml:space="preserve">dependence in forecast errors across all tested lags (5, 10, 20) with</w:t>
      </w:r>
      <w:r>
        <w:rPr>
          <w:i/>
          <w:iCs/>
        </w:rPr>
        <w:t xml:space="preserve"> </w:t>
      </w:r>
      <w:r>
        <w:rPr>
          <w:i/>
          <w:iCs/>
        </w:rPr>
        <w:t xml:space="preserve">p-values of zero. The Anfuso traffic-light system confirms RED</w:t>
      </w:r>
      <w:r>
        <w:rPr>
          <w:i/>
          <w:iCs/>
        </w:rPr>
        <w:t xml:space="preserve"> </w:t>
      </w:r>
      <w:r>
        <w:rPr>
          <w:i/>
          <w:iCs/>
        </w:rPr>
        <w:t xml:space="preserve">classification across all breach categories (total breach rate 38.1%</w:t>
      </w:r>
      <w:r>
        <w:rPr>
          <w:i/>
          <w:iCs/>
        </w:rPr>
        <w:t xml:space="preserve"> </w:t>
      </w:r>
      <w:r>
        <w:rPr>
          <w:i/>
          <w:iCs/>
        </w:rPr>
        <w:t xml:space="preserve">vs. expected 10%), necessitating immediate model suspension under REMIT</w:t>
      </w:r>
      <w:r>
        <w:rPr>
          <w:i/>
          <w:iCs/>
        </w:rPr>
        <w:t xml:space="preserve"> </w:t>
      </w:r>
      <w:r>
        <w:rPr>
          <w:i/>
          <w:iCs/>
        </w:rPr>
        <w:t xml:space="preserve">Article 15 reporting obligations and triggering enhanced capital adequacy</w:t>
      </w:r>
      <w:r>
        <w:rPr>
          <w:i/>
          <w:iCs/>
        </w:rPr>
        <w:t xml:space="preserve"> </w:t>
      </w:r>
      <w:r>
        <w:rPr>
          <w:i/>
          <w:iCs/>
        </w:rPr>
        <w:t xml:space="preserve">requirements.</w:t>
      </w:r>
    </w:p>
    <w:p>
      <w:pPr>
        <w:pStyle w:val="FirstParagraph"/>
      </w:pPr>
      <w:r>
        <w:t xml:space="preserve">The plain-language register for the same dataset translates this into</w:t>
      </w:r>
      <w:r>
        <w:t xml:space="preserve"> </w:t>
      </w:r>
      <w:r>
        <w:t xml:space="preserve">non-technical terms suitable for management or commercial teams. The two</w:t>
      </w:r>
      <w:r>
        <w:t xml:space="preserve"> </w:t>
      </w:r>
      <w:r>
        <w:t xml:space="preserve">registers are generated from the same structured input in a single API</w:t>
      </w:r>
      <w:r>
        <w:t xml:space="preserve"> </w:t>
      </w:r>
      <w:r>
        <w:t xml:space="preserve">call at a cost of approximately $0.005 per dataset, ensuring consistency</w:t>
      </w:r>
      <w:r>
        <w:t xml:space="preserve"> </w:t>
      </w:r>
      <w:r>
        <w:t xml:space="preserve">between technical and non-technical accounts while extending the reach of</w:t>
      </w:r>
      <w:r>
        <w:t xml:space="preserve"> </w:t>
      </w:r>
      <w:r>
        <w:t xml:space="preserve">the governance framework to audiences who could not otherwise engage with</w:t>
      </w:r>
      <w:r>
        <w:t xml:space="preserve"> </w:t>
      </w:r>
      <w:r>
        <w:t xml:space="preserve">the diagnostic outputs.</w:t>
      </w:r>
    </w:p>
    <w:p>
      <w:pPr>
        <w:pStyle w:val="BodyText"/>
      </w:pPr>
      <w:r>
        <w:t xml:space="preserve">Narrative artifacts are written to each experiment directory alongside</w:t>
      </w:r>
      <w:r>
        <w:t xml:space="preserve"> </w:t>
      </w:r>
      <w:r>
        <w:t xml:space="preserve">the existing diagnostic artifacts:</w:t>
      </w:r>
      <w:r>
        <w:t xml:space="preserve"> </w:t>
      </w:r>
      <w:r>
        <w:rPr>
          <w:rStyle w:val="VerbatimChar"/>
        </w:rPr>
        <w:t xml:space="preserve">narrative_technical.md</w:t>
      </w:r>
      <w:r>
        <w:t xml:space="preserve">,</w:t>
      </w:r>
      <w:r>
        <w:t xml:space="preserve"> </w:t>
      </w:r>
      <w:r>
        <w:rPr>
          <w:rStyle w:val="VerbatimChar"/>
        </w:rPr>
        <w:t xml:space="preserve">narrative_plain.md</w:t>
      </w:r>
      <w:r>
        <w:t xml:space="preserve">, and</w:t>
      </w:r>
      <w:r>
        <w:t xml:space="preserve"> </w:t>
      </w:r>
      <w:r>
        <w:rPr>
          <w:rStyle w:val="VerbatimChar"/>
        </w:rPr>
        <w:t xml:space="preserve">narrative_combined.md</w:t>
      </w:r>
      <w:r>
        <w:t xml:space="preserve">. If no API key is</w:t>
      </w:r>
      <w:r>
        <w:t xml:space="preserve"> </w:t>
      </w:r>
      <w:r>
        <w:t xml:space="preserve">configured, clearly labelled stub narratives are written and the pipeline</w:t>
      </w:r>
      <w:r>
        <w:t xml:space="preserve"> </w:t>
      </w:r>
      <w:r>
        <w:t xml:space="preserve">continues without interruption, ensuring the governance decision artifacts</w:t>
      </w:r>
      <w:r>
        <w:t xml:space="preserve"> </w:t>
      </w:r>
      <w:r>
        <w:t xml:space="preserve">remain complete regardless of API availability.</w:t>
      </w:r>
    </w:p>
    <w:bookmarkEnd w:id="109"/>
    <w:bookmarkEnd w:id="110"/>
    <w:bookmarkEnd w:id="111"/>
    <w:bookmarkStart w:id="112" w:name="discussion"/>
    <w:p>
      <w:pPr>
        <w:pStyle w:val="Heading1"/>
      </w:pPr>
      <w:r>
        <w:t xml:space="preserve">Discussion</w:t>
      </w:r>
    </w:p>
    <w:bookmarkEnd w:id="112"/>
    <w:bookmarkStart w:id="137" w:name="discussion-1"/>
    <w:p>
      <w:pPr>
        <w:pStyle w:val="Heading1"/>
      </w:pPr>
      <w:r>
        <w:t xml:space="preserve">Discussion</w:t>
      </w:r>
    </w:p>
    <w:p>
      <w:pPr>
        <w:pStyle w:val="FirstParagraph"/>
      </w:pPr>
      <w:r>
        <w:t xml:space="preserve">This chapter interprets the empirical results in relation to the three</w:t>
      </w:r>
      <w:r>
        <w:t xml:space="preserve"> </w:t>
      </w:r>
      <w:r>
        <w:t xml:space="preserve">research questions, situates the findings within the broader literature,</w:t>
      </w:r>
      <w:r>
        <w:t xml:space="preserve"> </w:t>
      </w:r>
      <w:r>
        <w:t xml:space="preserve">and addresses the principal limitations of the framework.</w:t>
      </w:r>
    </w:p>
    <w:p>
      <w:r>
        <w:pict>
          <v:rect style="width:0;height:1.5pt" o:hralign="center" o:hrstd="t" o:hr="t"/>
        </w:pict>
      </w:r>
    </w:p>
    <w:bookmarkStart w:id="116" w:name="Xd7619b6be53f83f7797a638155f8c61df5b995d"/>
    <w:p>
      <w:pPr>
        <w:pStyle w:val="Heading2"/>
      </w:pPr>
      <w:r>
        <w:t xml:space="preserve">1. RQ1 — A Unified Probabilistic Reliability Architecture</w:t>
      </w:r>
    </w:p>
    <w:p>
      <w:pPr>
        <w:pStyle w:val="FirstParagraph"/>
      </w:pPr>
      <w:r>
        <w:rPr>
          <w:b/>
          <w:bCs/>
        </w:rPr>
        <w:t xml:space="preserve">RQ1:</w:t>
      </w:r>
      <w:r>
        <w:t xml:space="preserve"> </w:t>
      </w:r>
      <w:r>
        <w:t xml:space="preserve">Can heterogeneous energy-market models be evaluated within a</w:t>
      </w:r>
      <w:r>
        <w:t xml:space="preserve"> </w:t>
      </w:r>
      <w:r>
        <w:t xml:space="preserve">unified probabilistic reliability architecture without compromising</w:t>
      </w:r>
      <w:r>
        <w:t xml:space="preserve"> </w:t>
      </w:r>
      <w:r>
        <w:t xml:space="preserve">diagnostic depth or interpretability?</w:t>
      </w:r>
    </w:p>
    <w:p>
      <w:pPr>
        <w:pStyle w:val="BodyText"/>
      </w:pPr>
      <w:r>
        <w:t xml:space="preserve">The empirical results provide a positive answer, with an important</w:t>
      </w:r>
      <w:r>
        <w:t xml:space="preserve"> </w:t>
      </w:r>
      <w:r>
        <w:t xml:space="preserve">qualification about what</w:t>
      </w:r>
      <w:r>
        <w:t xml:space="preserve"> </w:t>
      </w:r>
      <w:r>
        <w:t xml:space="preserve">“unified”</w:t>
      </w:r>
      <w:r>
        <w:t xml:space="preserve"> </w:t>
      </w:r>
      <w:r>
        <w:t xml:space="preserve">means in practice.</w:t>
      </w:r>
    </w:p>
    <w:bookmarkStart w:id="113" w:name="what-unification-achieves"/>
    <w:p>
      <w:pPr>
        <w:pStyle w:val="Heading3"/>
      </w:pPr>
      <w:r>
        <w:t xml:space="preserve">1.1 What unification achieves</w:t>
      </w:r>
    </w:p>
    <w:p>
      <w:pPr>
        <w:pStyle w:val="FirstParagraph"/>
      </w:pPr>
      <w:r>
        <w:t xml:space="preserve">All four model classes — short-term electricity load forecasting (ENTSO-E),</w:t>
      </w:r>
      <w:r>
        <w:t xml:space="preserve"> </w:t>
      </w:r>
      <w:r>
        <w:t xml:space="preserve">long-term PV generation, long-term wind generation, and synthetic Monte</w:t>
      </w:r>
      <w:r>
        <w:t xml:space="preserve"> </w:t>
      </w:r>
      <w:r>
        <w:t xml:space="preserve">Carlo simulation — were evaluated under the same diagnostic pipeline</w:t>
      </w:r>
      <w:r>
        <w:t xml:space="preserve"> </w:t>
      </w:r>
      <w:r>
        <w:t xml:space="preserve">without modification. The framework consumed point forecasts and simulation</w:t>
      </w:r>
      <w:r>
        <w:t xml:space="preserve"> </w:t>
      </w:r>
      <w:r>
        <w:t xml:space="preserve">paths alike, converting both into a common evaluable object (predictive</w:t>
      </w:r>
      <w:r>
        <w:t xml:space="preserve"> </w:t>
      </w:r>
      <w:r>
        <w:t xml:space="preserve">interval + sample array) before applying an identical battery of tests.</w:t>
      </w:r>
      <w:r>
        <w:t xml:space="preserve"> </w:t>
      </w:r>
      <w:r>
        <w:t xml:space="preserve">The cross-dataset summary table in Section 7 of the Results confirms that</w:t>
      </w:r>
      <w:r>
        <w:t xml:space="preserve"> </w:t>
      </w:r>
      <w:r>
        <w:t xml:space="preserve">this produces meaningful, comparable governance classifications: three RED</w:t>
      </w:r>
      <w:r>
        <w:t xml:space="preserve"> </w:t>
      </w:r>
      <w:r>
        <w:t xml:space="preserve">results on real-data models and two GREEN results on the positive control.</w:t>
      </w:r>
    </w:p>
    <w:p>
      <w:pPr>
        <w:pStyle w:val="BodyText"/>
      </w:pPr>
      <w:r>
        <w:t xml:space="preserve">Critically, the unification does not flatten the findings into a single</w:t>
      </w:r>
      <w:r>
        <w:t xml:space="preserve"> </w:t>
      </w:r>
      <w:r>
        <w:t xml:space="preserve">scalar. The traffic-light framework separates interval coverage, PIT</w:t>
      </w:r>
      <w:r>
        <w:t xml:space="preserve"> </w:t>
      </w:r>
      <w:r>
        <w:t xml:space="preserve">uniformity, and serial independence as distinct diagnostic dimensions, and</w:t>
      </w:r>
      <w:r>
        <w:t xml:space="preserve"> </w:t>
      </w:r>
      <w:r>
        <w:t xml:space="preserve">the real-data models fail on different combinations of these. ENTSO-E fails</w:t>
      </w:r>
      <w:r>
        <w:t xml:space="preserve"> </w:t>
      </w:r>
      <w:r>
        <w:t xml:space="preserve">on all three; PV fails on PIT and independence while passing coverage; wind</w:t>
      </w:r>
      <w:r>
        <w:t xml:space="preserve"> </w:t>
      </w:r>
      <w:r>
        <w:t xml:space="preserve">fails on interval backtesting (lower tail only) and distributional</w:t>
      </w:r>
      <w:r>
        <w:t xml:space="preserve"> </w:t>
      </w:r>
      <w:r>
        <w:t xml:space="preserve">diagnostics. These are structurally distinct failure modes that a unified</w:t>
      </w:r>
      <w:r>
        <w:t xml:space="preserve"> </w:t>
      </w:r>
      <w:r>
        <w:t xml:space="preserve">scalar metric would have obscured. The framework thus achieves what the</w:t>
      </w:r>
      <w:r>
        <w:t xml:space="preserve"> </w:t>
      </w:r>
      <w:r>
        <w:t xml:space="preserve">proposal described: comparability within a shared probabilistic reliability</w:t>
      </w:r>
      <w:r>
        <w:t xml:space="preserve"> </w:t>
      </w:r>
      <w:r>
        <w:t xml:space="preserve">space without imposing methodological homogenisation.</w:t>
      </w:r>
    </w:p>
    <w:bookmarkEnd w:id="113"/>
    <w:bookmarkStart w:id="114" w:name="the-pv-finding-as-the-key-test-case"/>
    <w:p>
      <w:pPr>
        <w:pStyle w:val="Heading3"/>
      </w:pPr>
      <w:r>
        <w:t xml:space="preserve">1.2 The PV finding as the key test case</w:t>
      </w:r>
    </w:p>
    <w:p>
      <w:pPr>
        <w:pStyle w:val="FirstParagraph"/>
      </w:pPr>
      <w:r>
        <w:t xml:space="preserve">The most important single finding for RQ1 is the PV result. PV passes</w:t>
      </w:r>
      <w:r>
        <w:t xml:space="preserve"> </w:t>
      </w:r>
      <w:r>
        <w:t xml:space="preserve">interval backtesting (GREEN Anfuso, 91.4% coverage) but fails PIT</w:t>
      </w:r>
      <w:r>
        <w:t xml:space="preserve"> </w:t>
      </w:r>
      <w:r>
        <w:t xml:space="preserve">uniformity and independence diagnostics (both strongly rejected). This divergence directly demonstrates that coverage-only governance — the</w:t>
      </w:r>
      <w:r>
        <w:t xml:space="preserve"> </w:t>
      </w:r>
      <w:r>
        <w:t xml:space="preserve">dominant evaluation paradigm in energy forecasting practice (Weron, 2014;</w:t>
      </w:r>
      <w:r>
        <w:t xml:space="preserve"> </w:t>
      </w:r>
      <w:r>
        <w:t xml:space="preserve">Nowotarski and Weron, 2018) — would classify PV as acceptable</w:t>
      </w:r>
      <w:r>
        <w:t xml:space="preserve"> </w:t>
      </w:r>
      <w:r>
        <w:t xml:space="preserve">while a distributional-layer diagnostic correctly flags systematic</w:t>
      </w:r>
      <w:r>
        <w:t xml:space="preserve"> </w:t>
      </w:r>
      <w:r>
        <w:t xml:space="preserve">misspecification. This is not a theoretical argument: it is an empirical</w:t>
      </w:r>
      <w:r>
        <w:t xml:space="preserve"> </w:t>
      </w:r>
      <w:r>
        <w:t xml:space="preserve">finding on real industry data.</w:t>
      </w:r>
    </w:p>
    <w:p>
      <w:pPr>
        <w:pStyle w:val="BodyText"/>
      </w:pPr>
      <w:r>
        <w:t xml:space="preserve">This result is consistent with the broader literature on probabilistic</w:t>
      </w:r>
      <w:r>
        <w:t xml:space="preserve"> </w:t>
      </w:r>
      <w:r>
        <w:t xml:space="preserve">forecast evaluation. Gneiting and Katzfuss (2014) argue that calibration</w:t>
      </w:r>
      <w:r>
        <w:t xml:space="preserve"> </w:t>
      </w:r>
      <w:r>
        <w:t xml:space="preserve">and sharpness must be evaluated jointly, and that coverage metrics alone</w:t>
      </w:r>
      <w:r>
        <w:t xml:space="preserve"> </w:t>
      </w:r>
      <w:r>
        <w:t xml:space="preserve">cannot distinguish a well-calibrated sharp forecast from a</w:t>
      </w:r>
      <w:r>
        <w:t xml:space="preserve"> </w:t>
      </w:r>
      <w:r>
        <w:t xml:space="preserve">poorly-calibrated but accidentally correct one. The PV finding is a</w:t>
      </w:r>
      <w:r>
        <w:t xml:space="preserve"> </w:t>
      </w:r>
      <w:r>
        <w:t xml:space="preserve">concrete instantiation of this theoretical point in an energy market</w:t>
      </w:r>
      <w:r>
        <w:t xml:space="preserve"> </w:t>
      </w:r>
      <w:r>
        <w:t xml:space="preserve">context.</w:t>
      </w:r>
    </w:p>
    <w:bookmarkEnd w:id="114"/>
    <w:bookmarkStart w:id="115" w:name="X44a84bccfdafcd2e426fdb8c29712bce69b9219"/>
    <w:p>
      <w:pPr>
        <w:pStyle w:val="Heading3"/>
      </w:pPr>
      <w:r>
        <w:t xml:space="preserve">1.3 Distribution reconstruction as a prerequisite</w:t>
      </w:r>
    </w:p>
    <w:p>
      <w:pPr>
        <w:pStyle w:val="FirstParagraph"/>
      </w:pPr>
      <w:r>
        <w:t xml:space="preserve">For the three real-data model classes, the unified architecture required</w:t>
      </w:r>
      <w:r>
        <w:t xml:space="preserve"> </w:t>
      </w:r>
      <w:r>
        <w:t xml:space="preserve">a distribution reconstruction step before any probabilistic diagnostic</w:t>
      </w:r>
      <w:r>
        <w:t xml:space="preserve"> </w:t>
      </w:r>
      <w:r>
        <w:t xml:space="preserve">could be applied. This step — rolling empirical residual quantiles with</w:t>
      </w:r>
      <w:r>
        <w:t xml:space="preserve"> </w:t>
      </w:r>
      <w:r>
        <w:t xml:space="preserve">time-of-day conditioning — is not itself a contribution to forecasting</w:t>
      </w:r>
      <w:r>
        <w:t xml:space="preserve"> </w:t>
      </w:r>
      <w:r>
        <w:t xml:space="preserve">methodology, but it is a necessary architectural component. Without it,</w:t>
      </w:r>
      <w:r>
        <w:t xml:space="preserve"> </w:t>
      </w:r>
      <w:r>
        <w:t xml:space="preserve">PIT-based evaluation of point-forecast models is not possible, and the</w:t>
      </w:r>
      <w:r>
        <w:t xml:space="preserve"> </w:t>
      </w:r>
      <w:r>
        <w:t xml:space="preserve">unification claim collapses.</w:t>
      </w:r>
    </w:p>
    <w:p>
      <w:pPr>
        <w:pStyle w:val="BodyText"/>
      </w:pPr>
      <w:r>
        <w:t xml:space="preserve">The reconstruction produces coverage rates of 87.1% (ENTSO-E), 91.4%</w:t>
      </w:r>
      <w:r>
        <w:t xml:space="preserve"> </w:t>
      </w:r>
      <w:r>
        <w:t xml:space="preserve">(PV), and 88.6% (wind) against a 90% nominal target. These imperfections</w:t>
      </w:r>
      <w:r>
        <w:t xml:space="preserve"> </w:t>
      </w:r>
      <w:r>
        <w:t xml:space="preserve">are not failures of the reconstruction — they are genuine findings about</w:t>
      </w:r>
      <w:r>
        <w:t xml:space="preserve"> </w:t>
      </w:r>
      <w:r>
        <w:t xml:space="preserve">the models being evaluated. A perfect reconstruction would itself be a</w:t>
      </w:r>
      <w:r>
        <w:t xml:space="preserve"> </w:t>
      </w:r>
      <w:r>
        <w:t xml:space="preserve">model improvement, not a validation tool. The framework’s role is to</w:t>
      </w:r>
      <w:r>
        <w:t xml:space="preserve"> </w:t>
      </w:r>
      <w:r>
        <w:t xml:space="preserve">diagnose the imperfections, not to eliminate them.</w:t>
      </w:r>
    </w:p>
    <w:p>
      <w:r>
        <w:pict>
          <v:rect style="width:0;height:1.5pt" o:hralign="center" o:hrstd="t" o:hr="t"/>
        </w:pict>
      </w:r>
    </w:p>
    <w:bookmarkEnd w:id="115"/>
    <w:bookmarkEnd w:id="116"/>
    <w:bookmarkStart w:id="120" w:name="X2960ab550ca0bdb21de1f40ad8e424179f50f37"/>
    <w:p>
      <w:pPr>
        <w:pStyle w:val="Heading2"/>
      </w:pPr>
      <w:r>
        <w:t xml:space="preserve">2. RQ2 — Conformal Augmentation Under Regime Shifts</w:t>
      </w:r>
    </w:p>
    <w:p>
      <w:pPr>
        <w:pStyle w:val="FirstParagraph"/>
      </w:pPr>
      <w:r>
        <w:rPr>
          <w:b/>
          <w:bCs/>
        </w:rPr>
        <w:t xml:space="preserve">RQ2:</w:t>
      </w:r>
      <w:r>
        <w:t xml:space="preserve"> </w:t>
      </w:r>
      <w:r>
        <w:t xml:space="preserve">Under which market conditions do conformal augmentation methods</w:t>
      </w:r>
      <w:r>
        <w:t xml:space="preserve"> </w:t>
      </w:r>
      <w:r>
        <w:t xml:space="preserve">improve finite-sample coverage stability relative to classical PIT-based</w:t>
      </w:r>
      <w:r>
        <w:t xml:space="preserve"> </w:t>
      </w:r>
      <w:r>
        <w:t xml:space="preserve">calibration diagnostics under regime shifts and temporal dependence?</w:t>
      </w:r>
    </w:p>
    <w:p>
      <w:pPr>
        <w:pStyle w:val="BodyText"/>
      </w:pPr>
      <w:r>
        <w:t xml:space="preserve">The conformal feasibility study on the ENTSO-E development sample provides</w:t>
      </w:r>
      <w:r>
        <w:t xml:space="preserve"> </w:t>
      </w:r>
      <w:r>
        <w:t xml:space="preserve">a partial answer, with clear conditions identified for both success and</w:t>
      </w:r>
      <w:r>
        <w:t xml:space="preserve"> </w:t>
      </w:r>
      <w:r>
        <w:t xml:space="preserve">failure.</w:t>
      </w:r>
    </w:p>
    <w:bookmarkStart w:id="117" w:name="when-conformal-augmentation-works"/>
    <w:p>
      <w:pPr>
        <w:pStyle w:val="Heading3"/>
      </w:pPr>
      <w:r>
        <w:t xml:space="preserve">2.1 When conformal augmentation works</w:t>
      </w:r>
    </w:p>
    <w:p>
      <w:pPr>
        <w:pStyle w:val="FirstParagraph"/>
      </w:pPr>
      <w:r>
        <w:t xml:space="preserve">The base interval + conformal expansion method achieves 89.9% empirical</w:t>
      </w:r>
      <w:r>
        <w:t xml:space="preserve"> </w:t>
      </w:r>
      <w:r>
        <w:t xml:space="preserve">coverage at α = 0.1 on the 30% test split of the 90-day ENTSO-E sample,</w:t>
      </w:r>
      <w:r>
        <w:t xml:space="preserve"> </w:t>
      </w:r>
      <w:r>
        <w:t xml:space="preserve">up from 82.5% on the base interval alone — a 7.4 pp coverage restoration</w:t>
      </w:r>
      <w:r>
        <w:t xml:space="preserve"> </w:t>
      </w:r>
      <w:r>
        <w:t xml:space="preserve">at a 12% width cost. This is the best result of the five methods evaluated</w:t>
      </w:r>
      <w:r>
        <w:t xml:space="preserve"> </w:t>
      </w:r>
      <w:r>
        <w:t xml:space="preserve">and confirms that conformal augmentation is effective when:</w:t>
      </w:r>
    </w:p>
    <w:p>
      <w:pPr>
        <w:pStyle w:val="Compact"/>
        <w:numPr>
          <w:ilvl w:val="0"/>
          <w:numId w:val="1020"/>
        </w:numPr>
      </w:pPr>
      <w:r>
        <w:t xml:space="preserve">The base intervals are directionally reasonable but systematically</w:t>
      </w:r>
      <w:r>
        <w:t xml:space="preserve"> </w:t>
      </w:r>
      <w:r>
        <w:t xml:space="preserve">too narrow (the ENTSO-E pre-conformal case).</w:t>
      </w:r>
    </w:p>
    <w:p>
      <w:pPr>
        <w:pStyle w:val="Compact"/>
        <w:numPr>
          <w:ilvl w:val="0"/>
          <w:numId w:val="1020"/>
        </w:numPr>
      </w:pPr>
      <w:r>
        <w:t xml:space="preserve">Distribution shift is present but moderate — the study confirmed a</w:t>
      </w:r>
      <w:r>
        <w:t xml:space="preserve"> </w:t>
      </w:r>
      <w:r>
        <w:t xml:space="preserve">19–45% increase in median-to-mean absolute error from calibration to</w:t>
      </w:r>
      <w:r>
        <w:t xml:space="preserve"> </w:t>
      </w:r>
      <w:r>
        <w:t xml:space="preserve">test periods, which is substantial but not structural.</w:t>
      </w:r>
    </w:p>
    <w:p>
      <w:pPr>
        <w:pStyle w:val="Compact"/>
        <w:numPr>
          <w:ilvl w:val="0"/>
          <w:numId w:val="1020"/>
        </w:numPr>
      </w:pPr>
      <w:r>
        <w:t xml:space="preserve">The covariate-shift weighting via logistic density ratio correctly</w:t>
      </w:r>
      <w:r>
        <w:t xml:space="preserve"> </w:t>
      </w:r>
      <w:r>
        <w:t xml:space="preserve">identifies the calibration-to-test shift, downweighting older</w:t>
      </w:r>
      <w:r>
        <w:t xml:space="preserve"> </w:t>
      </w:r>
      <w:r>
        <w:t xml:space="preserve">calibration observations in favour of more recent ones.</w:t>
      </w:r>
    </w:p>
    <w:p>
      <w:pPr>
        <w:pStyle w:val="FirstParagraph"/>
      </w:pPr>
      <w:r>
        <w:t xml:space="preserve">This result is consistent with Tibshirani et al. (2019), who show that</w:t>
      </w:r>
      <w:r>
        <w:t xml:space="preserve"> </w:t>
      </w:r>
      <w:r>
        <w:t xml:space="preserve">weighted conformal prediction achieves valid marginal coverage under</w:t>
      </w:r>
      <w:r>
        <w:t xml:space="preserve"> </w:t>
      </w:r>
      <w:r>
        <w:t xml:space="preserve">covariate shift provided the density ratio is correctly estimated.</w:t>
      </w:r>
      <w:r>
        <w:t xml:space="preserve"> </w:t>
      </w:r>
      <w:r>
        <w:t xml:space="preserve">Adaptive conformal methods for time series (Zaffran et al., 2022) address</w:t>
      </w:r>
      <w:r>
        <w:t xml:space="preserve"> </w:t>
      </w:r>
      <w:r>
        <w:t xml:space="preserve">similar non-stationarity concerns through online quantile updates, though</w:t>
      </w:r>
      <w:r>
        <w:t xml:space="preserve"> </w:t>
      </w:r>
      <w:r>
        <w:t xml:space="preserve">their application here was constrained by the step-size issue described</w:t>
      </w:r>
      <w:r>
        <w:t xml:space="preserve"> </w:t>
      </w:r>
      <w:r>
        <w:t xml:space="preserve">in Section 2.2. The</w:t>
      </w:r>
      <w:r>
        <w:t xml:space="preserve"> </w:t>
      </w:r>
      <w:r>
        <w:t xml:space="preserve">temporal covariate (elapsed time with cyclic encodings) provides a</w:t>
      </w:r>
      <w:r>
        <w:t xml:space="preserve"> </w:t>
      </w:r>
      <w:r>
        <w:t xml:space="preserve">well-identified shift direction in this context.</w:t>
      </w:r>
    </w:p>
    <w:bookmarkEnd w:id="117"/>
    <w:bookmarkStart w:id="118" w:name="when-conformal-augmentation-fails"/>
    <w:p>
      <w:pPr>
        <w:pStyle w:val="Heading3"/>
      </w:pPr>
      <w:r>
        <w:t xml:space="preserve">2.2 When conformal augmentation fails</w:t>
      </w:r>
    </w:p>
    <w:p>
      <w:pPr>
        <w:pStyle w:val="FirstParagraph"/>
      </w:pPr>
      <w:r>
        <w:t xml:space="preserve">Two conformal variants fail in instructive ways.</w:t>
      </w:r>
    </w:p>
    <w:p>
      <w:pPr>
        <w:pStyle w:val="BodyText"/>
      </w:pPr>
      <w:r>
        <w:rPr>
          <w:b/>
          <w:bCs/>
        </w:rPr>
        <w:t xml:space="preserve">Online CP with fixed step size</w:t>
      </w:r>
      <w:r>
        <w:t xml:space="preserve"> </w:t>
      </w:r>
      <w:r>
        <w:t xml:space="preserve">collapses to approximately 50% coverage</w:t>
      </w:r>
      <w:r>
        <w:t xml:space="preserve"> </w:t>
      </w:r>
      <w:r>
        <w:t xml:space="preserve">at both nominal levels. The cause is explicit: a step size of 0.01 is</w:t>
      </w:r>
      <w:r>
        <w:t xml:space="preserve"> </w:t>
      </w:r>
      <w:r>
        <w:t xml:space="preserve">calibrated for normalised residuals of O(1), but ENTSO-E electricity load</w:t>
      </w:r>
      <w:r>
        <w:t xml:space="preserve"> </w:t>
      </w:r>
      <w:r>
        <w:t xml:space="preserve">errors are of O(10³). The quantile update rule moves at 0.01 units per</w:t>
      </w:r>
      <w:r>
        <w:t xml:space="preserve"> </w:t>
      </w:r>
      <w:r>
        <w:t xml:space="preserve">step while the true scale requires adjustments of hundreds of units,</w:t>
      </w:r>
      <w:r>
        <w:t xml:space="preserve"> </w:t>
      </w:r>
      <w:r>
        <w:t xml:space="preserve">causing the algorithm to stagnate. This is a configuration failure, not</w:t>
      </w:r>
      <w:r>
        <w:t xml:space="preserve"> </w:t>
      </w:r>
      <w:r>
        <w:t xml:space="preserve">a method failure — Angelopoulos et al. (2024) specifically address step</w:t>
      </w:r>
      <w:r>
        <w:t xml:space="preserve"> </w:t>
      </w:r>
      <w:r>
        <w:t xml:space="preserve">size calibration for non-stationary environments. The finding confirms</w:t>
      </w:r>
      <w:r>
        <w:t xml:space="preserve"> </w:t>
      </w:r>
      <w:r>
        <w:t xml:space="preserve">that online CP requires scale-aware initialisation and that naive</w:t>
      </w:r>
      <w:r>
        <w:t xml:space="preserve"> </w:t>
      </w:r>
      <w:r>
        <w:t xml:space="preserve">application to energy market data without this adjustment is</w:t>
      </w:r>
      <w:r>
        <w:t xml:space="preserve"> </w:t>
      </w:r>
      <w:r>
        <w:t xml:space="preserve">counterproductive.</w:t>
      </w:r>
    </w:p>
    <w:p>
      <w:pPr>
        <w:pStyle w:val="BodyText"/>
      </w:pPr>
      <w:r>
        <w:rPr>
          <w:b/>
          <w:bCs/>
        </w:rPr>
        <w:t xml:space="preserve">Point split conformal</w:t>
      </w:r>
      <w:r>
        <w:t xml:space="preserve"> </w:t>
      </w:r>
      <w:r>
        <w:t xml:space="preserve">undercovers at 65.4% (α = 0.2) because it uses</w:t>
      </w:r>
      <w:r>
        <w:t xml:space="preserve"> </w:t>
      </w:r>
      <w:r>
        <w:t xml:space="preserve">a constant-width interval derived from calibration-period residuals. When</w:t>
      </w:r>
      <w:r>
        <w:t xml:space="preserve"> </w:t>
      </w:r>
      <w:r>
        <w:t xml:space="preserve">the test distribution shifts — as confirmed by the error increase — a</w:t>
      </w:r>
      <w:r>
        <w:t xml:space="preserve"> </w:t>
      </w:r>
      <w:r>
        <w:t xml:space="preserve">fixed quantile cannot adapt, and coverage deteriorates in direct proportion</w:t>
      </w:r>
      <w:r>
        <w:t xml:space="preserve"> </w:t>
      </w:r>
      <w:r>
        <w:t xml:space="preserve">to the magnitude of the shift. This establishes a clear condition under</w:t>
      </w:r>
      <w:r>
        <w:t xml:space="preserve"> </w:t>
      </w:r>
      <w:r>
        <w:t xml:space="preserve">which conformal augmentation does not improve over the base interval:</w:t>
      </w:r>
      <w:r>
        <w:t xml:space="preserve"> </w:t>
      </w:r>
      <w:r>
        <w:t xml:space="preserve">when the calibration-to-test shift is directional and the conformal</w:t>
      </w:r>
      <w:r>
        <w:t xml:space="preserve"> </w:t>
      </w:r>
      <w:r>
        <w:t xml:space="preserve">variant does not adapt to it.</w:t>
      </w:r>
    </w:p>
    <w:bookmarkEnd w:id="118"/>
    <w:bookmarkStart w:id="119" w:name="what-conformal-augmentation-does-not-fix"/>
    <w:p>
      <w:pPr>
        <w:pStyle w:val="Heading3"/>
      </w:pPr>
      <w:r>
        <w:t xml:space="preserve">2.3 What conformal augmentation does not fix</w:t>
      </w:r>
    </w:p>
    <w:p>
      <w:pPr>
        <w:pStyle w:val="FirstParagraph"/>
      </w:pPr>
      <w:r>
        <w:t xml:space="preserve">The conformal study was conducted on the ENTSO-E development sample, where</w:t>
      </w:r>
      <w:r>
        <w:t xml:space="preserve"> </w:t>
      </w:r>
      <w:r>
        <w:t xml:space="preserve">the pre-conformal coverage is 82.5% — clearly below the 90% nominal. But</w:t>
      </w:r>
      <w:r>
        <w:t xml:space="preserve"> </w:t>
      </w:r>
      <w:r>
        <w:t xml:space="preserve">conformal expansion corrects only interval width, not distributional shape.</w:t>
      </w:r>
      <w:r>
        <w:t xml:space="preserve"> </w:t>
      </w:r>
      <w:r>
        <w:t xml:space="preserve">The underlying PIT failures (uniformity and independence rejection) would</w:t>
      </w:r>
      <w:r>
        <w:t xml:space="preserve"> </w:t>
      </w:r>
      <w:r>
        <w:t xml:space="preserve">persist on the conformal-adjusted outputs. This is the critical distinction</w:t>
      </w:r>
      <w:r>
        <w:t xml:space="preserve"> </w:t>
      </w:r>
      <w:r>
        <w:t xml:space="preserve">for RQ2: conformal augmentation improves finite-sample coverage stability</w:t>
      </w:r>
      <w:r>
        <w:t xml:space="preserve"> </w:t>
      </w:r>
      <w:r>
        <w:t xml:space="preserve">under regime shifts, but it does not address distributional misspecification</w:t>
      </w:r>
      <w:r>
        <w:t xml:space="preserve"> </w:t>
      </w:r>
      <w:r>
        <w:t xml:space="preserve">or serial dependence. Classical PIT diagnostics and conformal augmentation</w:t>
      </w:r>
      <w:r>
        <w:t xml:space="preserve"> </w:t>
      </w:r>
      <w:r>
        <w:t xml:space="preserve">are therefore complementary, not substitutable. The conditions under which</w:t>
      </w:r>
      <w:r>
        <w:t xml:space="preserve"> </w:t>
      </w:r>
      <w:r>
        <w:t xml:space="preserve">conformal augmentation improves over PIT diagnostics alone are precisely</w:t>
      </w:r>
      <w:r>
        <w:t xml:space="preserve"> </w:t>
      </w:r>
      <w:r>
        <w:t xml:space="preserve">the conditions where the PIT failures are limited to coverage shortfall</w:t>
      </w:r>
      <w:r>
        <w:t xml:space="preserve"> </w:t>
      </w:r>
      <w:r>
        <w:t xml:space="preserve">rather than distributional shape or temporal structure.</w:t>
      </w:r>
    </w:p>
    <w:p>
      <w:r>
        <w:pict>
          <v:rect style="width:0;height:1.5pt" o:hralign="center" o:hrstd="t" o:hr="t"/>
        </w:pict>
      </w:r>
    </w:p>
    <w:bookmarkEnd w:id="119"/>
    <w:bookmarkEnd w:id="120"/>
    <w:bookmarkStart w:id="125" w:name="rq3-governance-classification"/>
    <w:p>
      <w:pPr>
        <w:pStyle w:val="Heading2"/>
      </w:pPr>
      <w:r>
        <w:t xml:space="preserve">3. RQ3 — Governance Classification</w:t>
      </w:r>
    </w:p>
    <w:p>
      <w:pPr>
        <w:pStyle w:val="FirstParagraph"/>
      </w:pPr>
      <w:r>
        <w:rPr>
          <w:b/>
          <w:bCs/>
        </w:rPr>
        <w:t xml:space="preserve">RQ3:</w:t>
      </w:r>
      <w:r>
        <w:t xml:space="preserve"> </w:t>
      </w:r>
      <w:r>
        <w:t xml:space="preserve">Can probabilistic calibration diagnostics be aggregated into</w:t>
      </w:r>
      <w:r>
        <w:t xml:space="preserve"> </w:t>
      </w:r>
      <w:r>
        <w:t xml:space="preserve">statistically defensible governance classifications comparable to</w:t>
      </w:r>
      <w:r>
        <w:t xml:space="preserve"> </w:t>
      </w:r>
      <w:r>
        <w:t xml:space="preserve">Basel-style traffic-light backtesting systems?</w:t>
      </w:r>
    </w:p>
    <w:p>
      <w:pPr>
        <w:pStyle w:val="BodyText"/>
      </w:pPr>
      <w:r>
        <w:t xml:space="preserve">The results demonstrate that such aggregation is feasible and produces</w:t>
      </w:r>
      <w:r>
        <w:t xml:space="preserve"> </w:t>
      </w:r>
      <w:r>
        <w:t xml:space="preserve">classifications that are both statistically grounded and institutionally</w:t>
      </w:r>
      <w:r>
        <w:t xml:space="preserve"> </w:t>
      </w:r>
      <w:r>
        <w:t xml:space="preserve">interpretable.</w:t>
      </w:r>
    </w:p>
    <w:bookmarkStart w:id="121" w:name="the-traffic-light-aggregation-logic"/>
    <w:p>
      <w:pPr>
        <w:pStyle w:val="Heading3"/>
      </w:pPr>
      <w:r>
        <w:t xml:space="preserve">3.1 The traffic-light aggregation logic</w:t>
      </w:r>
    </w:p>
    <w:p>
      <w:pPr>
        <w:pStyle w:val="FirstParagraph"/>
      </w:pPr>
      <w:r>
        <w:t xml:space="preserve">The governance classification aggregates three diagnostic layers</w:t>
      </w:r>
      <w:r>
        <w:t xml:space="preserve"> </w:t>
      </w:r>
      <w:r>
        <w:t xml:space="preserve">(Anfuso interval, PIT uniformity, Ljung–Box independence) via a</w:t>
      </w:r>
      <w:r>
        <w:t xml:space="preserve"> </w:t>
      </w:r>
      <w:r>
        <w:t xml:space="preserve">hierarchical policy: RED is triggered if any layer fails beyond its</w:t>
      </w:r>
      <w:r>
        <w:t xml:space="preserve"> </w:t>
      </w:r>
      <w:r>
        <w:t xml:space="preserve">threshold. This is a conservative aggregation rule — a model must pass</w:t>
      </w:r>
      <w:r>
        <w:t xml:space="preserve"> </w:t>
      </w:r>
      <w:r>
        <w:t xml:space="preserve">all layers to achieve GREEN. The conservative direction is appropriate</w:t>
      </w:r>
      <w:r>
        <w:t xml:space="preserve"> </w:t>
      </w:r>
      <w:r>
        <w:t xml:space="preserve">for model governance: the cost of a false GREEN (using a miscalibrated</w:t>
      </w:r>
      <w:r>
        <w:t xml:space="preserve"> </w:t>
      </w:r>
      <w:r>
        <w:t xml:space="preserve">model) exceeds the cost of a false RED (triggering unnecessary review).</w:t>
      </w:r>
    </w:p>
    <w:p>
      <w:pPr>
        <w:pStyle w:val="BodyText"/>
      </w:pPr>
      <w:r>
        <w:t xml:space="preserve">This logic follows the Basel framework (Basel Committee, 1996; 2010;</w:t>
      </w:r>
      <w:r>
        <w:t xml:space="preserve"> </w:t>
      </w:r>
      <w:r>
        <w:t xml:space="preserve">McNeil, Frey and Embrechts, 2005), where the yellow and red zones are</w:t>
      </w:r>
      <w:r>
        <w:t xml:space="preserve"> </w:t>
      </w:r>
      <w:r>
        <w:t xml:space="preserve">defined conservatively: models with more than 10 VaR exceedances over</w:t>
      </w:r>
      <w:r>
        <w:t xml:space="preserve"> </w:t>
      </w:r>
      <w:r>
        <w:t xml:space="preserve">250 days are automatically red-flagged regardless of other performance</w:t>
      </w:r>
      <w:r>
        <w:t xml:space="preserve"> </w:t>
      </w:r>
      <w:r>
        <w:t xml:space="preserve">indicators. The extension in this thesis</w:t>
      </w:r>
      <w:r>
        <w:t xml:space="preserve"> </w:t>
      </w:r>
      <w:r>
        <w:t xml:space="preserve">adds distributional and independence layers that Basel’s simpler</w:t>
      </w:r>
      <w:r>
        <w:t xml:space="preserve"> </w:t>
      </w:r>
      <w:r>
        <w:t xml:space="preserve">exceedance count does not include, reflecting the richer diagnostic</w:t>
      </w:r>
      <w:r>
        <w:t xml:space="preserve"> </w:t>
      </w:r>
      <w:r>
        <w:t xml:space="preserve">information available from full density forecast evaluation.</w:t>
      </w:r>
    </w:p>
    <w:bookmarkEnd w:id="121"/>
    <w:bookmarkStart w:id="122" w:name="cross-model-comparability"/>
    <w:p>
      <w:pPr>
        <w:pStyle w:val="Heading3"/>
      </w:pPr>
      <w:r>
        <w:t xml:space="preserve">3.2 Cross-model comparability</w:t>
      </w:r>
    </w:p>
    <w:p>
      <w:pPr>
        <w:pStyle w:val="FirstParagraph"/>
      </w:pPr>
      <w:r>
        <w:t xml:space="preserve">The governance framework produces classifications that are directly</w:t>
      </w:r>
      <w:r>
        <w:t xml:space="preserve"> </w:t>
      </w:r>
      <w:r>
        <w:t xml:space="preserve">comparable across model classes. All three real-data models receive RED</w:t>
      </w:r>
      <w:r>
        <w:t xml:space="preserve"> </w:t>
      </w:r>
      <w:r>
        <w:t xml:space="preserve">for reasons rooted in the same diagnostic vocabulary — PIT failure,</w:t>
      </w:r>
      <w:r>
        <w:t xml:space="preserve"> </w:t>
      </w:r>
      <w:r>
        <w:t xml:space="preserve">independence rejection, tail miscalibration — even though the underlying</w:t>
      </w:r>
      <w:r>
        <w:t xml:space="preserve"> </w:t>
      </w:r>
      <w:r>
        <w:t xml:space="preserve">failure mechanisms are structurally different. An institution operating</w:t>
      </w:r>
      <w:r>
        <w:t xml:space="preserve"> </w:t>
      </w:r>
      <w:r>
        <w:t xml:space="preserve">across all three model classes can apply the same governance policy,</w:t>
      </w:r>
      <w:r>
        <w:t xml:space="preserve"> </w:t>
      </w:r>
      <w:r>
        <w:t xml:space="preserve">with the failure mode detail in the risk_reasons field providing the</w:t>
      </w:r>
      <w:r>
        <w:t xml:space="preserve"> </w:t>
      </w:r>
      <w:r>
        <w:t xml:space="preserve">model-specific guidance for remediation.</w:t>
      </w:r>
    </w:p>
    <w:p>
      <w:pPr>
        <w:pStyle w:val="BodyText"/>
      </w:pPr>
      <w:r>
        <w:t xml:space="preserve">The positive control (synthetic simulation) receives GREEN, validating</w:t>
      </w:r>
      <w:r>
        <w:t xml:space="preserve"> </w:t>
      </w:r>
      <w:r>
        <w:t xml:space="preserve">that the framework is not systematically over-strict. The three</w:t>
      </w:r>
      <w:r>
        <w:t xml:space="preserve"> </w:t>
      </w:r>
      <w:r>
        <w:t xml:space="preserve">misspecification scenarios correctly detect variance inflation and mean</w:t>
      </w:r>
      <w:r>
        <w:t xml:space="preserve"> </w:t>
      </w:r>
      <w:r>
        <w:t xml:space="preserve">bias as RED with the appropriate tail signature (bilateral for inflation,</w:t>
      </w:r>
      <w:r>
        <w:t xml:space="preserve"> </w:t>
      </w:r>
      <w:r>
        <w:t xml:space="preserve">unilateral for bias). These results confirm that the classification is</w:t>
      </w:r>
      <w:r>
        <w:t xml:space="preserve"> </w:t>
      </w:r>
      <w:r>
        <w:t xml:space="preserve">statistically defensible: it responds correctly to known model states.</w:t>
      </w:r>
    </w:p>
    <w:p>
      <w:pPr>
        <w:pStyle w:val="BodyText"/>
      </w:pPr>
      <w:r>
        <w:t xml:space="preserve">The production architecture reinforces this defensibility through a</w:t>
      </w:r>
      <w:r>
        <w:t xml:space="preserve"> </w:t>
      </w:r>
      <w:r>
        <w:t xml:space="preserve">structured provenance mechanism. Every</w:t>
      </w:r>
      <w:r>
        <w:t xml:space="preserve"> </w:t>
      </w:r>
      <w:r>
        <w:rPr>
          <w:rStyle w:val="VerbatimChar"/>
        </w:rPr>
        <w:t xml:space="preserve">GovernanceDecision</w:t>
      </w:r>
      <w:r>
        <w:t xml:space="preserve"> </w:t>
      </w:r>
      <w:r>
        <w:t xml:space="preserve">produced by</w:t>
      </w:r>
      <w:r>
        <w:t xml:space="preserve"> </w:t>
      </w:r>
      <w:r>
        <w:t xml:space="preserve">the</w:t>
      </w:r>
      <w:r>
        <w:t xml:space="preserve"> </w:t>
      </w:r>
      <w:r>
        <w:rPr>
          <w:rStyle w:val="VerbatimChar"/>
        </w:rPr>
        <w:t xml:space="preserve">DecisionEngine</w:t>
      </w:r>
      <w:r>
        <w:t xml:space="preserve"> </w:t>
      </w:r>
      <w:r>
        <w:t xml:space="preserve">records which diagnostic branches were computed,</w:t>
      </w:r>
      <w:r>
        <w:t xml:space="preserve"> </w:t>
      </w:r>
      <w:r>
        <w:t xml:space="preserve">which were skipped and why, which policy was applied, and the timestamp</w:t>
      </w:r>
      <w:r>
        <w:t xml:space="preserve"> </w:t>
      </w:r>
      <w:r>
        <w:t xml:space="preserve">of the decision — a full audit trail in machine-readable JSON. This is</w:t>
      </w:r>
      <w:r>
        <w:t xml:space="preserve"> </w:t>
      </w:r>
      <w:r>
        <w:t xml:space="preserve">not merely an engineering convenience: it is a direct response to the</w:t>
      </w:r>
      <w:r>
        <w:t xml:space="preserve"> </w:t>
      </w:r>
      <w:r>
        <w:t xml:space="preserve">governance requirement that classification decisions be explainable and</w:t>
      </w:r>
      <w:r>
        <w:t xml:space="preserve"> </w:t>
      </w:r>
      <w:r>
        <w:t xml:space="preserve">reproducible. An institution presenting a RED classification to a regulator</w:t>
      </w:r>
      <w:r>
        <w:t xml:space="preserve"> </w:t>
      </w:r>
      <w:r>
        <w:t xml:space="preserve">or internal risk committee can accompany it with the exact metric snapshot,</w:t>
      </w:r>
      <w:r>
        <w:t xml:space="preserve"> </w:t>
      </w:r>
      <w:r>
        <w:t xml:space="preserve">reason codes, and policy parameters that produced it, satisfying the</w:t>
      </w:r>
      <w:r>
        <w:t xml:space="preserve"> </w:t>
      </w:r>
      <w:r>
        <w:t xml:space="preserve">auditability requirements implicit in REMIT Article 15 and the Basel</w:t>
      </w:r>
      <w:r>
        <w:t xml:space="preserve"> </w:t>
      </w:r>
      <w:r>
        <w:t xml:space="preserve">backtesting documentation obligations.</w:t>
      </w:r>
    </w:p>
    <w:bookmarkEnd w:id="122"/>
    <w:bookmarkStart w:id="123" w:name="the-heavy-tail-boundary"/>
    <w:p>
      <w:pPr>
        <w:pStyle w:val="Heading3"/>
      </w:pPr>
      <w:r>
        <w:t xml:space="preserve">3.3 The heavy-tail boundary</w:t>
      </w:r>
    </w:p>
    <w:p>
      <w:pPr>
        <w:pStyle w:val="FirstParagraph"/>
      </w:pPr>
      <w:r>
        <w:t xml:space="preserve">The heavy-tails scenario receiving GREEN at n = 365 is a genuine</w:t>
      </w:r>
      <w:r>
        <w:t xml:space="preserve"> </w:t>
      </w:r>
      <w:r>
        <w:t xml:space="preserve">limitation of the framework as implemented, but it is also a</w:t>
      </w:r>
      <w:r>
        <w:t xml:space="preserve"> </w:t>
      </w:r>
      <w:r>
        <w:t xml:space="preserve">statistically honest finding. The Anfuso binomial test at n = 365 has</w:t>
      </w:r>
      <w:r>
        <w:t xml:space="preserve"> </w:t>
      </w:r>
      <w:r>
        <w:t xml:space="preserve">insufficient power to detect t(df=3) excess in symmetric tails because</w:t>
      </w:r>
      <w:r>
        <w:t xml:space="preserve"> </w:t>
      </w:r>
      <w:r>
        <w:t xml:space="preserve">at this sample size the rare excess events do not accumulate enough to</w:t>
      </w:r>
      <w:r>
        <w:t xml:space="preserve"> </w:t>
      </w:r>
      <w:r>
        <w:t xml:space="preserve">cross the rejection threshold. This is not a flaw in the classification</w:t>
      </w:r>
      <w:r>
        <w:t xml:space="preserve"> </w:t>
      </w:r>
      <w:r>
        <w:t xml:space="preserve">logic — it is a manifestation of the fundamental trade-off between</w:t>
      </w:r>
      <w:r>
        <w:t xml:space="preserve"> </w:t>
      </w:r>
      <w:r>
        <w:t xml:space="preserve">Type I and Type II error in finite-sample testing.</w:t>
      </w:r>
    </w:p>
    <w:p>
      <w:pPr>
        <w:pStyle w:val="BodyText"/>
      </w:pPr>
      <w:r>
        <w:t xml:space="preserve">The governance implication is a minimum evaluation horizon requirement:</w:t>
      </w:r>
      <w:r>
        <w:t xml:space="preserve"> </w:t>
      </w:r>
      <w:r>
        <w:t xml:space="preserve">institutions applying this framework to models with short backtesting</w:t>
      </w:r>
      <w:r>
        <w:t xml:space="preserve"> </w:t>
      </w:r>
      <w:r>
        <w:t xml:space="preserve">windows (n &lt; 500) should incorporate supplementary tail diagnostics</w:t>
      </w:r>
      <w:r>
        <w:t xml:space="preserve"> </w:t>
      </w:r>
      <w:r>
        <w:t xml:space="preserve">(e.g., PIT histogram inspection in the tails, or extreme value tests)</w:t>
      </w:r>
      <w:r>
        <w:t xml:space="preserve"> </w:t>
      </w:r>
      <w:r>
        <w:t xml:space="preserve">alongside the interval backtesting layer. This is consistent with the</w:t>
      </w:r>
      <w:r>
        <w:t xml:space="preserve"> </w:t>
      </w:r>
      <w:r>
        <w:t xml:space="preserve">Basel framework’s requirement for a minimum 250-trading-day evaluation</w:t>
      </w:r>
      <w:r>
        <w:t xml:space="preserve"> </w:t>
      </w:r>
      <w:r>
        <w:t xml:space="preserve">window, extended here to account for the lower frequency of the</w:t>
      </w:r>
      <w:r>
        <w:t xml:space="preserve"> </w:t>
      </w:r>
      <w:r>
        <w:t xml:space="preserve">renewable datasets.</w:t>
      </w:r>
    </w:p>
    <w:bookmarkEnd w:id="123"/>
    <w:bookmarkStart w:id="124" w:name="X5d46d4a837324f85dd1a05b97862de1a8aef7df"/>
    <w:p>
      <w:pPr>
        <w:pStyle w:val="Heading3"/>
      </w:pPr>
      <w:r>
        <w:t xml:space="preserve">3.4 Governance Communication via AI Narratives</w:t>
      </w:r>
    </w:p>
    <w:p>
      <w:pPr>
        <w:pStyle w:val="FirstParagraph"/>
      </w:pPr>
      <w:r>
        <w:t xml:space="preserve">A governance classification is only useful if it can be communicated to</w:t>
      </w:r>
      <w:r>
        <w:t xml:space="preserve"> </w:t>
      </w:r>
      <w:r>
        <w:t xml:space="preserve">the right decision-makers in the right form. The</w:t>
      </w:r>
      <w:r>
        <w:t xml:space="preserve"> </w:t>
      </w:r>
      <w:r>
        <w:rPr>
          <w:rStyle w:val="VerbatimChar"/>
        </w:rPr>
        <w:t xml:space="preserve">NarrativeGenerator</w:t>
      </w:r>
      <w:r>
        <w:t xml:space="preserve"> </w:t>
      </w:r>
      <w:r>
        <w:t xml:space="preserve">component addresses this by converting structured</w:t>
      </w:r>
      <w:r>
        <w:t xml:space="preserve"> </w:t>
      </w:r>
      <w:r>
        <w:rPr>
          <w:rStyle w:val="VerbatimChar"/>
        </w:rPr>
        <w:t xml:space="preserve">GovernanceDecision</w:t>
      </w:r>
      <w:r>
        <w:t xml:space="preserve"> </w:t>
      </w:r>
      <w:r>
        <w:t xml:space="preserve">objects into two parallel narrative registers: a technical summary for</w:t>
      </w:r>
      <w:r>
        <w:t xml:space="preserve"> </w:t>
      </w:r>
      <w:r>
        <w:t xml:space="preserve">quantitative risk officers that references specific metric values, names</w:t>
      </w:r>
      <w:r>
        <w:t xml:space="preserve"> </w:t>
      </w:r>
      <w:r>
        <w:t xml:space="preserve">failed diagnostic branches, and states capital multiplier implications;</w:t>
      </w:r>
      <w:r>
        <w:t xml:space="preserve"> </w:t>
      </w:r>
      <w:r>
        <w:t xml:space="preserve">and a plain-language summary for non-technical stakeholders that explains</w:t>
      </w:r>
      <w:r>
        <w:t xml:space="preserve"> </w:t>
      </w:r>
      <w:r>
        <w:t xml:space="preserve">the classification without jargon and identifies the required action.</w:t>
      </w:r>
    </w:p>
    <w:p>
      <w:pPr>
        <w:pStyle w:val="BodyText"/>
      </w:pPr>
      <w:r>
        <w:t xml:space="preserve">Both registers are generated from the same structured input in a single</w:t>
      </w:r>
      <w:r>
        <w:t xml:space="preserve"> </w:t>
      </w:r>
      <w:r>
        <w:t xml:space="preserve">API call, ensuring consistency between the technical and non-technical</w:t>
      </w:r>
      <w:r>
        <w:t xml:space="preserve"> </w:t>
      </w:r>
      <w:r>
        <w:t xml:space="preserve">accounts. This is architecturally significant: the narrative is downstream</w:t>
      </w:r>
      <w:r>
        <w:t xml:space="preserve"> </w:t>
      </w:r>
      <w:r>
        <w:t xml:space="preserve">of the classification, not upstream. The governance decision is produced</w:t>
      </w:r>
      <w:r>
        <w:t xml:space="preserve"> </w:t>
      </w:r>
      <w:r>
        <w:t xml:space="preserve">deterministically by the diagnostic pipeline; the language model only</w:t>
      </w:r>
      <w:r>
        <w:t xml:space="preserve"> </w:t>
      </w:r>
      <w:r>
        <w:t xml:space="preserve">translates it. This preserves the statistical defensibility of the</w:t>
      </w:r>
      <w:r>
        <w:t xml:space="preserve"> </w:t>
      </w:r>
      <w:r>
        <w:t xml:space="preserve">classification while extending its reach to audiences who could not</w:t>
      </w:r>
      <w:r>
        <w:t xml:space="preserve"> </w:t>
      </w:r>
      <w:r>
        <w:t xml:space="preserve">otherwise engage with the underlying diagnostics.</w:t>
      </w:r>
    </w:p>
    <w:p>
      <w:pPr>
        <w:pStyle w:val="BodyText"/>
      </w:pPr>
      <w:r>
        <w:t xml:space="preserve">The Streamlit web application (</w:t>
      </w:r>
      <w:r>
        <w:rPr>
          <w:rStyle w:val="VerbatimChar"/>
        </w:rPr>
        <w:t xml:space="preserve">unified-probabilistic-validation.streamlit.app</w:t>
      </w:r>
      <w:r>
        <w:t xml:space="preserve">)</w:t>
      </w:r>
      <w:r>
        <w:t xml:space="preserve"> </w:t>
      </w:r>
      <w:r>
        <w:t xml:space="preserve">operationalises this for non-technical users: a non-Python analyst at an</w:t>
      </w:r>
      <w:r>
        <w:t xml:space="preserve"> </w:t>
      </w:r>
      <w:r>
        <w:t xml:space="preserve">energy trading firm can upload a forecast CSV, receive a governance</w:t>
      </w:r>
      <w:r>
        <w:t xml:space="preserve"> </w:t>
      </w:r>
      <w:r>
        <w:t xml:space="preserve">decision with full metric snapshot and AI narrative, and download all</w:t>
      </w:r>
      <w:r>
        <w:t xml:space="preserve"> </w:t>
      </w:r>
      <w:r>
        <w:t xml:space="preserve">artifacts as a ZIP — without installing software or writing code. This</w:t>
      </w:r>
      <w:r>
        <w:t xml:space="preserve"> </w:t>
      </w:r>
      <w:r>
        <w:t xml:space="preserve">closes the last gap between the statistical framework and practical</w:t>
      </w:r>
      <w:r>
        <w:t xml:space="preserve"> </w:t>
      </w:r>
      <w:r>
        <w:t xml:space="preserve">institutional deployment.</w:t>
      </w:r>
    </w:p>
    <w:p>
      <w:r>
        <w:pict>
          <v:rect style="width:0;height:1.5pt" o:hralign="center" o:hrstd="t" o:hr="t"/>
        </w:pict>
      </w:r>
    </w:p>
    <w:bookmarkEnd w:id="124"/>
    <w:bookmarkEnd w:id="125"/>
    <w:bookmarkStart w:id="131" w:name="limitations-1"/>
    <w:p>
      <w:pPr>
        <w:pStyle w:val="Heading2"/>
      </w:pPr>
      <w:r>
        <w:t xml:space="preserve">4. Limitations</w:t>
      </w:r>
    </w:p>
    <w:bookmarkStart w:id="126" w:name="X231fcb44054edc57ac55b66deb515a6cac2f2ed"/>
    <w:p>
      <w:pPr>
        <w:pStyle w:val="Heading3"/>
      </w:pPr>
      <w:r>
        <w:t xml:space="preserve">4.1 Distribution reconstruction is not unique</w:t>
      </w:r>
    </w:p>
    <w:p>
      <w:pPr>
        <w:pStyle w:val="FirstParagraph"/>
      </w:pPr>
      <w:r>
        <w:t xml:space="preserve">The rolling empirical quantile reconstruction used as the pre-conformal</w:t>
      </w:r>
      <w:r>
        <w:t xml:space="preserve"> </w:t>
      </w:r>
      <w:r>
        <w:t xml:space="preserve">baseline is one of several defensible choices. The feasibility analysis</w:t>
      </w:r>
      <w:r>
        <w:t xml:space="preserve"> </w:t>
      </w:r>
      <w:r>
        <w:t xml:space="preserve">(02_entsoe_feasibility.ipynb) compared multiple variants and selected</w:t>
      </w:r>
      <w:r>
        <w:t xml:space="preserve"> </w:t>
      </w:r>
      <w:r>
        <w:t xml:space="preserve">the 4-bucket coarse conditioning for ENTSO-E based on empirical coverage</w:t>
      </w:r>
      <w:r>
        <w:t xml:space="preserve"> </w:t>
      </w:r>
      <w:r>
        <w:t xml:space="preserve">performance. For PV and wind, 24-bucket conditioning was used without</w:t>
      </w:r>
      <w:r>
        <w:t xml:space="preserve"> </w:t>
      </w:r>
      <w:r>
        <w:t xml:space="preserve">comparative evaluation. Different reconstruction choices would produce</w:t>
      </w:r>
      <w:r>
        <w:t xml:space="preserve"> </w:t>
      </w:r>
      <w:r>
        <w:t xml:space="preserve">different pre-conformal baselines and potentially different governance</w:t>
      </w:r>
      <w:r>
        <w:t xml:space="preserve"> </w:t>
      </w:r>
      <w:r>
        <w:t xml:space="preserve">outcomes. The framework’s outputs should therefore be understood as</w:t>
      </w:r>
      <w:r>
        <w:t xml:space="preserve"> </w:t>
      </w:r>
      <w:r>
        <w:t xml:space="preserve">conditional on the reconstruction method, not as absolute assessments</w:t>
      </w:r>
      <w:r>
        <w:t xml:space="preserve"> </w:t>
      </w:r>
      <w:r>
        <w:t xml:space="preserve">of the underlying model.</w:t>
      </w:r>
    </w:p>
    <w:bookmarkEnd w:id="126"/>
    <w:bookmarkStart w:id="127" w:name="Xdedbcbb1dc2eefb955f342b0f23892a58f8e92d"/>
    <w:p>
      <w:pPr>
        <w:pStyle w:val="Heading3"/>
      </w:pPr>
      <w:r>
        <w:t xml:space="preserve">4.2 PIT diagnostics unavailable for simulation model class</w:t>
      </w:r>
    </w:p>
    <w:p>
      <w:pPr>
        <w:pStyle w:val="FirstParagraph"/>
      </w:pPr>
      <w:r>
        <w:t xml:space="preserve">The simulation runs pass only quantile bounds (lo, hi) rather than full</w:t>
      </w:r>
      <w:r>
        <w:t xml:space="preserve"> </w:t>
      </w:r>
      <w:r>
        <w:t xml:space="preserve">path arrays to the diagnostic layer. As a result, PIT-based uniformity</w:t>
      </w:r>
      <w:r>
        <w:t xml:space="preserve"> </w:t>
      </w:r>
      <w:r>
        <w:t xml:space="preserve">and independence statistics are not computed for run_004 and run_004b.</w:t>
      </w:r>
      <w:r>
        <w:t xml:space="preserve"> </w:t>
      </w:r>
      <w:r>
        <w:t xml:space="preserve">The positive control and misspecification results are therefore based</w:t>
      </w:r>
      <w:r>
        <w:t xml:space="preserve"> </w:t>
      </w:r>
      <w:r>
        <w:t xml:space="preserve">solely on interval backtesting, which is sufficient to distinguish the</w:t>
      </w:r>
      <w:r>
        <w:t xml:space="preserve"> </w:t>
      </w:r>
      <w:r>
        <w:t xml:space="preserve">scenarios but does not provide the full distributional diagnostic picture.</w:t>
      </w:r>
      <w:r>
        <w:t xml:space="preserve"> </w:t>
      </w:r>
      <w:r>
        <w:t xml:space="preserve">Extending to full PIT evaluation would require persisting the per-horizon</w:t>
      </w:r>
      <w:r>
        <w:t xml:space="preserve"> </w:t>
      </w:r>
      <w:r>
        <w:t xml:space="preserve">empirical CDF from the simulation path ensemble — a straightforward</w:t>
      </w:r>
      <w:r>
        <w:t xml:space="preserve"> </w:t>
      </w:r>
      <w:r>
        <w:t xml:space="preserve">pipeline extension.</w:t>
      </w:r>
    </w:p>
    <w:bookmarkEnd w:id="127"/>
    <w:bookmarkStart w:id="128" w:name="X26453c9764c20a81b06cf4be94b3d1f690b1843"/>
    <w:p>
      <w:pPr>
        <w:pStyle w:val="Heading3"/>
      </w:pPr>
      <w:r>
        <w:t xml:space="preserve">4.3 Conformal evaluation is limited to one dataset and sample</w:t>
      </w:r>
    </w:p>
    <w:p>
      <w:pPr>
        <w:pStyle w:val="FirstParagraph"/>
      </w:pPr>
      <w:r>
        <w:t xml:space="preserve">The conformal augmentation study uses only the 90-day ENTSO-E development</w:t>
      </w:r>
      <w:r>
        <w:t xml:space="preserve"> </w:t>
      </w:r>
      <w:r>
        <w:t xml:space="preserve">sample (n = 2,544 test observations). Extension to the full ENTSO-E</w:t>
      </w:r>
      <w:r>
        <w:t xml:space="preserve"> </w:t>
      </w:r>
      <w:r>
        <w:t xml:space="preserve">dataset, PV, and wind would require re-running the conformal variants on</w:t>
      </w:r>
      <w:r>
        <w:t xml:space="preserve"> </w:t>
      </w:r>
      <w:r>
        <w:t xml:space="preserve">those datasets, which is deferred. The PV and wind coverage shortfalls</w:t>
      </w:r>
      <w:r>
        <w:t xml:space="preserve"> </w:t>
      </w:r>
      <w:r>
        <w:t xml:space="preserve">(−1.37 pp and −1.38 pp respectively) are smaller than ENTSO-E’s (−2.94</w:t>
      </w:r>
      <w:r>
        <w:t xml:space="preserve"> </w:t>
      </w:r>
      <w:r>
        <w:t xml:space="preserve">pp), so the marginal benefit of conformal augmentation on those datasets</w:t>
      </w:r>
      <w:r>
        <w:t xml:space="preserve"> </w:t>
      </w:r>
      <w:r>
        <w:t xml:space="preserve">is expected to be smaller — but this is not empirically confirmed.</w:t>
      </w:r>
    </w:p>
    <w:bookmarkEnd w:id="128"/>
    <w:bookmarkStart w:id="129" w:name="Xb363662d129bef977a143c1707dd244b58b37e8"/>
    <w:p>
      <w:pPr>
        <w:pStyle w:val="Heading3"/>
      </w:pPr>
      <w:r>
        <w:t xml:space="preserve">4.4 Multivariate extension covers only two assets</w:t>
      </w:r>
    </w:p>
    <w:p>
      <w:pPr>
        <w:pStyle w:val="FirstParagraph"/>
      </w:pPr>
      <w:r>
        <w:t xml:space="preserve">The run_005 multivariate analysis is restricted to PV and wind, the only</w:t>
      </w:r>
      <w:r>
        <w:t xml:space="preserve"> </w:t>
      </w:r>
      <w:r>
        <w:t xml:space="preserve">two datasets sharing a common time index. The industry partner identified</w:t>
      </w:r>
      <w:r>
        <w:t xml:space="preserve"> </w:t>
      </w:r>
      <w:r>
        <w:t xml:space="preserve">additional commodity classes (natural gas, carbon) as desirable scope</w:t>
      </w:r>
      <w:r>
        <w:t xml:space="preserve"> </w:t>
      </w:r>
      <w:r>
        <w:t xml:space="preserve">extensions. Synthetic extension via the simulation notebook is planned</w:t>
      </w:r>
      <w:r>
        <w:t xml:space="preserve"> </w:t>
      </w:r>
      <w:r>
        <w:t xml:space="preserve">but not yet implemented. The current multivariate results therefore</w:t>
      </w:r>
      <w:r>
        <w:t xml:space="preserve"> </w:t>
      </w:r>
      <w:r>
        <w:t xml:space="preserve">characterise intra-renewable dependence rather than cross-commodity</w:t>
      </w:r>
      <w:r>
        <w:t xml:space="preserve"> </w:t>
      </w:r>
      <w:r>
        <w:t xml:space="preserve">dependence, which would be the more economically relevant dimension for</w:t>
      </w:r>
      <w:r>
        <w:t xml:space="preserve"> </w:t>
      </w:r>
      <w:r>
        <w:t xml:space="preserve">portfolio risk management.</w:t>
      </w:r>
    </w:p>
    <w:bookmarkEnd w:id="129"/>
    <w:bookmarkStart w:id="130" w:name="X3a0c757c5c065a319c00515c6bcb15b323d795f"/>
    <w:p>
      <w:pPr>
        <w:pStyle w:val="Heading3"/>
      </w:pPr>
      <w:r>
        <w:t xml:space="preserve">4.5 Exchangeability assumption in conformal prediction</w:t>
      </w:r>
    </w:p>
    <w:p>
      <w:pPr>
        <w:pStyle w:val="FirstParagraph"/>
      </w:pPr>
      <w:r>
        <w:t xml:space="preserve">Conformal prediction’s finite-sample coverage guarantee relies on the</w:t>
      </w:r>
      <w:r>
        <w:t xml:space="preserve"> </w:t>
      </w:r>
      <w:r>
        <w:t xml:space="preserve">exchangeability of calibration and test observations (Vovk, Gammerman</w:t>
      </w:r>
      <w:r>
        <w:t xml:space="preserve"> </w:t>
      </w:r>
      <w:r>
        <w:t xml:space="preserve">and Shafer, 2005). Energy market data are not exchangeable — they exhibit</w:t>
      </w:r>
      <w:r>
        <w:t xml:space="preserve"> </w:t>
      </w:r>
      <w:r>
        <w:t xml:space="preserve">serial dependence, seasonal structure, and structural breaks. Extensions</w:t>
      </w:r>
      <w:r>
        <w:t xml:space="preserve"> </w:t>
      </w:r>
      <w:r>
        <w:t xml:space="preserve">of conformal prediction beyond exchangeability exist (Barber et al., 2023)</w:t>
      </w:r>
      <w:r>
        <w:t xml:space="preserve"> </w:t>
      </w:r>
      <w:r>
        <w:t xml:space="preserve">but require additional structural assumptions. The covariate-shift</w:t>
      </w:r>
      <w:r>
        <w:t xml:space="preserve"> </w:t>
      </w:r>
      <w:r>
        <w:t xml:space="preserve">weighting partially addresses this by reweighting calibration observations,</w:t>
      </w:r>
      <w:r>
        <w:t xml:space="preserve"> </w:t>
      </w:r>
      <w:r>
        <w:t xml:space="preserve">but it does not provide formal guarantees under strong temporal dependence. The conformal results</w:t>
      </w:r>
      <w:r>
        <w:t xml:space="preserve"> </w:t>
      </w:r>
      <w:r>
        <w:t xml:space="preserve">should therefore be interpreted as approximately valid rather than</w:t>
      </w:r>
      <w:r>
        <w:t xml:space="preserve"> </w:t>
      </w:r>
      <w:r>
        <w:t xml:space="preserve">strictly valid in the theoretical sense.</w:t>
      </w:r>
    </w:p>
    <w:p>
      <w:r>
        <w:pict>
          <v:rect style="width:0;height:1.5pt" o:hralign="center" o:hrstd="t" o:hr="t"/>
        </w:pict>
      </w:r>
    </w:p>
    <w:bookmarkEnd w:id="130"/>
    <w:bookmarkEnd w:id="131"/>
    <w:bookmarkStart w:id="132" w:name="relation-to-prior-work"/>
    <w:p>
      <w:pPr>
        <w:pStyle w:val="Heading2"/>
      </w:pPr>
      <w:r>
        <w:t xml:space="preserve">5. Relation to Prior Work</w:t>
      </w:r>
    </w:p>
    <w:p>
      <w:pPr>
        <w:pStyle w:val="FirstParagraph"/>
      </w:pPr>
      <w:r>
        <w:t xml:space="preserve">This thesis extends the calibration evaluation literature (Diebold et al.,</w:t>
      </w:r>
      <w:r>
        <w:t xml:space="preserve"> </w:t>
      </w:r>
      <w:r>
        <w:t xml:space="preserve">1998; Berkowitz, 2001) by applying density forecast diagnostics to energy</w:t>
      </w:r>
      <w:r>
        <w:t xml:space="preserve"> </w:t>
      </w:r>
      <w:r>
        <w:t xml:space="preserve">market model classes that are not normally evaluated in this way. The</w:t>
      </w:r>
      <w:r>
        <w:t xml:space="preserve"> </w:t>
      </w:r>
      <w:r>
        <w:t xml:space="preserve">finding that interval coverage is an insufficient governance criterion —</w:t>
      </w:r>
      <w:r>
        <w:t xml:space="preserve"> </w:t>
      </w:r>
      <w:r>
        <w:t xml:space="preserve">demonstrated empirically on the PV dataset — is consistent with</w:t>
      </w:r>
      <w:r>
        <w:t xml:space="preserve"> </w:t>
      </w:r>
      <w:r>
        <w:t xml:space="preserve">theoretical arguments in Gneiting and Katzfuss (2014) but contributes</w:t>
      </w:r>
      <w:r>
        <w:t xml:space="preserve"> </w:t>
      </w:r>
      <w:r>
        <w:t xml:space="preserve">a concrete applied demonstration in a domain where coverage-only</w:t>
      </w:r>
      <w:r>
        <w:t xml:space="preserve"> </w:t>
      </w:r>
      <w:r>
        <w:t xml:space="preserve">evaluation is standard practice.</w:t>
      </w:r>
    </w:p>
    <w:p>
      <w:pPr>
        <w:pStyle w:val="BodyText"/>
      </w:pPr>
      <w:r>
        <w:t xml:space="preserve">The conformal prediction results extend Tibshirani et al. (2019) to an</w:t>
      </w:r>
      <w:r>
        <w:t xml:space="preserve"> </w:t>
      </w:r>
      <w:r>
        <w:t xml:space="preserve">energy market context, confirming that covariate-shift-aware conformal</w:t>
      </w:r>
      <w:r>
        <w:t xml:space="preserve"> </w:t>
      </w:r>
      <w:r>
        <w:t xml:space="preserve">methods are effective under temporal distribution shift while identifying</w:t>
      </w:r>
      <w:r>
        <w:t xml:space="preserve"> </w:t>
      </w:r>
      <w:r>
        <w:t xml:space="preserve">the conditions (scale mismatch, constant-width construction) under which</w:t>
      </w:r>
      <w:r>
        <w:t xml:space="preserve"> </w:t>
      </w:r>
      <w:r>
        <w:t xml:space="preserve">they fail. Prior applications of conformal prediction to electricity price</w:t>
      </w:r>
      <w:r>
        <w:t xml:space="preserve"> </w:t>
      </w:r>
      <w:r>
        <w:t xml:space="preserve">forecasting (Kath and Ziel, 2021; O’Connor et al., 2025) demonstrate</w:t>
      </w:r>
      <w:r>
        <w:t xml:space="preserve"> </w:t>
      </w:r>
      <w:r>
        <w:t xml:space="preserve">reliable coverage in day-ahead markets; this thesis extends that evidence</w:t>
      </w:r>
      <w:r>
        <w:t xml:space="preserve"> </w:t>
      </w:r>
      <w:r>
        <w:t xml:space="preserve">to load and renewable generation forecasting and embeds it within a</w:t>
      </w:r>
      <w:r>
        <w:t xml:space="preserve"> </w:t>
      </w:r>
      <w:r>
        <w:t xml:space="preserve">governance classification architecture. The online CP step-size failure specifically corroborates and</w:t>
      </w:r>
      <w:r>
        <w:t xml:space="preserve"> </w:t>
      </w:r>
      <w:r>
        <w:t xml:space="preserve">extends the practical guidance in Angelopoulos et al. (2024), whose</w:t>
      </w:r>
      <w:r>
        <w:t xml:space="preserve"> </w:t>
      </w:r>
      <w:r>
        <w:t xml:space="preserve">theoretical results on decaying step sizes are motivated by exactly the</w:t>
      </w:r>
      <w:r>
        <w:t xml:space="preserve"> </w:t>
      </w:r>
      <w:r>
        <w:t xml:space="preserve">kind of scale sensitivity observed here.</w:t>
      </w:r>
    </w:p>
    <w:p>
      <w:pPr>
        <w:pStyle w:val="BodyText"/>
      </w:pPr>
      <w:r>
        <w:t xml:space="preserve">The governance aggregation layer contributes to the literature on</w:t>
      </w:r>
      <w:r>
        <w:t xml:space="preserve"> </w:t>
      </w:r>
      <w:r>
        <w:t xml:space="preserve">Basel-style backtesting (Kupiec, 1995; Christoffersen, 1998) by</w:t>
      </w:r>
      <w:r>
        <w:t xml:space="preserve"> </w:t>
      </w:r>
      <w:r>
        <w:t xml:space="preserve">demonstrating that the traffic-light architecture can be extended beyond</w:t>
      </w:r>
      <w:r>
        <w:t xml:space="preserve"> </w:t>
      </w:r>
      <w:r>
        <w:t xml:space="preserve">exceedance counting to incorporate full density diagnostics, producing</w:t>
      </w:r>
      <w:r>
        <w:t xml:space="preserve"> </w:t>
      </w:r>
      <w:r>
        <w:t xml:space="preserve">richer and more discriminative governance classifications without</w:t>
      </w:r>
      <w:r>
        <w:t xml:space="preserve"> </w:t>
      </w:r>
      <w:r>
        <w:t xml:space="preserve">sacrificing the institutional interpretability that makes the Basel</w:t>
      </w:r>
      <w:r>
        <w:t xml:space="preserve"> </w:t>
      </w:r>
      <w:r>
        <w:t xml:space="preserve">framework practically useful.</w:t>
      </w:r>
    </w:p>
    <w:p>
      <w:r>
        <w:pict>
          <v:rect style="width:0;height:1.5pt" o:hralign="center" o:hrstd="t" o:hr="t"/>
        </w:pict>
      </w:r>
    </w:p>
    <w:bookmarkEnd w:id="132"/>
    <w:bookmarkStart w:id="136" w:name="X9b1a257e4d63bffc9b628220380900cd4fccaeb"/>
    <w:p>
      <w:pPr>
        <w:pStyle w:val="Heading2"/>
      </w:pPr>
      <w:r>
        <w:t xml:space="preserve">6. Economic Distortion and Governance Stability (RQ3 Extension)</w:t>
      </w:r>
    </w:p>
    <w:bookmarkStart w:id="133" w:name="capital-multiplier-and-reserve-sizing"/>
    <w:p>
      <w:pPr>
        <w:pStyle w:val="Heading3"/>
      </w:pPr>
      <w:r>
        <w:t xml:space="preserve">6.1 Capital Multiplier and Reserve Sizing</w:t>
      </w:r>
    </w:p>
    <w:p>
      <w:pPr>
        <w:pStyle w:val="FirstParagraph"/>
      </w:pPr>
      <w:r>
        <w:t xml:space="preserve">The VaR sensitivity analysis (run_006) adds a concrete economic dimension</w:t>
      </w:r>
      <w:r>
        <w:t xml:space="preserve"> </w:t>
      </w:r>
      <w:r>
        <w:t xml:space="preserve">to the RQ3 findings. Two results stand out as particularly thesis-relevant.</w:t>
      </w:r>
    </w:p>
    <w:p>
      <w:pPr>
        <w:pStyle w:val="BodyText"/>
      </w:pPr>
      <w:r>
        <w:t xml:space="preserve">The PV divergence is the most important single finding for the governance</w:t>
      </w:r>
      <w:r>
        <w:t xml:space="preserve"> </w:t>
      </w:r>
      <w:r>
        <w:t xml:space="preserve">argument. Under a coverage-only regulatory framework adapted from Basel,</w:t>
      </w:r>
      <w:r>
        <w:t xml:space="preserve"> </w:t>
      </w:r>
      <w:r>
        <w:t xml:space="preserve">PV would attract a reduced capital multiplier (−6.7% distortion,</w:t>
      </w:r>
      <w:r>
        <w:t xml:space="preserve"> </w:t>
      </w:r>
      <w:r>
        <w:t xml:space="preserve">CONSERVATIVE zone) because its empirical coverage exceeds the 90% nominal.</w:t>
      </w:r>
      <w:r>
        <w:t xml:space="preserve"> </w:t>
      </w:r>
      <w:r>
        <w:t xml:space="preserve">Under the full multi-layer framework, PV receives a RED governance</w:t>
      </w:r>
      <w:r>
        <w:t xml:space="preserve"> </w:t>
      </w:r>
      <w:r>
        <w:t xml:space="preserve">classification. These two conclusions point in opposite directions: a</w:t>
      </w:r>
      <w:r>
        <w:t xml:space="preserve"> </w:t>
      </w:r>
      <w:r>
        <w:t xml:space="preserve">regulator relying on the simpler framework would relax oversight of a</w:t>
      </w:r>
      <w:r>
        <w:t xml:space="preserve"> </w:t>
      </w:r>
      <w:r>
        <w:t xml:space="preserve">model that the richer framework identifies as structurally misspecified.</w:t>
      </w:r>
      <w:r>
        <w:t xml:space="preserve"> </w:t>
      </w:r>
      <w:r>
        <w:t xml:space="preserve">This is not a theoretical concern — it is demonstrated empirically on</w:t>
      </w:r>
      <w:r>
        <w:t xml:space="preserve"> </w:t>
      </w:r>
      <w:r>
        <w:t xml:space="preserve">real industry data. It constitutes the strongest quantitative argument</w:t>
      </w:r>
      <w:r>
        <w:t xml:space="preserve"> </w:t>
      </w:r>
      <w:r>
        <w:t xml:space="preserve">in the thesis for why coverage metrics alone are insufficient for</w:t>
      </w:r>
      <w:r>
        <w:t xml:space="preserve"> </w:t>
      </w:r>
      <w:r>
        <w:t xml:space="preserve">energy market model governance.</w:t>
      </w:r>
    </w:p>
    <w:p>
      <w:pPr>
        <w:pStyle w:val="BodyText"/>
      </w:pPr>
      <w:r>
        <w:t xml:space="preserve">The reserve sizing analysis complements this by translating coverage</w:t>
      </w:r>
      <w:r>
        <w:t xml:space="preserve"> </w:t>
      </w:r>
      <w:r>
        <w:t xml:space="preserve">errors into operational terms. ENTSO-E and wind produce reserve undersizing</w:t>
      </w:r>
      <w:r>
        <w:t xml:space="preserve"> </w:t>
      </w:r>
      <w:r>
        <w:t xml:space="preserve">of 2.94 pp and 1.38 pp respectively — modest in absolute terms but</w:t>
      </w:r>
      <w:r>
        <w:t xml:space="preserve"> </w:t>
      </w:r>
      <w:r>
        <w:t xml:space="preserve">systematic and persistent across the full evaluation period. The</w:t>
      </w:r>
      <w:r>
        <w:t xml:space="preserve"> </w:t>
      </w:r>
      <w:r>
        <w:t xml:space="preserve">misspecification scenarios demonstrate that severe calibration failures</w:t>
      </w:r>
      <w:r>
        <w:t xml:space="preserve"> </w:t>
      </w:r>
      <w:r>
        <w:t xml:space="preserve">(variance inflation, mean bias) produce reserve undersizing of 20–35 pp,</w:t>
      </w:r>
      <w:r>
        <w:t xml:space="preserve"> </w:t>
      </w:r>
      <w:r>
        <w:t xml:space="preserve">which would require reserves 2–3.5× larger than modelled to achieve</w:t>
      </w:r>
      <w:r>
        <w:t xml:space="preserve"> </w:t>
      </w:r>
      <w:r>
        <w:t xml:space="preserve">intended coverage. This quantifies the operational cost of miscalibration</w:t>
      </w:r>
      <w:r>
        <w:t xml:space="preserve"> </w:t>
      </w:r>
      <w:r>
        <w:t xml:space="preserve">in terms directly interpretable by energy market practitioners.</w:t>
      </w:r>
    </w:p>
    <w:bookmarkEnd w:id="133"/>
    <w:bookmarkStart w:id="134" w:name="Xda78524597bd302f6c83e24ccd8a9f2e27864f7"/>
    <w:p>
      <w:pPr>
        <w:pStyle w:val="Heading3"/>
      </w:pPr>
      <w:r>
        <w:t xml:space="preserve">6.2 Traffic-Light Stability and Absorbing States</w:t>
      </w:r>
    </w:p>
    <w:p>
      <w:pPr>
        <w:pStyle w:val="FirstParagraph"/>
      </w:pPr>
      <w:r>
        <w:t xml:space="preserve">The transition probability analysis (run_007) adds a temporal dimension</w:t>
      </w:r>
      <w:r>
        <w:t xml:space="preserve"> </w:t>
      </w:r>
      <w:r>
        <w:t xml:space="preserve">to the governance findings that the full-sample results cannot provide.</w:t>
      </w:r>
      <w:r>
        <w:t xml:space="preserve"> </w:t>
      </w:r>
      <w:r>
        <w:t xml:space="preserve">The identification of RED as an absorbing state for all three real-data</w:t>
      </w:r>
      <w:r>
        <w:t xml:space="preserve"> </w:t>
      </w:r>
      <w:r>
        <w:t xml:space="preserve">models (T_RR = 1.0, H = 0 across hundreds of rolling windows) is a</w:t>
      </w:r>
      <w:r>
        <w:t xml:space="preserve"> </w:t>
      </w:r>
      <w:r>
        <w:t xml:space="preserve">stronger governance statement than the full-sample RED classification</w:t>
      </w:r>
      <w:r>
        <w:t xml:space="preserve"> </w:t>
      </w:r>
      <w:r>
        <w:t xml:space="preserve">alone. It means the miscalibration is not a transient artefact of a</w:t>
      </w:r>
      <w:r>
        <w:t xml:space="preserve"> </w:t>
      </w:r>
      <w:r>
        <w:t xml:space="preserve">particular market regime — it is a stable structural property that</w:t>
      </w:r>
      <w:r>
        <w:t xml:space="preserve"> </w:t>
      </w:r>
      <w:r>
        <w:t xml:space="preserve">persists regardless of which subperiod is evaluated.</w:t>
      </w:r>
    </w:p>
    <w:p>
      <w:pPr>
        <w:pStyle w:val="BodyText"/>
      </w:pPr>
      <w:r>
        <w:t xml:space="preserve">This has a direct implication for governance policy. A model that is</w:t>
      </w:r>
      <w:r>
        <w:t xml:space="preserve"> </w:t>
      </w:r>
      <w:r>
        <w:t xml:space="preserve">persistently in an absorbing RED state cannot be remediated by waiting</w:t>
      </w:r>
      <w:r>
        <w:t xml:space="preserve"> </w:t>
      </w:r>
      <w:r>
        <w:t xml:space="preserve">for market conditions to change. It requires structural intervention —</w:t>
      </w:r>
      <w:r>
        <w:t xml:space="preserve"> </w:t>
      </w:r>
      <w:r>
        <w:t xml:space="preserve">either re-estimation of the underlying model or deployment of a</w:t>
      </w:r>
      <w:r>
        <w:t xml:space="preserve"> </w:t>
      </w:r>
      <w:r>
        <w:t xml:space="preserve">recalibration layer (such as conformal augmentation) that actively</w:t>
      </w:r>
      <w:r>
        <w:t xml:space="preserve"> </w:t>
      </w:r>
      <w:r>
        <w:t xml:space="preserve">corrects coverage in real time.</w:t>
      </w:r>
    </w:p>
    <w:p>
      <w:pPr>
        <w:pStyle w:val="BodyText"/>
      </w:pPr>
      <w:r>
        <w:t xml:space="preserve">The heavy-tails finding from the rolling analysis is also noteworthy.</w:t>
      </w:r>
      <w:r>
        <w:t xml:space="preserve"> </w:t>
      </w:r>
      <w:r>
        <w:t xml:space="preserve">The price heavy-tails scenario produces a stable YELLOW absorbing state</w:t>
      </w:r>
      <w:r>
        <w:t xml:space="preserve"> </w:t>
      </w:r>
      <w:r>
        <w:t xml:space="preserve">across all 7 non-overlapping rolling windows, despite the full-sample</w:t>
      </w:r>
      <w:r>
        <w:t xml:space="preserve"> </w:t>
      </w:r>
      <w:r>
        <w:t xml:space="preserve">Anfuso test returning GREEN. This reveals a detection mechanism: while</w:t>
      </w:r>
      <w:r>
        <w:t xml:space="preserve"> </w:t>
      </w:r>
      <w:r>
        <w:t xml:space="preserve">full-sample interval backtesting at n = 365 lacks power to detect</w:t>
      </w:r>
      <w:r>
        <w:t xml:space="preserve"> </w:t>
      </w:r>
      <w:r>
        <w:t xml:space="preserve">t(df=3) excess, the rolling window classification consistently identifies</w:t>
      </w:r>
      <w:r>
        <w:t xml:space="preserve"> </w:t>
      </w:r>
      <w:r>
        <w:t xml:space="preserve">borderline behaviour. Rolling diagnostics therefore serve as a</w:t>
      </w:r>
      <w:r>
        <w:t xml:space="preserve"> </w:t>
      </w:r>
      <w:r>
        <w:t xml:space="preserve">complementary detection tool for subtle misspecification that evades</w:t>
      </w:r>
      <w:r>
        <w:t xml:space="preserve"> </w:t>
      </w:r>
      <w:r>
        <w:t xml:space="preserve">full-sample tests — a practical finding with direct implications for</w:t>
      </w:r>
      <w:r>
        <w:t xml:space="preserve"> </w:t>
      </w:r>
      <w:r>
        <w:t xml:space="preserve">governance monitoring frequency.</w:t>
      </w:r>
    </w:p>
    <w:bookmarkEnd w:id="134"/>
    <w:bookmarkStart w:id="135" w:name="limitations-of-the-economic-analyses"/>
    <w:p>
      <w:pPr>
        <w:pStyle w:val="Heading3"/>
      </w:pPr>
      <w:r>
        <w:t xml:space="preserve">6.3 Limitations of the Economic Analyses</w:t>
      </w:r>
    </w:p>
    <w:p>
      <w:pPr>
        <w:pStyle w:val="FirstParagraph"/>
      </w:pPr>
      <w:r>
        <w:t xml:space="preserve">The capital multiplier analysis is an adaptation of the Basel framework,</w:t>
      </w:r>
      <w:r>
        <w:t xml:space="preserve"> </w:t>
      </w:r>
      <w:r>
        <w:t xml:space="preserve">not a direct application. The original Basel thresholds were calibrated</w:t>
      </w:r>
      <w:r>
        <w:t xml:space="preserve"> </w:t>
      </w:r>
      <w:r>
        <w:t xml:space="preserve">for 99% VaR on trading book positions with 1-day horizon; the excess-based</w:t>
      </w:r>
      <w:r>
        <w:t xml:space="preserve"> </w:t>
      </w:r>
      <w:r>
        <w:t xml:space="preserve">adaptation for 90% coverage intervals is a methodological contribution</w:t>
      </w:r>
      <w:r>
        <w:t xml:space="preserve"> </w:t>
      </w:r>
      <w:r>
        <w:t xml:space="preserve">of this thesis rather than a regulatory standard. Practitioners applying</w:t>
      </w:r>
      <w:r>
        <w:t xml:space="preserve"> </w:t>
      </w:r>
      <w:r>
        <w:t xml:space="preserve">this framework should recalibrate the zone thresholds to their specific</w:t>
      </w:r>
      <w:r>
        <w:t xml:space="preserve"> </w:t>
      </w:r>
      <w:r>
        <w:t xml:space="preserve">regulatory context.</w:t>
      </w:r>
    </w:p>
    <w:p>
      <w:pPr>
        <w:pStyle w:val="BodyText"/>
      </w:pPr>
      <w:r>
        <w:t xml:space="preserve">The reserve sizing analysis assumes a direct mapping from prediction</w:t>
      </w:r>
      <w:r>
        <w:t xml:space="preserve"> </w:t>
      </w:r>
      <w:r>
        <w:t xml:space="preserve">interval coverage to reserve adequacy, which ignores market-clearing</w:t>
      </w:r>
      <w:r>
        <w:t xml:space="preserve"> </w:t>
      </w:r>
      <w:r>
        <w:t xml:space="preserve">dynamics, reserve substitutability, and intraday balancing mechanisms.</w:t>
      </w:r>
      <w:r>
        <w:t xml:space="preserve"> </w:t>
      </w:r>
      <w:r>
        <w:t xml:space="preserve">The percentage point errors reported here are therefore indicative of</w:t>
      </w:r>
      <w:r>
        <w:t xml:space="preserve"> </w:t>
      </w:r>
      <w:r>
        <w:t xml:space="preserve">the direction and approximate magnitude of miscalibration impact, not</w:t>
      </w:r>
      <w:r>
        <w:t xml:space="preserve"> </w:t>
      </w:r>
      <w:r>
        <w:t xml:space="preserve">precise operational reserve shortfall estimates.</w:t>
      </w:r>
    </w:p>
    <w:bookmarkEnd w:id="135"/>
    <w:bookmarkEnd w:id="136"/>
    <w:bookmarkEnd w:id="137"/>
    <w:bookmarkStart w:id="138" w:name="governance-implications"/>
    <w:p>
      <w:pPr>
        <w:pStyle w:val="Heading1"/>
      </w:pPr>
      <w:r>
        <w:t xml:space="preserve">Governance Implications</w:t>
      </w:r>
    </w:p>
    <w:bookmarkEnd w:id="138"/>
    <w:bookmarkStart w:id="155" w:name="governance-implications-1"/>
    <w:p>
      <w:pPr>
        <w:pStyle w:val="Heading1"/>
      </w:pPr>
      <w:r>
        <w:t xml:space="preserve">Governance Implications</w:t>
      </w:r>
    </w:p>
    <w:bookmarkStart w:id="139" w:name="from-diagnostics-to-decisions"/>
    <w:p>
      <w:pPr>
        <w:pStyle w:val="Heading2"/>
      </w:pPr>
      <w:r>
        <w:t xml:space="preserve">1. From Diagnostics to Decisions</w:t>
      </w:r>
    </w:p>
    <w:p>
      <w:pPr>
        <w:pStyle w:val="FirstParagraph"/>
      </w:pPr>
      <w:r>
        <w:t xml:space="preserve">The empirical results presented in Chapter 3 are not ends in themselves.</w:t>
      </w:r>
      <w:r>
        <w:t xml:space="preserve"> </w:t>
      </w:r>
      <w:r>
        <w:t xml:space="preserve">A RED classification carries consequences only if it is connected to a</w:t>
      </w:r>
      <w:r>
        <w:t xml:space="preserve"> </w:t>
      </w:r>
      <w:r>
        <w:t xml:space="preserve">decision — about whether a model should continue to be used, whether its</w:t>
      </w:r>
      <w:r>
        <w:t xml:space="preserve"> </w:t>
      </w:r>
      <w:r>
        <w:t xml:space="preserve">outputs should be adjusted, and what institutional actions are warranted.</w:t>
      </w:r>
      <w:r>
        <w:t xml:space="preserve"> </w:t>
      </w:r>
      <w:r>
        <w:t xml:space="preserve">This chapter translates the diagnostic findings into governance</w:t>
      </w:r>
      <w:r>
        <w:t xml:space="preserve"> </w:t>
      </w:r>
      <w:r>
        <w:t xml:space="preserve">recommendations, situates them within established regulatory frameworks,</w:t>
      </w:r>
      <w:r>
        <w:t xml:space="preserve"> </w:t>
      </w:r>
      <w:r>
        <w:t xml:space="preserve">and addresses the specific implications of conformal augmentation as a</w:t>
      </w:r>
      <w:r>
        <w:t xml:space="preserve"> </w:t>
      </w:r>
      <w:r>
        <w:t xml:space="preserve">recalibration tool within a model risk management context.</w:t>
      </w:r>
    </w:p>
    <w:p>
      <w:pPr>
        <w:pStyle w:val="BodyText"/>
      </w:pPr>
      <w:r>
        <w:t xml:space="preserve">The starting point is the cross-dataset governance summary. Of the three</w:t>
      </w:r>
      <w:r>
        <w:t xml:space="preserve"> </w:t>
      </w:r>
      <w:r>
        <w:t xml:space="preserve">real-data model classes evaluated, all three receive RED overall</w:t>
      </w:r>
      <w:r>
        <w:t xml:space="preserve"> </w:t>
      </w:r>
      <w:r>
        <w:t xml:space="preserve">classifications. The synthetic positive control receives GREEN, confirming</w:t>
      </w:r>
      <w:r>
        <w:t xml:space="preserve"> </w:t>
      </w:r>
      <w:r>
        <w:t xml:space="preserve">that the framework is not systematically over-strict. The RED findings</w:t>
      </w:r>
      <w:r>
        <w:t xml:space="preserve"> </w:t>
      </w:r>
      <w:r>
        <w:t xml:space="preserve">are not uniform: each model class fails on a structurally distinct</w:t>
      </w:r>
      <w:r>
        <w:t xml:space="preserve"> </w:t>
      </w:r>
      <w:r>
        <w:t xml:space="preserve">combination of diagnostic dimensions, which has direct implications for</w:t>
      </w:r>
      <w:r>
        <w:t xml:space="preserve"> </w:t>
      </w:r>
      <w:r>
        <w:t xml:space="preserve">the nature of the required remediation.</w:t>
      </w:r>
    </w:p>
    <w:p>
      <w:r>
        <w:pict>
          <v:rect style="width:0;height:1.5pt" o:hralign="center" o:hrstd="t" o:hr="t"/>
        </w:pict>
      </w:r>
    </w:p>
    <w:bookmarkEnd w:id="139"/>
    <w:bookmarkStart w:id="143" w:name="interpreting-red-by-failure-mode"/>
    <w:p>
      <w:pPr>
        <w:pStyle w:val="Heading2"/>
      </w:pPr>
      <w:r>
        <w:t xml:space="preserve">2. Interpreting RED by Failure Mode</w:t>
      </w:r>
    </w:p>
    <w:bookmarkStart w:id="140" w:name="Xd23bff7b4555a32198d9409707acd492516c047"/>
    <w:p>
      <w:pPr>
        <w:pStyle w:val="Heading3"/>
      </w:pPr>
      <w:r>
        <w:t xml:space="preserve">2.1 Bilateral Interval Miscalibration — ENTSO-E Load Forecasting</w:t>
      </w:r>
    </w:p>
    <w:p>
      <w:pPr>
        <w:pStyle w:val="FirstParagraph"/>
      </w:pPr>
      <w:r>
        <w:t xml:space="preserve">The ENTSO-E model fails on all three diagnostic layers: interval</w:t>
      </w:r>
      <w:r>
        <w:t xml:space="preserve"> </w:t>
      </w:r>
      <w:r>
        <w:t xml:space="preserve">backtesting (both tails RED), PIT uniformity (strongly rejected), and</w:t>
      </w:r>
      <w:r>
        <w:t xml:space="preserve"> </w:t>
      </w:r>
      <w:r>
        <w:t xml:space="preserve">serial independence (overwhelmingly rejected). Empirical coverage of</w:t>
      </w:r>
      <w:r>
        <w:t xml:space="preserve"> </w:t>
      </w:r>
      <w:r>
        <w:t xml:space="preserve">87.1% against a 90% nominal target, combined with Ljung–Box statistics</w:t>
      </w:r>
      <w:r>
        <w:t xml:space="preserve"> </w:t>
      </w:r>
      <w:r>
        <w:t xml:space="preserve">several orders of magnitude above critical values, indicates that the</w:t>
      </w:r>
      <w:r>
        <w:t xml:space="preserve"> </w:t>
      </w:r>
      <w:r>
        <w:t xml:space="preserve">model’s predictive intervals are both too narrow and temporally</w:t>
      </w:r>
      <w:r>
        <w:t xml:space="preserve"> </w:t>
      </w:r>
      <w:r>
        <w:t xml:space="preserve">misspecified.</w:t>
      </w:r>
    </w:p>
    <w:p>
      <w:pPr>
        <w:pStyle w:val="BodyText"/>
      </w:pPr>
      <w:r>
        <w:rPr>
          <w:b/>
          <w:bCs/>
        </w:rPr>
        <w:t xml:space="preserve">Governance implication.</w:t>
      </w:r>
      <w:r>
        <w:t xml:space="preserve"> </w:t>
      </w:r>
      <w:r>
        <w:t xml:space="preserve">A model in this state should not be used</w:t>
      </w:r>
      <w:r>
        <w:t xml:space="preserve"> </w:t>
      </w:r>
      <w:r>
        <w:t xml:space="preserve">for risk quantification without explicit adjustment. The bilateral</w:t>
      </w:r>
      <w:r>
        <w:t xml:space="preserve"> </w:t>
      </w:r>
      <w:r>
        <w:t xml:space="preserve">nature of the breach — both tails significantly over-breach, not just</w:t>
      </w:r>
      <w:r>
        <w:t xml:space="preserve"> </w:t>
      </w:r>
      <w:r>
        <w:t xml:space="preserve">one — indicates that the miscalibration is not directional bias but</w:t>
      </w:r>
      <w:r>
        <w:t xml:space="preserve"> </w:t>
      </w:r>
      <w:r>
        <w:t xml:space="preserve">a general underestimation of uncertainty. The serial dependence finding</w:t>
      </w:r>
      <w:r>
        <w:t xml:space="preserve"> </w:t>
      </w:r>
      <w:r>
        <w:t xml:space="preserve">compounds this: the model fails to account for autocorrelation in load</w:t>
      </w:r>
      <w:r>
        <w:t xml:space="preserve"> </w:t>
      </w:r>
      <w:r>
        <w:t xml:space="preserve">residuals, meaning consecutive interval violations are not independent</w:t>
      </w:r>
      <w:r>
        <w:t xml:space="preserve"> </w:t>
      </w:r>
      <w:r>
        <w:t xml:space="preserve">events. For risk aggregation across time, this non-independence makes</w:t>
      </w:r>
      <w:r>
        <w:t xml:space="preserve"> </w:t>
      </w:r>
      <w:r>
        <w:t xml:space="preserve">the effective exceedance probability higher than the marginal rate</w:t>
      </w:r>
      <w:r>
        <w:t xml:space="preserve"> </w:t>
      </w:r>
      <w:r>
        <w:t xml:space="preserve">suggests.</w:t>
      </w:r>
    </w:p>
    <w:p>
      <w:pPr>
        <w:pStyle w:val="BodyText"/>
      </w:pPr>
      <w:r>
        <w:t xml:space="preserve">Recommended actions: (i) re-estimate the residual distribution</w:t>
      </w:r>
      <w:r>
        <w:t xml:space="preserve"> </w:t>
      </w:r>
      <w:r>
        <w:t xml:space="preserve">reconstruction with longer rolling windows or regime-conditioned</w:t>
      </w:r>
      <w:r>
        <w:t xml:space="preserve"> </w:t>
      </w:r>
      <w:r>
        <w:t xml:space="preserve">quantiles; (ii) apply conformal expansion as a post-hoc coverage</w:t>
      </w:r>
      <w:r>
        <w:t xml:space="preserve"> </w:t>
      </w:r>
      <w:r>
        <w:t xml:space="preserve">correction pending re-estimation; (iii) escalate to model review</w:t>
      </w:r>
      <w:r>
        <w:t xml:space="preserve"> </w:t>
      </w:r>
      <w:r>
        <w:t xml:space="preserve">committee with full diagnostic evidence.</w:t>
      </w:r>
    </w:p>
    <w:bookmarkEnd w:id="140"/>
    <w:bookmarkStart w:id="141" w:name="X6e796a43c69ce810356208c81195114cd6d099f"/>
    <w:p>
      <w:pPr>
        <w:pStyle w:val="Heading3"/>
      </w:pPr>
      <w:r>
        <w:t xml:space="preserve">2.2 Distributional Failure Without Interval Failure — PV Solar</w:t>
      </w:r>
    </w:p>
    <w:p>
      <w:pPr>
        <w:pStyle w:val="FirstParagraph"/>
      </w:pPr>
      <w:r>
        <w:t xml:space="preserve">The PV model presents the most instructive case for the multi-layer</w:t>
      </w:r>
      <w:r>
        <w:t xml:space="preserve"> </w:t>
      </w:r>
      <w:r>
        <w:t xml:space="preserve">framework argument. It passes interval backtesting (GREEN Anfuso,</w:t>
      </w:r>
      <w:r>
        <w:t xml:space="preserve"> </w:t>
      </w:r>
      <w:r>
        <w:t xml:space="preserve">coverage 91.4%) while failing PIT uniformity and independence</w:t>
      </w:r>
      <w:r>
        <w:t xml:space="preserve"> </w:t>
      </w:r>
      <w:r>
        <w:t xml:space="preserve">diagnostics (both strongly rejected). Under a naive coverage-only</w:t>
      </w:r>
      <w:r>
        <w:t xml:space="preserve"> </w:t>
      </w:r>
      <w:r>
        <w:t xml:space="preserve">governance policy, this model would be classified as acceptable.</w:t>
      </w:r>
      <w:r>
        <w:t xml:space="preserve"> </w:t>
      </w:r>
      <w:r>
        <w:t xml:space="preserve">Under the unified framework, it is classified RED.</w:t>
      </w:r>
    </w:p>
    <w:p>
      <w:pPr>
        <w:pStyle w:val="BodyText"/>
      </w:pPr>
      <w:r>
        <w:rPr>
          <w:b/>
          <w:bCs/>
        </w:rPr>
        <w:t xml:space="preserve">Governance implication.</w:t>
      </w:r>
      <w:r>
        <w:t xml:space="preserve"> </w:t>
      </w:r>
      <w:r>
        <w:t xml:space="preserve">The interval width is approximately</w:t>
      </w:r>
      <w:r>
        <w:t xml:space="preserve"> </w:t>
      </w:r>
      <w:r>
        <w:t xml:space="preserve">correct on average, but the distributional shape is systematically</w:t>
      </w:r>
      <w:r>
        <w:t xml:space="preserve"> </w:t>
      </w:r>
      <w:r>
        <w:t xml:space="preserve">misspecified. This means the model produces reasonable 90% intervals</w:t>
      </w:r>
      <w:r>
        <w:t xml:space="preserve"> </w:t>
      </w:r>
      <w:r>
        <w:t xml:space="preserve">but unreliable quantiles at other levels — in particular, any</w:t>
      </w:r>
      <w:r>
        <w:t xml:space="preserve"> </w:t>
      </w:r>
      <w:r>
        <w:t xml:space="preserve">risk metric that depends on tail quantiles beyond the evaluated</w:t>
      </w:r>
      <w:r>
        <w:t xml:space="preserve"> </w:t>
      </w:r>
      <w:r>
        <w:t xml:space="preserve">interval (e.g., 95th or 99th percentile) cannot be trusted. For</w:t>
      </w:r>
      <w:r>
        <w:t xml:space="preserve"> </w:t>
      </w:r>
      <w:r>
        <w:t xml:space="preserve">a model used in renewable generation planning or capacity adequacy</w:t>
      </w:r>
      <w:r>
        <w:t xml:space="preserve"> </w:t>
      </w:r>
      <w:r>
        <w:t xml:space="preserve">assessment, this is a material limitation.</w:t>
      </w:r>
    </w:p>
    <w:p>
      <w:pPr>
        <w:pStyle w:val="BodyText"/>
      </w:pPr>
      <w:r>
        <w:t xml:space="preserve">This case directly demonstrates that interval-coverage metrics alone</w:t>
      </w:r>
      <w:r>
        <w:t xml:space="preserve"> </w:t>
      </w:r>
      <w:r>
        <w:t xml:space="preserve">are insufficient for governance classification. The RED classification</w:t>
      </w:r>
      <w:r>
        <w:t xml:space="preserve"> </w:t>
      </w:r>
      <w:r>
        <w:t xml:space="preserve">is appropriate and should be communicated with the specific</w:t>
      </w:r>
      <w:r>
        <w:t xml:space="preserve"> </w:t>
      </w:r>
      <w:r>
        <w:t xml:space="preserve">diagnosis: the failure is distributional shape and temporal</w:t>
      </w:r>
      <w:r>
        <w:t xml:space="preserve"> </w:t>
      </w:r>
      <w:r>
        <w:t xml:space="preserve">dependence, not coverage level.</w:t>
      </w:r>
    </w:p>
    <w:bookmarkEnd w:id="141"/>
    <w:bookmarkStart w:id="142" w:name="X93a242651b529ce9d3145788c7858f4a6f56a7b"/>
    <w:p>
      <w:pPr>
        <w:pStyle w:val="Heading3"/>
      </w:pPr>
      <w:r>
        <w:t xml:space="preserve">2.3 Asymmetric Lower-Tail Failure — Wind Generation</w:t>
      </w:r>
    </w:p>
    <w:p>
      <w:pPr>
        <w:pStyle w:val="FirstParagraph"/>
      </w:pPr>
      <w:r>
        <w:t xml:space="preserve">The wind model fails on lower-tail interval backtesting (RED, 6.44%</w:t>
      </w:r>
      <w:r>
        <w:t xml:space="preserve"> </w:t>
      </w:r>
      <w:r>
        <w:t xml:space="preserve">breach rate vs 5% nominal) while the upper tail is within tolerance</w:t>
      </w:r>
      <w:r>
        <w:t xml:space="preserve"> </w:t>
      </w:r>
      <w:r>
        <w:t xml:space="preserve">(GREEN, 4.93%). Total coverage is 88.6%. PIT uniformity and</w:t>
      </w:r>
      <w:r>
        <w:t xml:space="preserve"> </w:t>
      </w:r>
      <w:r>
        <w:t xml:space="preserve">independence are strongly rejected.</w:t>
      </w:r>
    </w:p>
    <w:p>
      <w:pPr>
        <w:pStyle w:val="BodyText"/>
      </w:pPr>
      <w:r>
        <w:rPr>
          <w:b/>
          <w:bCs/>
        </w:rPr>
        <w:t xml:space="preserve">Governance implication.</w:t>
      </w:r>
      <w:r>
        <w:t xml:space="preserve"> </w:t>
      </w:r>
      <w:r>
        <w:t xml:space="preserve">The asymmetric failure pattern has a</w:t>
      </w:r>
      <w:r>
        <w:t xml:space="preserve"> </w:t>
      </w:r>
      <w:r>
        <w:t xml:space="preserve">physically interpretable cause: wind generation is bounded below by</w:t>
      </w:r>
      <w:r>
        <w:t xml:space="preserve"> </w:t>
      </w:r>
      <w:r>
        <w:t xml:space="preserve">zero, and the model underestimates the probability of low-generation</w:t>
      </w:r>
      <w:r>
        <w:t xml:space="preserve"> </w:t>
      </w:r>
      <w:r>
        <w:t xml:space="preserve">events more than high-generation events. For risk management purposes,</w:t>
      </w:r>
      <w:r>
        <w:t xml:space="preserve"> </w:t>
      </w:r>
      <w:r>
        <w:t xml:space="preserve">this is a one-directional conservatism failure — the model is more</w:t>
      </w:r>
      <w:r>
        <w:t xml:space="preserve"> </w:t>
      </w:r>
      <w:r>
        <w:t xml:space="preserve">dangerous in downside scenarios (low wind, high demand) than in</w:t>
      </w:r>
      <w:r>
        <w:t xml:space="preserve"> </w:t>
      </w:r>
      <w:r>
        <w:t xml:space="preserve">upside scenarios. Any risk measure sensitive to the lower tail of</w:t>
      </w:r>
      <w:r>
        <w:t xml:space="preserve"> </w:t>
      </w:r>
      <w:r>
        <w:t xml:space="preserve">the generation distribution — such as capacity shortfall probability</w:t>
      </w:r>
      <w:r>
        <w:t xml:space="preserve"> </w:t>
      </w:r>
      <w:r>
        <w:t xml:space="preserve">or balancing reserve sizing — will be systematically underestimated</w:t>
      </w:r>
      <w:r>
        <w:t xml:space="preserve"> </w:t>
      </w:r>
      <w:r>
        <w:t xml:space="preserve">by this model. The governance response should target lower-tail</w:t>
      </w:r>
      <w:r>
        <w:t xml:space="preserve"> </w:t>
      </w:r>
      <w:r>
        <w:t xml:space="preserve">recalibration specifically, rather than global interval adjustment.</w:t>
      </w:r>
    </w:p>
    <w:p>
      <w:r>
        <w:pict>
          <v:rect style="width:0;height:1.5pt" o:hralign="center" o:hrstd="t" o:hr="t"/>
        </w:pict>
      </w:r>
    </w:p>
    <w:bookmarkEnd w:id="142"/>
    <w:bookmarkEnd w:id="143"/>
    <w:bookmarkStart w:id="144" w:name="the-misspecification-detection-boundary"/>
    <w:p>
      <w:pPr>
        <w:pStyle w:val="Heading2"/>
      </w:pPr>
      <w:r>
        <w:t xml:space="preserve">3. The Misspecification Detection Boundary</w:t>
      </w:r>
    </w:p>
    <w:p>
      <w:pPr>
        <w:pStyle w:val="FirstParagraph"/>
      </w:pPr>
      <w:r>
        <w:t xml:space="preserve">The controlled misspecification scenarios reveal where the framework’s</w:t>
      </w:r>
      <w:r>
        <w:t xml:space="preserve"> </w:t>
      </w:r>
      <w:r>
        <w:t xml:space="preserve">discriminative power ends. Variance inflation and mean bias are detected</w:t>
      </w:r>
      <w:r>
        <w:t xml:space="preserve"> </w:t>
      </w:r>
      <w:r>
        <w:t xml:space="preserve">reliably and their failure mode character (bilateral vs unilateral) is</w:t>
      </w:r>
      <w:r>
        <w:t xml:space="preserve"> </w:t>
      </w:r>
      <w:r>
        <w:t xml:space="preserve">correctly identified. Heavy-tail misspecification is not detected at</w:t>
      </w:r>
      <w:r>
        <w:t xml:space="preserve"> </w:t>
      </w:r>
      <w:r>
        <w:t xml:space="preserve">n = 365.</w:t>
      </w:r>
    </w:p>
    <w:p>
      <w:pPr>
        <w:pStyle w:val="BodyText"/>
      </w:pPr>
      <w:r>
        <w:rPr>
          <w:b/>
          <w:bCs/>
        </w:rPr>
        <w:t xml:space="preserve">Governance implication.</w:t>
      </w:r>
      <w:r>
        <w:t xml:space="preserve"> </w:t>
      </w:r>
      <w:r>
        <w:t xml:space="preserve">This finding establishes a practical</w:t>
      </w:r>
      <w:r>
        <w:t xml:space="preserve"> </w:t>
      </w:r>
      <w:r>
        <w:t xml:space="preserve">boundary for governance confidence: the traffic-light framework is</w:t>
      </w:r>
      <w:r>
        <w:t xml:space="preserve"> </w:t>
      </w:r>
      <w:r>
        <w:t xml:space="preserve">reliable for detecting the most consequential model failures</w:t>
      </w:r>
      <w:r>
        <w:t xml:space="preserve"> </w:t>
      </w:r>
      <w:r>
        <w:t xml:space="preserve">(wrong scale, systematic bias) but requires larger evaluation samples</w:t>
      </w:r>
      <w:r>
        <w:t xml:space="preserve"> </w:t>
      </w:r>
      <w:r>
        <w:t xml:space="preserve">or supplementary tail diagnostics to detect distributional shape</w:t>
      </w:r>
      <w:r>
        <w:t xml:space="preserve"> </w:t>
      </w:r>
      <w:r>
        <w:t xml:space="preserve">misspecification. Institutions using this framework with short</w:t>
      </w:r>
      <w:r>
        <w:t xml:space="preserve"> </w:t>
      </w:r>
      <w:r>
        <w:t xml:space="preserve">evaluation horizons (n &lt; 500) should be aware that a GREEN interval</w:t>
      </w:r>
      <w:r>
        <w:t xml:space="preserve"> </w:t>
      </w:r>
      <w:r>
        <w:t xml:space="preserve">classification does not rule out heavy-tail misspecification. Minimum</w:t>
      </w:r>
      <w:r>
        <w:t xml:space="preserve"> </w:t>
      </w:r>
      <w:r>
        <w:t xml:space="preserve">evaluation horizon recommendations should be incorporated into</w:t>
      </w:r>
      <w:r>
        <w:t xml:space="preserve"> </w:t>
      </w:r>
      <w:r>
        <w:t xml:space="preserve">governance policy as a procedural safeguard.</w:t>
      </w:r>
    </w:p>
    <w:p>
      <w:r>
        <w:pict>
          <v:rect style="width:0;height:1.5pt" o:hralign="center" o:hrstd="t" o:hr="t"/>
        </w:pict>
      </w:r>
    </w:p>
    <w:bookmarkEnd w:id="144"/>
    <w:bookmarkStart w:id="147" w:name="regulatory-mapping"/>
    <w:p>
      <w:pPr>
        <w:pStyle w:val="Heading2"/>
      </w:pPr>
      <w:r>
        <w:t xml:space="preserve">4. Regulatory Mapping</w:t>
      </w:r>
    </w:p>
    <w:bookmarkStart w:id="145" w:name="basel-traffic-light-alignment"/>
    <w:p>
      <w:pPr>
        <w:pStyle w:val="Heading3"/>
      </w:pPr>
      <w:r>
        <w:t xml:space="preserve">4.1 Basel Traffic-Light Alignment</w:t>
      </w:r>
    </w:p>
    <w:p>
      <w:pPr>
        <w:pStyle w:val="FirstParagraph"/>
      </w:pPr>
      <w:r>
        <w:t xml:space="preserve">The traffic-light architecture developed in this thesis is explicitly</w:t>
      </w:r>
      <w:r>
        <w:t xml:space="preserve"> </w:t>
      </w:r>
      <w:r>
        <w:t xml:space="preserve">modelled on the Basel Committee’s backtesting framework for Value-at-Risk</w:t>
      </w:r>
      <w:r>
        <w:t xml:space="preserve"> </w:t>
      </w:r>
      <w:r>
        <w:t xml:space="preserve">models (Basel Committee, 1996; 2010), which classifies models into green,</w:t>
      </w:r>
      <w:r>
        <w:t xml:space="preserve"> </w:t>
      </w:r>
      <w:r>
        <w:t xml:space="preserve">yellow, and red zones based on the number of VaR exceedances over a</w:t>
      </w:r>
      <w:r>
        <w:t xml:space="preserve"> </w:t>
      </w:r>
      <w:r>
        <w:t xml:space="preserve">250-day evaluation window. The adaptation in this framework extends the</w:t>
      </w:r>
      <w:r>
        <w:t xml:space="preserve"> </w:t>
      </w:r>
      <w:r>
        <w:t xml:space="preserve">Basel logic in two directions.</w:t>
      </w:r>
    </w:p>
    <w:p>
      <w:pPr>
        <w:pStyle w:val="BodyText"/>
      </w:pPr>
      <w:r>
        <w:t xml:space="preserve">First, the diagnostic battery is broadened. Basel’s framework tests only</w:t>
      </w:r>
      <w:r>
        <w:t xml:space="preserve"> </w:t>
      </w:r>
      <w:r>
        <w:t xml:space="preserve">exceedance frequency (whether the observed breach rate exceeds the nominal</w:t>
      </w:r>
      <w:r>
        <w:t xml:space="preserve"> </w:t>
      </w:r>
      <w:r>
        <w:t xml:space="preserve">rate). This thesis adds PIT uniformity and serial independence as</w:t>
      </w:r>
      <w:r>
        <w:t xml:space="preserve"> </w:t>
      </w:r>
      <w:r>
        <w:t xml:space="preserve">mandatory governance criteria, reflecting the finding that interval</w:t>
      </w:r>
      <w:r>
        <w:t xml:space="preserve"> </w:t>
      </w:r>
      <w:r>
        <w:t xml:space="preserve">coverage alone is insufficient (the PV case). This is consistent with the direction of Basel III and IV (Basel</w:t>
      </w:r>
      <w:r>
        <w:t xml:space="preserve"> </w:t>
      </w:r>
      <w:r>
        <w:t xml:space="preserve">Committee, 2010; McNeil, Frey and Embrechts, 2005), which have</w:t>
      </w:r>
      <w:r>
        <w:t xml:space="preserve"> </w:t>
      </w:r>
      <w:r>
        <w:t xml:space="preserve">progressively expanded the scope of backtesting beyond simple VaR</w:t>
      </w:r>
      <w:r>
        <w:t xml:space="preserve"> </w:t>
      </w:r>
      <w:r>
        <w:t xml:space="preserve">exceedance counting.</w:t>
      </w:r>
    </w:p>
    <w:p>
      <w:pPr>
        <w:pStyle w:val="BodyText"/>
      </w:pPr>
      <w:r>
        <w:t xml:space="preserve">Second, the framework is applied across heterogeneous model classes.</w:t>
      </w:r>
      <w:r>
        <w:t xml:space="preserve"> </w:t>
      </w:r>
      <w:r>
        <w:t xml:space="preserve">Basel’s framework was designed for a single model type (internal market</w:t>
      </w:r>
      <w:r>
        <w:t xml:space="preserve"> </w:t>
      </w:r>
      <w:r>
        <w:t xml:space="preserve">risk models for trading book positions). The extension to simulation</w:t>
      </w:r>
      <w:r>
        <w:t xml:space="preserve"> </w:t>
      </w:r>
      <w:r>
        <w:t xml:space="preserve">models, short-term forecasters, and long-term renewable models with</w:t>
      </w:r>
      <w:r>
        <w:t xml:space="preserve"> </w:t>
      </w:r>
      <w:r>
        <w:t xml:space="preserve">heterogeneous output formats and evaluation sample sizes requires the</w:t>
      </w:r>
      <w:r>
        <w:t xml:space="preserve"> </w:t>
      </w:r>
      <w:r>
        <w:t xml:space="preserve">distribution reconstruction and sample-size-aware power calibration</w:t>
      </w:r>
      <w:r>
        <w:t xml:space="preserve"> </w:t>
      </w:r>
      <w:r>
        <w:t xml:space="preserve">described in Chapter 2.</w:t>
      </w:r>
    </w:p>
    <w:bookmarkEnd w:id="145"/>
    <w:bookmarkStart w:id="146" w:name="remit-regulatory-context"/>
    <w:p>
      <w:pPr>
        <w:pStyle w:val="Heading3"/>
      </w:pPr>
      <w:r>
        <w:t xml:space="preserve">4.2 REMIT Regulatory Context</w:t>
      </w:r>
    </w:p>
    <w:p>
      <w:pPr>
        <w:pStyle w:val="FirstParagraph"/>
      </w:pPr>
      <w:r>
        <w:t xml:space="preserve">The REMIT regulation (European Parliament, 2011) requires that energy</w:t>
      </w:r>
      <w:r>
        <w:t xml:space="preserve"> </w:t>
      </w:r>
      <w:r>
        <w:t xml:space="preserve">market participants maintain reliable and auditable models for fundamental price formation and risk</w:t>
      </w:r>
      <w:r>
        <w:t xml:space="preserve"> </w:t>
      </w:r>
      <w:r>
        <w:t xml:space="preserve">quantification. While REMIT does not prescribe specific backtesting</w:t>
      </w:r>
      <w:r>
        <w:t xml:space="preserve"> </w:t>
      </w:r>
      <w:r>
        <w:t xml:space="preserve">methodologies, the governance framework developed here — with its</w:t>
      </w:r>
      <w:r>
        <w:t xml:space="preserve"> </w:t>
      </w:r>
      <w:r>
        <w:t xml:space="preserve">structured RED/YELLOW/GREEN classification, documented diagnostic</w:t>
      </w:r>
      <w:r>
        <w:t xml:space="preserve"> </w:t>
      </w:r>
      <w:r>
        <w:t xml:space="preserve">evidence, and explicit model use restrictions at RED — is directly</w:t>
      </w:r>
      <w:r>
        <w:t xml:space="preserve"> </w:t>
      </w:r>
      <w:r>
        <w:t xml:space="preserve">compatible with REMIT’s requirement for transparent and auditable model</w:t>
      </w:r>
      <w:r>
        <w:t xml:space="preserve"> </w:t>
      </w:r>
      <w:r>
        <w:t xml:space="preserve">governance.</w:t>
      </w:r>
    </w:p>
    <w:p>
      <w:pPr>
        <w:pStyle w:val="BodyText"/>
      </w:pPr>
      <w:r>
        <w:t xml:space="preserve">In particular, the traffic-light output is designed to be interpretable</w:t>
      </w:r>
      <w:r>
        <w:t xml:space="preserve"> </w:t>
      </w:r>
      <w:r>
        <w:t xml:space="preserve">by non-statistician stakeholders (trading desks, risk committees,</w:t>
      </w:r>
      <w:r>
        <w:t xml:space="preserve"> </w:t>
      </w:r>
      <w:r>
        <w:t xml:space="preserve">independent validation units) without loss of the underlying statistical</w:t>
      </w:r>
      <w:r>
        <w:t xml:space="preserve"> </w:t>
      </w:r>
      <w:r>
        <w:t xml:space="preserve">rigour. This addresses a practical gap: statistical calibration results</w:t>
      </w:r>
      <w:r>
        <w:t xml:space="preserve"> </w:t>
      </w:r>
      <w:r>
        <w:t xml:space="preserve">are often not directly consumable by institutional decision-makers</w:t>
      </w:r>
      <w:r>
        <w:t xml:space="preserve"> </w:t>
      </w:r>
      <w:r>
        <w:t xml:space="preserve">without a translation layer.</w:t>
      </w:r>
    </w:p>
    <w:p>
      <w:pPr>
        <w:pStyle w:val="BodyText"/>
      </w:pPr>
      <w:r>
        <w:t xml:space="preserve">The production architecture developed in this thesis directly addresses</w:t>
      </w:r>
      <w:r>
        <w:t xml:space="preserve"> </w:t>
      </w:r>
      <w:r>
        <w:t xml:space="preserve">this gap through two mechanisms. The</w:t>
      </w:r>
      <w:r>
        <w:t xml:space="preserve"> </w:t>
      </w:r>
      <w:r>
        <w:rPr>
          <w:rStyle w:val="VerbatimChar"/>
        </w:rPr>
        <w:t xml:space="preserve">DecisionEngine</w:t>
      </w:r>
      <w:r>
        <w:t xml:space="preserve"> </w:t>
      </w:r>
      <w:r>
        <w:t xml:space="preserve">produces a</w:t>
      </w:r>
      <w:r>
        <w:t xml:space="preserve"> </w:t>
      </w:r>
      <w:r>
        <w:t xml:space="preserve">machine-readable</w:t>
      </w:r>
      <w:r>
        <w:t xml:space="preserve"> </w:t>
      </w:r>
      <w:r>
        <w:rPr>
          <w:rStyle w:val="VerbatimChar"/>
        </w:rPr>
        <w:t xml:space="preserve">governance_decision.json</w:t>
      </w:r>
      <w:r>
        <w:t xml:space="preserve"> </w:t>
      </w:r>
      <w:r>
        <w:t xml:space="preserve">artifact containing the</w:t>
      </w:r>
      <w:r>
        <w:t xml:space="preserve"> </w:t>
      </w:r>
      <w:r>
        <w:t xml:space="preserve">classification, reason codes, full metric snapshot, and provenance audit</w:t>
      </w:r>
      <w:r>
        <w:t xml:space="preserve"> </w:t>
      </w:r>
      <w:r>
        <w:t xml:space="preserve">trail — suitable for archival in a model risk management system and</w:t>
      </w:r>
      <w:r>
        <w:t xml:space="preserve"> </w:t>
      </w:r>
      <w:r>
        <w:t xml:space="preserve">presentation to independent validation units. The</w:t>
      </w:r>
      <w:r>
        <w:t xml:space="preserve"> </w:t>
      </w:r>
      <w:r>
        <w:rPr>
          <w:rStyle w:val="VerbatimChar"/>
        </w:rPr>
        <w:t xml:space="preserve">NarrativeGenerator</w:t>
      </w:r>
      <w:r>
        <w:t xml:space="preserve"> </w:t>
      </w:r>
      <w:r>
        <w:t xml:space="preserve">component converts this structured record into plain-language summaries</w:t>
      </w:r>
      <w:r>
        <w:t xml:space="preserve"> </w:t>
      </w:r>
      <w:r>
        <w:t xml:space="preserve">calibrated for non-technical stakeholders, ensuring that a RED</w:t>
      </w:r>
      <w:r>
        <w:t xml:space="preserve"> </w:t>
      </w:r>
      <w:r>
        <w:t xml:space="preserve">classification is communicated with the specific diagnostic evidence that</w:t>
      </w:r>
      <w:r>
        <w:t xml:space="preserve"> </w:t>
      </w:r>
      <w:r>
        <w:t xml:space="preserve">produced it rather than as a bare label. Together these components satisfy</w:t>
      </w:r>
      <w:r>
        <w:t xml:space="preserve"> </w:t>
      </w:r>
      <w:r>
        <w:t xml:space="preserve">the REMIT auditability requirement in a form that is both technically</w:t>
      </w:r>
      <w:r>
        <w:t xml:space="preserve"> </w:t>
      </w:r>
      <w:r>
        <w:t xml:space="preserve">rigorous and institutionally accessible.</w:t>
      </w:r>
    </w:p>
    <w:p>
      <w:r>
        <w:pict>
          <v:rect style="width:0;height:1.5pt" o:hralign="center" o:hrstd="t" o:hr="t"/>
        </w:pict>
      </w:r>
    </w:p>
    <w:bookmarkEnd w:id="146"/>
    <w:bookmarkEnd w:id="147"/>
    <w:bookmarkStart w:id="148" w:name="X1d8be648420896f3d9e8c0aefa7c011ad391839"/>
    <w:p>
      <w:pPr>
        <w:pStyle w:val="Heading2"/>
      </w:pPr>
      <w:r>
        <w:t xml:space="preserve">5. The Role of Conformal Augmentation in Governance</w:t>
      </w:r>
    </w:p>
    <w:p>
      <w:pPr>
        <w:pStyle w:val="FirstParagraph"/>
      </w:pPr>
      <w:r>
        <w:t xml:space="preserve">Conformal augmentation occupies a specific and bounded role in the</w:t>
      </w:r>
      <w:r>
        <w:t xml:space="preserve"> </w:t>
      </w:r>
      <w:r>
        <w:t xml:space="preserve">governance architecture. It is not a substitute for model re-estimation</w:t>
      </w:r>
      <w:r>
        <w:t xml:space="preserve"> </w:t>
      </w:r>
      <w:r>
        <w:t xml:space="preserve">and it does not correct distributional shape failures — it corrects</w:t>
      </w:r>
      <w:r>
        <w:t xml:space="preserve"> </w:t>
      </w:r>
      <w:r>
        <w:t xml:space="preserve">interval width. The distinction matters:</w:t>
      </w:r>
    </w:p>
    <w:p>
      <w:pPr>
        <w:pStyle w:val="Compact"/>
        <w:numPr>
          <w:ilvl w:val="0"/>
          <w:numId w:val="1021"/>
        </w:numPr>
      </w:pPr>
      <w:r>
        <w:t xml:space="preserve">If a model fails on</w:t>
      </w:r>
      <w:r>
        <w:t xml:space="preserve"> </w:t>
      </w:r>
      <w:r>
        <w:rPr>
          <w:b/>
          <w:bCs/>
        </w:rPr>
        <w:t xml:space="preserve">interval coverage only</w:t>
      </w:r>
      <w:r>
        <w:t xml:space="preserve"> </w:t>
      </w:r>
      <w:r>
        <w:t xml:space="preserve">(breach rate too high</w:t>
      </w:r>
      <w:r>
        <w:t xml:space="preserve"> </w:t>
      </w:r>
      <w:r>
        <w:t xml:space="preserve">but PIT diagnostics acceptable), conformal expansion is an appropriate post-hoc correction that restores</w:t>
      </w:r>
      <w:r>
        <w:t xml:space="preserve"> </w:t>
      </w:r>
      <w:r>
        <w:t xml:space="preserve">nominal coverage with finite-sample guarantees (Angelopoulos and Bates, 2023).</w:t>
      </w:r>
    </w:p>
    <w:p>
      <w:pPr>
        <w:pStyle w:val="Compact"/>
        <w:numPr>
          <w:ilvl w:val="0"/>
          <w:numId w:val="1021"/>
        </w:numPr>
      </w:pPr>
      <w:r>
        <w:t xml:space="preserve">If a model fails on</w:t>
      </w:r>
      <w:r>
        <w:t xml:space="preserve"> </w:t>
      </w:r>
      <w:r>
        <w:rPr>
          <w:b/>
          <w:bCs/>
        </w:rPr>
        <w:t xml:space="preserve">PIT uniformity or independence</w:t>
      </w:r>
      <w:r>
        <w:t xml:space="preserve"> </w:t>
      </w:r>
      <w:r>
        <w:t xml:space="preserve">(the ENTSO-E,</w:t>
      </w:r>
      <w:r>
        <w:t xml:space="preserve"> </w:t>
      </w:r>
      <w:r>
        <w:t xml:space="preserve">PV, and wind cases), conformal expansion can restore marginal interval</w:t>
      </w:r>
      <w:r>
        <w:t xml:space="preserve"> </w:t>
      </w:r>
      <w:r>
        <w:t xml:space="preserve">coverage but does not fix the underlying distributional misspecification.</w:t>
      </w:r>
      <w:r>
        <w:t xml:space="preserve"> </w:t>
      </w:r>
      <w:r>
        <w:t xml:space="preserve">The model will still produce unreliable quantile estimates at levels</w:t>
      </w:r>
      <w:r>
        <w:t xml:space="preserve"> </w:t>
      </w:r>
      <w:r>
        <w:t xml:space="preserve">other than the conformal-corrected interval.</w:t>
      </w:r>
    </w:p>
    <w:p>
      <w:pPr>
        <w:pStyle w:val="FirstParagraph"/>
      </w:pPr>
      <w:r>
        <w:t xml:space="preserve">The feasibility study on the ENTSO-E development sample (Chapter 3,</w:t>
      </w:r>
      <w:r>
        <w:t xml:space="preserve"> </w:t>
      </w:r>
      <w:r>
        <w:t xml:space="preserve">Section 8; 04_conformal_wrapping.ipynb) confirms this: base interval +</w:t>
      </w:r>
      <w:r>
        <w:t xml:space="preserve"> </w:t>
      </w:r>
      <w:r>
        <w:t xml:space="preserve">conformal expansion restores 89.9% empirical coverage at α = 0.1 (from</w:t>
      </w:r>
      <w:r>
        <w:t xml:space="preserve"> </w:t>
      </w:r>
      <w:r>
        <w:t xml:space="preserve">a pre-conformal 82.5%), but the underlying PIT failures would remain</w:t>
      </w:r>
      <w:r>
        <w:t xml:space="preserve"> </w:t>
      </w:r>
      <w:r>
        <w:t xml:space="preserve">present if tested on the conformal-adjusted outputs. Conformal</w:t>
      </w:r>
      <w:r>
        <w:t xml:space="preserve"> </w:t>
      </w:r>
      <w:r>
        <w:t xml:space="preserve">augmentation is therefore best understood as a</w:t>
      </w:r>
      <w:r>
        <w:t xml:space="preserve"> </w:t>
      </w:r>
      <w:r>
        <w:rPr>
          <w:b/>
          <w:bCs/>
        </w:rPr>
        <w:t xml:space="preserve">coverage stabiliser</w:t>
      </w:r>
      <w:r>
        <w:t xml:space="preserve"> </w:t>
      </w:r>
      <w:r>
        <w:t xml:space="preserve">within the governance architecture — a first-line remediation while</w:t>
      </w:r>
      <w:r>
        <w:t xml:space="preserve"> </w:t>
      </w:r>
      <w:r>
        <w:t xml:space="preserve">structural model improvement is underway, not a permanent fix.</w:t>
      </w:r>
    </w:p>
    <w:p>
      <w:pPr>
        <w:pStyle w:val="BodyText"/>
      </w:pPr>
      <w:r>
        <w:t xml:space="preserve">For governance purposes, a model that is RED pre-conformal and GREEN</w:t>
      </w:r>
      <w:r>
        <w:t xml:space="preserve"> </w:t>
      </w:r>
      <w:r>
        <w:t xml:space="preserve">on interval coverage post-conformal should be classified as</w:t>
      </w:r>
      <w:r>
        <w:t xml:space="preserve"> </w:t>
      </w:r>
      <w:r>
        <w:rPr>
          <w:b/>
          <w:bCs/>
        </w:rPr>
        <w:t xml:space="preserve">GREEN (with conformal adjustment, pending structural review)</w:t>
      </w:r>
      <w:r>
        <w:t xml:space="preserve"> </w:t>
      </w:r>
      <w:r>
        <w:t xml:space="preserve">— not</w:t>
      </w:r>
      <w:r>
        <w:t xml:space="preserve"> </w:t>
      </w:r>
      <w:r>
        <w:t xml:space="preserve">simply GREEN. The governance record should document the adjustment and</w:t>
      </w:r>
      <w:r>
        <w:t xml:space="preserve"> </w:t>
      </w:r>
      <w:r>
        <w:t xml:space="preserve">require periodic re-assessment.</w:t>
      </w:r>
    </w:p>
    <w:p>
      <w:r>
        <w:pict>
          <v:rect style="width:0;height:1.5pt" o:hralign="center" o:hrstd="t" o:hr="t"/>
        </w:pict>
      </w:r>
    </w:p>
    <w:bookmarkEnd w:id="148"/>
    <w:bookmarkStart w:id="149" w:name="limitations-and-future-extensions"/>
    <w:p>
      <w:pPr>
        <w:pStyle w:val="Heading2"/>
      </w:pPr>
      <w:r>
        <w:t xml:space="preserve">6. Limitations and Future Extensions</w:t>
      </w:r>
    </w:p>
    <w:p>
      <w:pPr>
        <w:pStyle w:val="FirstParagraph"/>
      </w:pPr>
      <w:r>
        <w:t xml:space="preserve">Several limitations of the current framework are relevant to governance</w:t>
      </w:r>
      <w:r>
        <w:t xml:space="preserve"> </w:t>
      </w:r>
      <w:r>
        <w:t xml:space="preserve">practitioners.</w:t>
      </w:r>
    </w:p>
    <w:p>
      <w:pPr>
        <w:pStyle w:val="BodyText"/>
      </w:pPr>
      <w:r>
        <w:rPr>
          <w:b/>
          <w:bCs/>
        </w:rPr>
        <w:t xml:space="preserve">PIT diagnostics unavailable for simulation model class.</w:t>
      </w:r>
      <w:r>
        <w:t xml:space="preserve"> </w:t>
      </w:r>
      <w:r>
        <w:t xml:space="preserve">The synthetic</w:t>
      </w:r>
      <w:r>
        <w:t xml:space="preserve"> </w:t>
      </w:r>
      <w:r>
        <w:t xml:space="preserve">simulation runs (run_004, run_004b) pass quantile-based interval</w:t>
      </w:r>
      <w:r>
        <w:t xml:space="preserve"> </w:t>
      </w:r>
      <w:r>
        <w:t xml:space="preserve">diagnostics but do not produce PIT statistics, because the current</w:t>
      </w:r>
      <w:r>
        <w:t xml:space="preserve"> </w:t>
      </w:r>
      <w:r>
        <w:t xml:space="preserve">pipeline passes only quantile bounds rather than full distributional</w:t>
      </w:r>
      <w:r>
        <w:t xml:space="preserve"> </w:t>
      </w:r>
      <w:r>
        <w:t xml:space="preserve">samples to the diagnostic layer. A governance policy that relies on</w:t>
      </w:r>
      <w:r>
        <w:t xml:space="preserve"> </w:t>
      </w:r>
      <w:r>
        <w:t xml:space="preserve">PIT-layer evidence for simulation models would require persisting the</w:t>
      </w:r>
      <w:r>
        <w:t xml:space="preserve"> </w:t>
      </w:r>
      <w:r>
        <w:t xml:space="preserve">full path ensemble quantile CDFs — a straightforward extension that is</w:t>
      </w:r>
      <w:r>
        <w:t xml:space="preserve"> </w:t>
      </w:r>
      <w:r>
        <w:t xml:space="preserve">deferred from the current implementation.</w:t>
      </w:r>
    </w:p>
    <w:p>
      <w:pPr>
        <w:pStyle w:val="BodyText"/>
      </w:pPr>
      <w:r>
        <w:rPr>
          <w:b/>
          <w:bCs/>
        </w:rPr>
        <w:t xml:space="preserve">Sample size constraints on renewable datasets.</w:t>
      </w:r>
      <w:r>
        <w:t xml:space="preserve"> </w:t>
      </w:r>
      <w:r>
        <w:t xml:space="preserve">After nighttime</w:t>
      </w:r>
      <w:r>
        <w:t xml:space="preserve"> </w:t>
      </w:r>
      <w:r>
        <w:t xml:space="preserve">exclusion and rolling warmup, the PV evaluation sample reduces to</w:t>
      </w:r>
      <w:r>
        <w:t xml:space="preserve"> </w:t>
      </w:r>
      <w:r>
        <w:t xml:space="preserve">n = 4,287 observations. At this sample size, the Anfuso interval test</w:t>
      </w:r>
      <w:r>
        <w:t xml:space="preserve"> </w:t>
      </w:r>
      <w:r>
        <w:t xml:space="preserve">has substantially reduced power relative to the ENTSO-E run (n = 209,555).</w:t>
      </w:r>
      <w:r>
        <w:t xml:space="preserve"> </w:t>
      </w:r>
      <w:r>
        <w:t xml:space="preserve">A GREEN Anfuso result on PV should be interpreted conservatively.</w:t>
      </w:r>
    </w:p>
    <w:p>
      <w:pPr>
        <w:pStyle w:val="BodyText"/>
      </w:pPr>
      <w:r>
        <w:rPr>
          <w:b/>
          <w:bCs/>
        </w:rPr>
        <w:t xml:space="preserve">Multivariate coverage is partial.</w:t>
      </w:r>
      <w:r>
        <w:t xml:space="preserve"> </w:t>
      </w:r>
      <w:r>
        <w:t xml:space="preserve">The run_005 multivariate analysis</w:t>
      </w:r>
      <w:r>
        <w:t xml:space="preserve"> </w:t>
      </w:r>
      <w:r>
        <w:t xml:space="preserve">covers only PV and wind on their shared hourly index. The industry</w:t>
      </w:r>
      <w:r>
        <w:t xml:space="preserve"> </w:t>
      </w:r>
      <w:r>
        <w:t xml:space="preserve">partner has expressed interest in expanding the framework to additional</w:t>
      </w:r>
      <w:r>
        <w:t xml:space="preserve"> </w:t>
      </w:r>
      <w:r>
        <w:t xml:space="preserve">commodity classes (natural gas, carbon, electricity price). The</w:t>
      </w:r>
      <w:r>
        <w:t xml:space="preserve"> </w:t>
      </w:r>
      <w:r>
        <w:t xml:space="preserve">architecture is designed to accommodate this expansion: the diagnostic</w:t>
      </w:r>
      <w:r>
        <w:t xml:space="preserve"> </w:t>
      </w:r>
      <w:r>
        <w:t xml:space="preserve">modules are asset-agnostic, and the build scripts can be extended to</w:t>
      </w:r>
      <w:r>
        <w:t xml:space="preserve"> </w:t>
      </w:r>
      <w:r>
        <w:t xml:space="preserve">additional datasets. Synthetic extensions to additional commodity classes</w:t>
      </w:r>
      <w:r>
        <w:t xml:space="preserve"> </w:t>
      </w:r>
      <w:r>
        <w:t xml:space="preserve">using the simulation notebook are planned as a next step.</w:t>
      </w:r>
    </w:p>
    <w:p>
      <w:pPr>
        <w:pStyle w:val="BodyText"/>
      </w:pPr>
      <w:r>
        <w:rPr>
          <w:b/>
          <w:bCs/>
        </w:rPr>
        <w:t xml:space="preserve">Conformal augmentation evaluated on development sample only.</w:t>
      </w:r>
      <w:r>
        <w:t xml:space="preserve"> </w:t>
      </w:r>
      <w:r>
        <w:t xml:space="preserve">The</w:t>
      </w:r>
      <w:r>
        <w:t xml:space="preserve"> </w:t>
      </w:r>
      <w:r>
        <w:t xml:space="preserve">conformal feasibility study uses the 90-day ENTSO-E development sample</w:t>
      </w:r>
      <w:r>
        <w:t xml:space="preserve"> </w:t>
      </w:r>
      <w:r>
        <w:t xml:space="preserve">(n = 2,544 test observations). Full-dataset conformal evaluation and</w:t>
      </w:r>
      <w:r>
        <w:t xml:space="preserve"> </w:t>
      </w:r>
      <w:r>
        <w:t xml:space="preserve">extension to PV and wind are deferred. The governance implications of</w:t>
      </w:r>
      <w:r>
        <w:t xml:space="preserve"> </w:t>
      </w:r>
      <w:r>
        <w:t xml:space="preserve">conformal augmentation for the renewable datasets — where the</w:t>
      </w:r>
      <w:r>
        <w:t xml:space="preserve"> </w:t>
      </w:r>
      <w:r>
        <w:t xml:space="preserve">pre-conformal coverage shortfalls are smaller — remain to be quantified.</w:t>
      </w:r>
    </w:p>
    <w:p>
      <w:r>
        <w:pict>
          <v:rect style="width:0;height:1.5pt" o:hralign="center" o:hrstd="t" o:hr="t"/>
        </w:pict>
      </w:r>
    </w:p>
    <w:bookmarkEnd w:id="149"/>
    <w:bookmarkStart w:id="154" w:name="regime-conditioned-governance"/>
    <w:p>
      <w:pPr>
        <w:pStyle w:val="Heading2"/>
      </w:pPr>
      <w:r>
        <w:t xml:space="preserve">7. Regime-Conditioned Governance</w:t>
      </w:r>
    </w:p>
    <w:bookmarkStart w:id="150" w:name="motivation-2"/>
    <w:p>
      <w:pPr>
        <w:pStyle w:val="Heading3"/>
      </w:pPr>
      <w:r>
        <w:t xml:space="preserve">7.1 Motivation</w:t>
      </w:r>
    </w:p>
    <w:p>
      <w:pPr>
        <w:pStyle w:val="FirstParagraph"/>
      </w:pPr>
      <w:r>
        <w:t xml:space="preserve">The governance framework described in Sections 2–5 applies a single</w:t>
      </w:r>
      <w:r>
        <w:t xml:space="preserve"> </w:t>
      </w:r>
      <w:r>
        <w:t xml:space="preserve">global policy threshold across all evaluation windows. This is appropriate</w:t>
      </w:r>
      <w:r>
        <w:t xml:space="preserve"> </w:t>
      </w:r>
      <w:r>
        <w:t xml:space="preserve">as a baseline but may be overly conservative in heterogeneous market</w:t>
      </w:r>
      <w:r>
        <w:t xml:space="preserve"> </w:t>
      </w:r>
      <w:r>
        <w:t xml:space="preserve">environments: a model that achieves 87% empirical coverage in a high</w:t>
      </w:r>
      <w:r>
        <w:t xml:space="preserve"> </w:t>
      </w:r>
      <w:r>
        <w:t xml:space="preserve">volatility regime may be performing as well as can reasonably be expected,</w:t>
      </w:r>
      <w:r>
        <w:t xml:space="preserve"> </w:t>
      </w:r>
      <w:r>
        <w:t xml:space="preserve">while the same coverage in a stable regime would indicate a clear failure.</w:t>
      </w:r>
      <w:r>
        <w:t xml:space="preserve"> </w:t>
      </w:r>
      <w:r>
        <w:t xml:space="preserve">Applying the same 90% threshold uniformly penalises the model for the</w:t>
      </w:r>
      <w:r>
        <w:t xml:space="preserve"> </w:t>
      </w:r>
      <w:r>
        <w:t xml:space="preserve">inherent difficulty of the forecasting task rather than for genuine</w:t>
      </w:r>
      <w:r>
        <w:t xml:space="preserve"> </w:t>
      </w:r>
      <w:r>
        <w:t xml:space="preserve">miscalibration. This concern motivates regime-stratified evaluation,</w:t>
      </w:r>
      <w:r>
        <w:t xml:space="preserve"> </w:t>
      </w:r>
      <w:r>
        <w:t xml:space="preserve">consistent with the broader literature on forecast comparison in unstable</w:t>
      </w:r>
      <w:r>
        <w:t xml:space="preserve"> </w:t>
      </w:r>
      <w:r>
        <w:t xml:space="preserve">environments (Giacomini and Rossi, 2010).</w:t>
      </w:r>
    </w:p>
    <w:p>
      <w:pPr>
        <w:pStyle w:val="BodyText"/>
      </w:pPr>
      <w:r>
        <w:t xml:space="preserve">The</w:t>
      </w:r>
      <w:r>
        <w:t xml:space="preserve"> </w:t>
      </w:r>
      <w:r>
        <w:rPr>
          <w:rStyle w:val="VerbatimChar"/>
        </w:rPr>
        <w:t xml:space="preserve">RegimeTagger</w:t>
      </w:r>
      <w:r>
        <w:t xml:space="preserve"> </w:t>
      </w:r>
      <w:r>
        <w:t xml:space="preserve">and</w:t>
      </w:r>
      <w:r>
        <w:t xml:space="preserve"> </w:t>
      </w:r>
      <w:r>
        <w:rPr>
          <w:rStyle w:val="VerbatimChar"/>
        </w:rPr>
        <w:t xml:space="preserve">ThresholdCalibrator</w:t>
      </w:r>
      <w:r>
        <w:t xml:space="preserve"> </w:t>
      </w:r>
      <w:r>
        <w:t xml:space="preserve">components address this by</w:t>
      </w:r>
      <w:r>
        <w:t xml:space="preserve"> </w:t>
      </w:r>
      <w:r>
        <w:t xml:space="preserve">enabling regime-conditioned governance — calibrating GREEN/YELLOW/RED</w:t>
      </w:r>
      <w:r>
        <w:t xml:space="preserve"> </w:t>
      </w:r>
      <w:r>
        <w:t xml:space="preserve">thresholds separately for each identified market regime.</w:t>
      </w:r>
    </w:p>
    <w:bookmarkEnd w:id="150"/>
    <w:bookmarkStart w:id="151" w:name="regime-tagging"/>
    <w:p>
      <w:pPr>
        <w:pStyle w:val="Heading3"/>
      </w:pPr>
      <w:r>
        <w:t xml:space="preserve">7.2 Regime Tagging</w:t>
      </w:r>
    </w:p>
    <w:p>
      <w:pPr>
        <w:pStyle w:val="FirstParagraph"/>
      </w:pPr>
      <w:r>
        <w:rPr>
          <w:rStyle w:val="VerbatimChar"/>
        </w:rPr>
        <w:t xml:space="preserve">RegimeTagger</w:t>
      </w:r>
      <w:r>
        <w:t xml:space="preserve"> </w:t>
      </w:r>
      <w:r>
        <w:t xml:space="preserve">assigns a regime label to each rolling evaluation window</w:t>
      </w:r>
      <w:r>
        <w:t xml:space="preserve"> </w:t>
      </w:r>
      <w:r>
        <w:t xml:space="preserve">using a composable rule system. Three built-in rules are available:</w:t>
      </w:r>
    </w:p>
    <w:p>
      <w:pPr>
        <w:pStyle w:val="Compact"/>
        <w:numPr>
          <w:ilvl w:val="0"/>
          <w:numId w:val="1022"/>
        </w:numPr>
      </w:pPr>
      <w:r>
        <w:rPr>
          <w:b/>
          <w:bCs/>
        </w:rPr>
        <w:t xml:space="preserve">SeasonalRule:</w:t>
      </w:r>
      <w:r>
        <w:t xml:space="preserve"> </w:t>
      </w:r>
      <w:r>
        <w:t xml:space="preserve">assigns</w:t>
      </w:r>
      <w:r>
        <w:t xml:space="preserve"> </w:t>
      </w:r>
      <w:r>
        <w:rPr>
          <w:rStyle w:val="VerbatimChar"/>
        </w:rPr>
        <w:t xml:space="preserve">regime_winter</w:t>
      </w:r>
      <w:r>
        <w:t xml:space="preserve"> </w:t>
      </w:r>
      <w:r>
        <w:t xml:space="preserve">(November–February) or</w:t>
      </w:r>
      <w:r>
        <w:t xml:space="preserve"> </w:t>
      </w:r>
      <w:r>
        <w:rPr>
          <w:rStyle w:val="VerbatimChar"/>
        </w:rPr>
        <w:t xml:space="preserve">regime_summer</w:t>
      </w:r>
      <w:r>
        <w:t xml:space="preserve"> </w:t>
      </w:r>
      <w:r>
        <w:t xml:space="preserve">(May–August) based on the dominant month in the window.</w:t>
      </w:r>
      <w:r>
        <w:t xml:space="preserve"> </w:t>
      </w:r>
      <w:r>
        <w:t xml:space="preserve">This captures the demand-driven seasonality in electricity load and the</w:t>
      </w:r>
      <w:r>
        <w:t xml:space="preserve"> </w:t>
      </w:r>
      <w:r>
        <w:t xml:space="preserve">irradiance-driven seasonality in PV generation.</w:t>
      </w:r>
    </w:p>
    <w:p>
      <w:pPr>
        <w:pStyle w:val="Compact"/>
        <w:numPr>
          <w:ilvl w:val="0"/>
          <w:numId w:val="1022"/>
        </w:numPr>
      </w:pPr>
      <w:r>
        <w:rPr>
          <w:b/>
          <w:bCs/>
        </w:rPr>
        <w:t xml:space="preserve">VolatilityRule:</w:t>
      </w:r>
      <w:r>
        <w:t xml:space="preserve"> </w:t>
      </w:r>
      <w:r>
        <w:t xml:space="preserve">assigns</w:t>
      </w:r>
      <w:r>
        <w:t xml:space="preserve"> </w:t>
      </w:r>
      <w:r>
        <w:rPr>
          <w:rStyle w:val="VerbatimChar"/>
        </w:rPr>
        <w:t xml:space="preserve">regime_high_vol</w:t>
      </w:r>
      <w:r>
        <w:t xml:space="preserve"> </w:t>
      </w:r>
      <w:r>
        <w:t xml:space="preserve">or</w:t>
      </w:r>
      <w:r>
        <w:t xml:space="preserve"> </w:t>
      </w:r>
      <w:r>
        <w:rPr>
          <w:rStyle w:val="VerbatimChar"/>
        </w:rPr>
        <w:t xml:space="preserve">regime_low_vol</w:t>
      </w:r>
      <w:r>
        <w:t xml:space="preserve"> </w:t>
      </w:r>
      <w:r>
        <w:t xml:space="preserve">based</w:t>
      </w:r>
      <w:r>
        <w:t xml:space="preserve"> </w:t>
      </w:r>
      <w:r>
        <w:t xml:space="preserve">on the window’s standard deviation relative to pre-computed percentile</w:t>
      </w:r>
      <w:r>
        <w:t xml:space="preserve"> </w:t>
      </w:r>
      <w:r>
        <w:t xml:space="preserve">thresholds across all calibration windows. This captures periods of</w:t>
      </w:r>
      <w:r>
        <w:t xml:space="preserve"> </w:t>
      </w:r>
      <w:r>
        <w:t xml:space="preserve">market turbulence (e.g., extreme weather, supply shocks) that are known</w:t>
      </w:r>
      <w:r>
        <w:t xml:space="preserve"> </w:t>
      </w:r>
      <w:r>
        <w:t xml:space="preserve">to strain probabilistic models.</w:t>
      </w:r>
    </w:p>
    <w:p>
      <w:pPr>
        <w:pStyle w:val="Compact"/>
        <w:numPr>
          <w:ilvl w:val="0"/>
          <w:numId w:val="1022"/>
        </w:numPr>
      </w:pPr>
      <w:r>
        <w:rPr>
          <w:b/>
          <w:bCs/>
        </w:rPr>
        <w:t xml:space="preserve">BreakFlagRule:</w:t>
      </w:r>
      <w:r>
        <w:t xml:space="preserve"> </w:t>
      </w:r>
      <w:r>
        <w:t xml:space="preserve">flags windows where the variance ratio between the</w:t>
      </w:r>
      <w:r>
        <w:t xml:space="preserve"> </w:t>
      </w:r>
      <w:r>
        <w:t xml:space="preserve">first and second halves exceeds a threshold, identifying structural</w:t>
      </w:r>
      <w:r>
        <w:t xml:space="preserve"> </w:t>
      </w:r>
      <w:r>
        <w:t xml:space="preserve">breaks within a rolling window.</w:t>
      </w:r>
    </w:p>
    <w:p>
      <w:pPr>
        <w:pStyle w:val="FirstParagraph"/>
      </w:pPr>
      <w:r>
        <w:t xml:space="preserve">Rules are evaluated in priority order; the first matching rule wins. Custom</w:t>
      </w:r>
      <w:r>
        <w:t xml:space="preserve"> </w:t>
      </w:r>
      <w:r>
        <w:t xml:space="preserve">rules can be added as callables with signature</w:t>
      </w:r>
      <w:r>
        <w:t xml:space="preserve"> </w:t>
      </w:r>
      <w:r>
        <w:rPr>
          <w:rStyle w:val="VerbatimChar"/>
        </w:rPr>
        <w:t xml:space="preserve">(t, y) → str | None</w:t>
      </w:r>
      <w:r>
        <w:t xml:space="preserve">,</w:t>
      </w:r>
      <w:r>
        <w:t xml:space="preserve"> </w:t>
      </w:r>
      <w:r>
        <w:t xml:space="preserve">making the tagger extensible to commodity-specific regime definitions</w:t>
      </w:r>
      <w:r>
        <w:t xml:space="preserve"> </w:t>
      </w:r>
      <w:r>
        <w:t xml:space="preserve">without modifying core framework code.</w:t>
      </w:r>
    </w:p>
    <w:bookmarkEnd w:id="151"/>
    <w:bookmarkStart w:id="152" w:name="threshold-calibration"/>
    <w:p>
      <w:pPr>
        <w:pStyle w:val="Heading3"/>
      </w:pPr>
      <w:r>
        <w:t xml:space="preserve">7.3 Threshold Calibration</w:t>
      </w:r>
    </w:p>
    <w:p>
      <w:pPr>
        <w:pStyle w:val="FirstParagraph"/>
      </w:pPr>
      <w:r>
        <w:rPr>
          <w:rStyle w:val="VerbatimChar"/>
        </w:rPr>
        <w:t xml:space="preserve">ThresholdCalibrator</w:t>
      </w:r>
      <w:r>
        <w:t xml:space="preserve"> </w:t>
      </w:r>
      <w:r>
        <w:t xml:space="preserve">uses the empirical distribution of coverage values</w:t>
      </w:r>
      <w:r>
        <w:t xml:space="preserve"> </w:t>
      </w:r>
      <w:r>
        <w:t xml:space="preserve">observed in calibration windows per regime to set regime-specific GREEN</w:t>
      </w:r>
      <w:r>
        <w:t xml:space="preserve"> </w:t>
      </w:r>
      <w:r>
        <w:t xml:space="preserve">thresholds. The GREEN threshold for regime</w:t>
      </w:r>
      <w:r>
        <w:t xml:space="preserve"> </w:t>
      </w:r>
      <m:oMath>
        <m:r>
          <m:t>r</m:t>
        </m:r>
      </m:oMath>
      <w:r>
        <w:t xml:space="preserve"> </w:t>
      </w:r>
      <w:r>
        <w:t xml:space="preserve">is set at the</w:t>
      </w:r>
      <w:r>
        <w:t xml:space="preserve"> </w:t>
      </w:r>
      <m:oMath>
        <m:sSub>
          <m:e>
            <m:r>
              <m:t>q</m:t>
            </m:r>
          </m:e>
          <m:sub>
            <m:r>
              <m:rPr>
                <m:nor/>
                <m:sty m:val="p"/>
              </m:rPr>
              <m:t>green</m:t>
            </m:r>
          </m:sub>
        </m:sSub>
      </m:oMath>
      <w:r>
        <w:t xml:space="preserve">-th percentile of observed coverage in calibration</w:t>
      </w:r>
      <w:r>
        <w:t xml:space="preserve"> </w:t>
      </w:r>
      <w:r>
        <w:t xml:space="preserve">windows assigned to</w:t>
      </w:r>
      <w:r>
        <w:t xml:space="preserve"> </w:t>
      </w:r>
      <m:oMath>
        <m:r>
          <m:t>r</m:t>
        </m:r>
      </m:oMath>
      <w:r>
        <w:t xml:space="preserve"> </w:t>
      </w:r>
      <w:r>
        <w:t xml:space="preserve">(default: 10th percentile). This ensures the</w:t>
      </w:r>
      <w:r>
        <w:t xml:space="preserve"> </w:t>
      </w:r>
      <w:r>
        <w:t xml:space="preserve">threshold reflects what is achievable in that regime rather than a</w:t>
      </w:r>
      <w:r>
        <w:t xml:space="preserve"> </w:t>
      </w:r>
      <w:r>
        <w:t xml:space="preserve">fixed nominal target.</w:t>
      </w:r>
    </w:p>
    <w:p>
      <w:pPr>
        <w:pStyle w:val="BodyText"/>
      </w:pPr>
      <w:r>
        <w:t xml:space="preserve">A</w:t>
      </w:r>
      <w:r>
        <w:t xml:space="preserve"> </w:t>
      </w:r>
      <w:r>
        <w:rPr>
          <w:rStyle w:val="VerbatimChar"/>
        </w:rPr>
        <w:t xml:space="preserve">relax_factor</w:t>
      </w:r>
      <w:r>
        <w:t xml:space="preserve"> </w:t>
      </w:r>
      <w:r>
        <w:t xml:space="preserve">parameter bounds the maximum downward adjustment from</w:t>
      </w:r>
      <w:r>
        <w:t xml:space="preserve"> </w:t>
      </w:r>
      <w:r>
        <w:t xml:space="preserve">the global target (default: 15 percentage points), preventing</w:t>
      </w:r>
      <w:r>
        <w:t xml:space="preserve"> </w:t>
      </w:r>
      <w:r>
        <w:t xml:space="preserve">over-relaxation on sparsely populated regimes. Regimes with fewer than</w:t>
      </w:r>
      <w:r>
        <w:t xml:space="preserve"> </w:t>
      </w:r>
      <w:r>
        <w:rPr>
          <w:rStyle w:val="VerbatimChar"/>
        </w:rPr>
        <w:t xml:space="preserve">N_min_hard</w:t>
      </w:r>
      <w:r>
        <w:t xml:space="preserve"> </w:t>
      </w:r>
      <w:r>
        <w:t xml:space="preserve">calibration windows (default: 10) fall back to the global</w:t>
      </w:r>
      <w:r>
        <w:t xml:space="preserve"> </w:t>
      </w:r>
      <w:r>
        <w:t xml:space="preserve">policy, ensuring statistical discipline is maintained even when</w:t>
      </w:r>
      <w:r>
        <w:t xml:space="preserve"> </w:t>
      </w:r>
      <w:r>
        <w:t xml:space="preserve">regime-specific calibration data is limited.</w:t>
      </w:r>
    </w:p>
    <w:bookmarkEnd w:id="152"/>
    <w:bookmarkStart w:id="153" w:name="governance-implications-2"/>
    <w:p>
      <w:pPr>
        <w:pStyle w:val="Heading3"/>
      </w:pPr>
      <w:r>
        <w:t xml:space="preserve">7.4 Governance Implications</w:t>
      </w:r>
    </w:p>
    <w:p>
      <w:pPr>
        <w:pStyle w:val="FirstParagraph"/>
      </w:pPr>
      <w:r>
        <w:t xml:space="preserve">Regime-conditioned governance has two practical implications. First, it</w:t>
      </w:r>
      <w:r>
        <w:t xml:space="preserve"> </w:t>
      </w:r>
      <w:r>
        <w:t xml:space="preserve">reduces false RED classifications in inherently difficult regimes — winter</w:t>
      </w:r>
      <w:r>
        <w:t xml:space="preserve"> </w:t>
      </w:r>
      <w:r>
        <w:t xml:space="preserve">peak demand, low-wind periods — where a model achieving 85% coverage may</w:t>
      </w:r>
      <w:r>
        <w:t xml:space="preserve"> </w:t>
      </w:r>
      <w:r>
        <w:t xml:space="preserve">be performing optimally given the available information. Treating these</w:t>
      </w:r>
      <w:r>
        <w:t xml:space="preserve"> </w:t>
      </w:r>
      <w:r>
        <w:t xml:space="preserve">windows under the same threshold as stable periods conflates model failure</w:t>
      </w:r>
      <w:r>
        <w:t xml:space="preserve"> </w:t>
      </w:r>
      <w:r>
        <w:t xml:space="preserve">with task difficulty.</w:t>
      </w:r>
    </w:p>
    <w:p>
      <w:pPr>
        <w:pStyle w:val="BodyText"/>
      </w:pPr>
      <w:r>
        <w:t xml:space="preserve">Second, it exposes regime-specific weaknesses that aggregate analysis</w:t>
      </w:r>
      <w:r>
        <w:t xml:space="preserve"> </w:t>
      </w:r>
      <w:r>
        <w:t xml:space="preserve">obscures. A model that achieves 91% average coverage but only 82% in</w:t>
      </w:r>
      <w:r>
        <w:t xml:space="preserve"> </w:t>
      </w:r>
      <w:r>
        <w:t xml:space="preserve">high-volatility windows is not uniformly calibrated — its risk</w:t>
      </w:r>
      <w:r>
        <w:t xml:space="preserve"> </w:t>
      </w:r>
      <w:r>
        <w:t xml:space="preserve">contribution is concentrated in the regimes where it matters most.</w:t>
      </w:r>
      <w:r>
        <w:t xml:space="preserve"> </w:t>
      </w:r>
      <w:r>
        <w:t xml:space="preserve">Regime-stratified governance surfaced this structure explicitly, enabling</w:t>
      </w:r>
      <w:r>
        <w:t xml:space="preserve"> </w:t>
      </w:r>
      <w:r>
        <w:t xml:space="preserve">targeted remediation rather than global re-estimation.</w:t>
      </w:r>
    </w:p>
    <w:p>
      <w:pPr>
        <w:pStyle w:val="BodyText"/>
      </w:pPr>
      <w:r>
        <w:t xml:space="preserve">The current thesis does not evaluate regime-conditioned governance on the</w:t>
      </w:r>
      <w:r>
        <w:t xml:space="preserve"> </w:t>
      </w:r>
      <w:r>
        <w:t xml:space="preserve">empirical datasets — the rolling CSVs do not include pre-computed regime</w:t>
      </w:r>
      <w:r>
        <w:t xml:space="preserve"> </w:t>
      </w:r>
      <w:r>
        <w:t xml:space="preserve">tags, and calibration of the</w:t>
      </w:r>
      <w:r>
        <w:t xml:space="preserve"> </w:t>
      </w:r>
      <w:r>
        <w:rPr>
          <w:rStyle w:val="VerbatimChar"/>
        </w:rPr>
        <w:t xml:space="preserve">ThresholdCalibrator</w:t>
      </w:r>
      <w:r>
        <w:t xml:space="preserve"> </w:t>
      </w:r>
      <w:r>
        <w:t xml:space="preserve">requires a dedicated</w:t>
      </w:r>
      <w:r>
        <w:t xml:space="preserve"> </w:t>
      </w:r>
      <w:r>
        <w:t xml:space="preserve">holdout period. These components are implemented, tested (451 passing</w:t>
      </w:r>
      <w:r>
        <w:t xml:space="preserve"> </w:t>
      </w:r>
      <w:r>
        <w:t xml:space="preserve">tests), and available for deployment; their empirical evaluation on the</w:t>
      </w:r>
      <w:r>
        <w:t xml:space="preserve"> </w:t>
      </w:r>
      <w:r>
        <w:t xml:space="preserve">ENTSO-E and renewable datasets is identified as a priority next step.</w:t>
      </w:r>
    </w:p>
    <w:bookmarkEnd w:id="153"/>
    <w:bookmarkEnd w:id="154"/>
    <w:bookmarkEnd w:id="155"/>
    <w:bookmarkStart w:id="156" w:name="references"/>
    <w:p>
      <w:pPr>
        <w:pStyle w:val="Heading1"/>
      </w:pPr>
      <w:r>
        <w:t xml:space="preserve">References</w:t>
      </w:r>
    </w:p>
    <w:p>
      <w:pPr>
        <w:pStyle w:val="FirstParagraph"/>
      </w:pPr>
      <w:r>
        <w:t xml:space="preserve">Anderson, T.W. and Darling, D.A. (1952). Asymptotic theory of certain goodness-of-fit criteria based on stochastic processes.</w:t>
      </w:r>
      <w:r>
        <w:t xml:space="preserve"> </w:t>
      </w:r>
      <w:r>
        <w:rPr>
          <w:i/>
          <w:iCs/>
        </w:rPr>
        <w:t xml:space="preserve">Annals of Mathematical Statistics</w:t>
      </w:r>
      <w:r>
        <w:t xml:space="preserve">, 23(2), pp. 193–212.</w:t>
      </w:r>
    </w:p>
    <w:p>
      <w:pPr>
        <w:pStyle w:val="BodyText"/>
      </w:pPr>
      <w:r>
        <w:t xml:space="preserve">Angelopoulos, A.N. and Bates, S. (2023). Conformal prediction: A gentle introduction.</w:t>
      </w:r>
      <w:r>
        <w:t xml:space="preserve"> </w:t>
      </w:r>
      <w:r>
        <w:rPr>
          <w:i/>
          <w:iCs/>
        </w:rPr>
        <w:t xml:space="preserve">Foundations and Trends in Machine Learning</w:t>
      </w:r>
      <w:r>
        <w:t xml:space="preserve">, 16(4), pp. 494–591.</w:t>
      </w:r>
    </w:p>
    <w:p>
      <w:pPr>
        <w:pStyle w:val="BodyText"/>
      </w:pPr>
      <w:r>
        <w:t xml:space="preserve">Angelopoulos, A.N., Barber, R.F. and Bates, S. (2024). Online conformal prediction with decaying step sizes. arXiv preprint arXiv:2402.01139 [stat.ML]. Available at: https://arxiv.org/abs/2402.01139</w:t>
      </w:r>
    </w:p>
    <w:p>
      <w:pPr>
        <w:pStyle w:val="BodyText"/>
      </w:pPr>
      <w:r>
        <w:t xml:space="preserve">Anfuso, F., Karyampas, D. and Nawroth, A. (2017). A sound modelling and backtesting framework for forecasting initial margin requirements.</w:t>
      </w:r>
      <w:r>
        <w:t xml:space="preserve"> </w:t>
      </w:r>
      <w:r>
        <w:rPr>
          <w:i/>
          <w:iCs/>
        </w:rPr>
        <w:t xml:space="preserve">The Journal of Risk</w:t>
      </w:r>
      <w:r>
        <w:t xml:space="preserve">, 19(5), pp. 77–105.</w:t>
      </w:r>
    </w:p>
    <w:p>
      <w:pPr>
        <w:pStyle w:val="BodyText"/>
      </w:pPr>
      <w:r>
        <w:t xml:space="preserve">Barber, R.F., Candès, E.J., Ramdas, A. and Tibshirani, R.J. (2023). Conformal prediction beyond exchangeability.</w:t>
      </w:r>
      <w:r>
        <w:t xml:space="preserve"> </w:t>
      </w:r>
      <w:r>
        <w:rPr>
          <w:i/>
          <w:iCs/>
        </w:rPr>
        <w:t xml:space="preserve">Annals of Statistics</w:t>
      </w:r>
      <w:r>
        <w:t xml:space="preserve">, 51(2), pp. 816–845.</w:t>
      </w:r>
    </w:p>
    <w:p>
      <w:pPr>
        <w:pStyle w:val="BodyText"/>
      </w:pPr>
      <w:r>
        <w:t xml:space="preserve">Basel Committee on Banking Supervision (1996).</w:t>
      </w:r>
      <w:r>
        <w:t xml:space="preserve"> </w:t>
      </w:r>
      <w:r>
        <w:rPr>
          <w:i/>
          <w:iCs/>
        </w:rPr>
        <w:t xml:space="preserve">Supervisory framework for the use of backtesting in conjunction with the internal models approach to market risk capital requirements</w:t>
      </w:r>
      <w:r>
        <w:t xml:space="preserve">. Bank for International Settlements, Basel.</w:t>
      </w:r>
    </w:p>
    <w:p>
      <w:pPr>
        <w:pStyle w:val="BodyText"/>
      </w:pPr>
      <w:r>
        <w:t xml:space="preserve">Basel Committee on Banking Supervision (2010).</w:t>
      </w:r>
      <w:r>
        <w:t xml:space="preserve"> </w:t>
      </w:r>
      <w:r>
        <w:rPr>
          <w:i/>
          <w:iCs/>
        </w:rPr>
        <w:t xml:space="preserve">Basel III: A global regulatory framework for more resilient banks and banking systems</w:t>
      </w:r>
      <w:r>
        <w:t xml:space="preserve">. Bank for International Settlements, Basel.</w:t>
      </w:r>
    </w:p>
    <w:p>
      <w:pPr>
        <w:pStyle w:val="BodyText"/>
      </w:pPr>
      <w:r>
        <w:t xml:space="preserve">Berkowitz, J. (2001). Testing density forecasts, with applications to risk management.</w:t>
      </w:r>
      <w:r>
        <w:t xml:space="preserve"> </w:t>
      </w:r>
      <w:r>
        <w:rPr>
          <w:i/>
          <w:iCs/>
        </w:rPr>
        <w:t xml:space="preserve">Journal of Business and Economic Statistics</w:t>
      </w:r>
      <w:r>
        <w:t xml:space="preserve">, 19(4), pp. 465–474.</w:t>
      </w:r>
    </w:p>
    <w:p>
      <w:pPr>
        <w:pStyle w:val="BodyText"/>
      </w:pPr>
      <w:r>
        <w:t xml:space="preserve">Chen, H.H., Mohammad, A., Totsuka, T., Laliashvili, A. and Navarro, M. (2024). Evaluation of probabilistic electricity demand forecasts. In</w:t>
      </w:r>
      <w:r>
        <w:t xml:space="preserve"> </w:t>
      </w:r>
      <w:r>
        <w:rPr>
          <w:i/>
          <w:iCs/>
        </w:rPr>
        <w:t xml:space="preserve">Proceedings of the 2024 IEEE Innovative Smart Grid Technologies — Asia Pacific (ISGT-Asia Pacific)</w:t>
      </w:r>
      <w:r>
        <w:t xml:space="preserve">. IEEE.</w:t>
      </w:r>
    </w:p>
    <w:p>
      <w:pPr>
        <w:pStyle w:val="BodyText"/>
      </w:pPr>
      <w:r>
        <w:t xml:space="preserve">Christoffersen, P.F. (1998). Evaluating interval forecasts.</w:t>
      </w:r>
      <w:r>
        <w:t xml:space="preserve"> </w:t>
      </w:r>
      <w:r>
        <w:rPr>
          <w:i/>
          <w:iCs/>
        </w:rPr>
        <w:t xml:space="preserve">International Economic Review</w:t>
      </w:r>
      <w:r>
        <w:t xml:space="preserve">, 39(4), pp. 841–862.</w:t>
      </w:r>
    </w:p>
    <w:p>
      <w:pPr>
        <w:pStyle w:val="BodyText"/>
      </w:pPr>
      <w:r>
        <w:t xml:space="preserve">Cramér, H. (1928). On the composition of elementary errors.</w:t>
      </w:r>
      <w:r>
        <w:t xml:space="preserve"> </w:t>
      </w:r>
      <w:r>
        <w:rPr>
          <w:i/>
          <w:iCs/>
        </w:rPr>
        <w:t xml:space="preserve">Scandinavian Actuarial Journal</w:t>
      </w:r>
      <w:r>
        <w:t xml:space="preserve">, 1928(1), pp. 13–74.</w:t>
      </w:r>
    </w:p>
    <w:p>
      <w:pPr>
        <w:pStyle w:val="BodyText"/>
      </w:pPr>
      <w:r>
        <w:t xml:space="preserve">Dawid, A.P. (1984). Present position and potential developments: Some personal views — statistical theory — the prequential approach.</w:t>
      </w:r>
      <w:r>
        <w:t xml:space="preserve"> </w:t>
      </w:r>
      <w:r>
        <w:rPr>
          <w:i/>
          <w:iCs/>
        </w:rPr>
        <w:t xml:space="preserve">Journal of the Royal Statistical Society: Series A</w:t>
      </w:r>
      <w:r>
        <w:t xml:space="preserve">, 147(2), pp. 278–292.</w:t>
      </w:r>
    </w:p>
    <w:p>
      <w:pPr>
        <w:pStyle w:val="BodyText"/>
      </w:pPr>
      <w:r>
        <w:t xml:space="preserve">Diebold, F.X., Gunther, T.A. and Tay, A.S. (1998). Evaluating density forecasts with applications to financial risk management.</w:t>
      </w:r>
      <w:r>
        <w:t xml:space="preserve"> </w:t>
      </w:r>
      <w:r>
        <w:rPr>
          <w:i/>
          <w:iCs/>
        </w:rPr>
        <w:t xml:space="preserve">International Economic Review</w:t>
      </w:r>
      <w:r>
        <w:t xml:space="preserve">, 39(4), pp. 863–883.</w:t>
      </w:r>
    </w:p>
    <w:p>
      <w:pPr>
        <w:pStyle w:val="BodyText"/>
      </w:pPr>
      <w:r>
        <w:t xml:space="preserve">Diebold, F.X. (2015). Comparing predictive accuracy, twenty years later: A personal perspective on the use and abuse of Diebold–Mariano tests.</w:t>
      </w:r>
      <w:r>
        <w:t xml:space="preserve"> </w:t>
      </w:r>
      <w:r>
        <w:rPr>
          <w:i/>
          <w:iCs/>
        </w:rPr>
        <w:t xml:space="preserve">Journal of Business and Economic Statistics</w:t>
      </w:r>
      <w:r>
        <w:t xml:space="preserve">, 33(1), pp. 1–9.</w:t>
      </w:r>
    </w:p>
    <w:p>
      <w:pPr>
        <w:pStyle w:val="BodyText"/>
      </w:pPr>
      <w:r>
        <w:t xml:space="preserve">European Parliament (2011). Regulation (EU) No 1227/2011 of the European Parliament and of the Council on wholesale energy market integrity and transparency (REMIT).</w:t>
      </w:r>
      <w:r>
        <w:t xml:space="preserve"> </w:t>
      </w:r>
      <w:r>
        <w:rPr>
          <w:i/>
          <w:iCs/>
        </w:rPr>
        <w:t xml:space="preserve">Official Journal of the European Union</w:t>
      </w:r>
      <w:r>
        <w:t xml:space="preserve">, L 326, pp. 1–16.</w:t>
      </w:r>
    </w:p>
    <w:p>
      <w:pPr>
        <w:pStyle w:val="BodyText"/>
      </w:pPr>
      <w:r>
        <w:t xml:space="preserve">Giacomini, R. and Rossi, B. (2010). Forecast comparisons in unstable environments.</w:t>
      </w:r>
      <w:r>
        <w:t xml:space="preserve"> </w:t>
      </w:r>
      <w:r>
        <w:rPr>
          <w:i/>
          <w:iCs/>
        </w:rPr>
        <w:t xml:space="preserve">Journal of Applied Econometrics</w:t>
      </w:r>
      <w:r>
        <w:t xml:space="preserve">, 25(4), pp. 595–620.</w:t>
      </w:r>
    </w:p>
    <w:p>
      <w:pPr>
        <w:pStyle w:val="BodyText"/>
      </w:pPr>
      <w:r>
        <w:t xml:space="preserve">Gneiting, T. and Katzfuss, M. (2014). Probabilistic forecasting.</w:t>
      </w:r>
      <w:r>
        <w:t xml:space="preserve"> </w:t>
      </w:r>
      <w:r>
        <w:rPr>
          <w:i/>
          <w:iCs/>
        </w:rPr>
        <w:t xml:space="preserve">Annual Review of Statistics and Its Application</w:t>
      </w:r>
      <w:r>
        <w:t xml:space="preserve">, 1, pp. 125–151.</w:t>
      </w:r>
    </w:p>
    <w:p>
      <w:pPr>
        <w:pStyle w:val="BodyText"/>
      </w:pPr>
      <w:r>
        <w:t xml:space="preserve">Gneiting, T. and Raftery, A.E. (2007). Strictly proper scoring rules, prediction, and estimation.</w:t>
      </w:r>
      <w:r>
        <w:t xml:space="preserve"> </w:t>
      </w:r>
      <w:r>
        <w:rPr>
          <w:i/>
          <w:iCs/>
        </w:rPr>
        <w:t xml:space="preserve">Journal of the American Statistical Association</w:t>
      </w:r>
      <w:r>
        <w:t xml:space="preserve">, 102(477), pp. 359–378.</w:t>
      </w:r>
    </w:p>
    <w:p>
      <w:pPr>
        <w:pStyle w:val="BodyText"/>
      </w:pPr>
      <w:r>
        <w:t xml:space="preserve">Gneiting, T., Stanberry, L.I., Grimit, E.P., Held, L. and Johnson, N.A. (2008). Assessing probabilistic forecasts of multivariate quantities, with an application to ensemble predictions of surface winds.</w:t>
      </w:r>
      <w:r>
        <w:t xml:space="preserve"> </w:t>
      </w:r>
      <w:r>
        <w:rPr>
          <w:i/>
          <w:iCs/>
        </w:rPr>
        <w:t xml:space="preserve">Test</w:t>
      </w:r>
      <w:r>
        <w:t xml:space="preserve">, 17(2), pp. 211–235.</w:t>
      </w:r>
    </w:p>
    <w:p>
      <w:pPr>
        <w:pStyle w:val="BodyText"/>
      </w:pPr>
      <w:r>
        <w:t xml:space="preserve">Goude, Y. and Nédellec, R. (2015).</w:t>
      </w:r>
      <w:r>
        <w:t xml:space="preserve"> </w:t>
      </w:r>
      <w:r>
        <w:rPr>
          <w:i/>
          <w:iCs/>
        </w:rPr>
        <w:t xml:space="preserve">Probabilistic load forecasts at EDF: EDF R&amp;D SAMba</w:t>
      </w:r>
      <w:r>
        <w:t xml:space="preserve">. Presented at the International Symposium on Forecasting, Skype meeting, 23 April 2015.</w:t>
      </w:r>
    </w:p>
    <w:p>
      <w:pPr>
        <w:pStyle w:val="BodyText"/>
      </w:pPr>
      <w:r>
        <w:t xml:space="preserve">Hong, T. and Fan, S. (2016). Probabilistic electric load forecasting: A tutorial review.</w:t>
      </w:r>
      <w:r>
        <w:t xml:space="preserve"> </w:t>
      </w:r>
      <w:r>
        <w:rPr>
          <w:i/>
          <w:iCs/>
        </w:rPr>
        <w:t xml:space="preserve">International Journal of Forecasting</w:t>
      </w:r>
      <w:r>
        <w:t xml:space="preserve">, 32(3), pp. 914–938.</w:t>
      </w:r>
    </w:p>
    <w:p>
      <w:pPr>
        <w:pStyle w:val="BodyText"/>
      </w:pPr>
      <w:r>
        <w:t xml:space="preserve">Hong, T., Pinson, P., Fan, S., Zareipour, H., Troccoli, A. and Hyndman, R.J. (2016). Probabilistic energy forecasting: Global energy forecasting competition 2014 and beyond.</w:t>
      </w:r>
      <w:r>
        <w:t xml:space="preserve"> </w:t>
      </w:r>
      <w:r>
        <w:rPr>
          <w:i/>
          <w:iCs/>
        </w:rPr>
        <w:t xml:space="preserve">International Journal of Forecasting</w:t>
      </w:r>
      <w:r>
        <w:t xml:space="preserve">, 32(3), pp. 896–913.</w:t>
      </w:r>
    </w:p>
    <w:p>
      <w:pPr>
        <w:pStyle w:val="BodyText"/>
      </w:pPr>
      <w:r>
        <w:t xml:space="preserve">Kath, C. and Ziel, F. (2021). Conformal prediction interval estimation and applications to day-ahead and intraday power markets.</w:t>
      </w:r>
      <w:r>
        <w:t xml:space="preserve"> </w:t>
      </w:r>
      <w:r>
        <w:rPr>
          <w:i/>
          <w:iCs/>
        </w:rPr>
        <w:t xml:space="preserve">International Journal of Forecasting</w:t>
      </w:r>
      <w:r>
        <w:t xml:space="preserve">, 37(2), pp. 777–799.</w:t>
      </w:r>
    </w:p>
    <w:p>
      <w:pPr>
        <w:pStyle w:val="BodyText"/>
      </w:pPr>
      <w:r>
        <w:t xml:space="preserve">Kenyon, C. and Stamm, R. (2012).</w:t>
      </w:r>
      <w:r>
        <w:t xml:space="preserve"> </w:t>
      </w:r>
      <w:r>
        <w:rPr>
          <w:i/>
          <w:iCs/>
        </w:rPr>
        <w:t xml:space="preserve">Discounting, LIBOR, CVA and Funding: Interest Rate and Credit Pricing</w:t>
      </w:r>
      <w:r>
        <w:t xml:space="preserve">. Palgrave Macmillan, Basingstoke. Chapter 11: Backtesting.</w:t>
      </w:r>
    </w:p>
    <w:p>
      <w:pPr>
        <w:pStyle w:val="BodyText"/>
      </w:pPr>
      <w:r>
        <w:t xml:space="preserve">Koenker, R. and Bassett, G. (1978). Regression quantiles.</w:t>
      </w:r>
      <w:r>
        <w:t xml:space="preserve"> </w:t>
      </w:r>
      <w:r>
        <w:rPr>
          <w:i/>
          <w:iCs/>
        </w:rPr>
        <w:t xml:space="preserve">Econometrica</w:t>
      </w:r>
      <w:r>
        <w:t xml:space="preserve">, 46(1), pp. 33–50.</w:t>
      </w:r>
    </w:p>
    <w:p>
      <w:pPr>
        <w:pStyle w:val="BodyText"/>
      </w:pPr>
      <w:r>
        <w:t xml:space="preserve">Kolmogorov, A.N. (1933). Sulla determinazione empirica di una legge di distribuzione.</w:t>
      </w:r>
      <w:r>
        <w:t xml:space="preserve"> </w:t>
      </w:r>
      <w:r>
        <w:rPr>
          <w:i/>
          <w:iCs/>
        </w:rPr>
        <w:t xml:space="preserve">Giornale dell’Istituto Italiano degli Attuari</w:t>
      </w:r>
      <w:r>
        <w:t xml:space="preserve">, 4, pp. 83–91.</w:t>
      </w:r>
    </w:p>
    <w:p>
      <w:pPr>
        <w:pStyle w:val="BodyText"/>
      </w:pPr>
      <w:r>
        <w:t xml:space="preserve">Kupiec, P.H. (1995). Techniques for verifying the accuracy of risk measurement models.</w:t>
      </w:r>
      <w:r>
        <w:t xml:space="preserve"> </w:t>
      </w:r>
      <w:r>
        <w:rPr>
          <w:i/>
          <w:iCs/>
        </w:rPr>
        <w:t xml:space="preserve">The Journal of Derivatives</w:t>
      </w:r>
      <w:r>
        <w:t xml:space="preserve">, 3(2), pp. 73–84.</w:t>
      </w:r>
    </w:p>
    <w:p>
      <w:pPr>
        <w:pStyle w:val="BodyText"/>
      </w:pPr>
      <w:r>
        <w:t xml:space="preserve">Ljung, G.M. and Box, G.E.P. (1978). On a measure of lack of fit in time series models.</w:t>
      </w:r>
      <w:r>
        <w:t xml:space="preserve"> </w:t>
      </w:r>
      <w:r>
        <w:rPr>
          <w:i/>
          <w:iCs/>
        </w:rPr>
        <w:t xml:space="preserve">Biometrika</w:t>
      </w:r>
      <w:r>
        <w:t xml:space="preserve">, 65(2), pp. 297–303.</w:t>
      </w:r>
    </w:p>
    <w:p>
      <w:pPr>
        <w:pStyle w:val="BodyText"/>
      </w:pPr>
      <w:r>
        <w:t xml:space="preserve">Lorenz, E., Hurka, J., Heinemann, D. and Beyer, H.G. (2009). Irradiance forecasting for the power prediction of grid-connected photovoltaic systems.</w:t>
      </w:r>
      <w:r>
        <w:t xml:space="preserve"> </w:t>
      </w:r>
      <w:r>
        <w:rPr>
          <w:i/>
          <w:iCs/>
        </w:rPr>
        <w:t xml:space="preserve">IEEE Journal of Selected Topics in Applied Earth Observations and Remote Sensing</w:t>
      </w:r>
      <w:r>
        <w:t xml:space="preserve">, 2(1), pp. 2–10.</w:t>
      </w:r>
    </w:p>
    <w:p>
      <w:pPr>
        <w:pStyle w:val="BodyText"/>
      </w:pPr>
      <w:r>
        <w:t xml:space="preserve">McNeil, A.J., Frey, R. and Embrechts, P. (2005).</w:t>
      </w:r>
      <w:r>
        <w:t xml:space="preserve"> </w:t>
      </w:r>
      <w:r>
        <w:rPr>
          <w:i/>
          <w:iCs/>
        </w:rPr>
        <w:t xml:space="preserve">Quantitative Risk Management: Concepts, Techniques and Tools</w:t>
      </w:r>
      <w:r>
        <w:t xml:space="preserve">. Princeton University Press, Princeton.</w:t>
      </w:r>
    </w:p>
    <w:p>
      <w:pPr>
        <w:pStyle w:val="BodyText"/>
      </w:pPr>
      <w:r>
        <w:t xml:space="preserve">Nowotarski, J. and Weron, R. (2018). Recent advances in electricity price forecasting: A review of probabilistic forecasting.</w:t>
      </w:r>
      <w:r>
        <w:t xml:space="preserve"> </w:t>
      </w:r>
      <w:r>
        <w:rPr>
          <w:i/>
          <w:iCs/>
        </w:rPr>
        <w:t xml:space="preserve">Renewable and Sustainable Energy Reviews</w:t>
      </w:r>
      <w:r>
        <w:t xml:space="preserve">, 81, pp. 1548–1568.</w:t>
      </w:r>
    </w:p>
    <w:p>
      <w:pPr>
        <w:pStyle w:val="BodyText"/>
      </w:pPr>
      <w:r>
        <w:t xml:space="preserve">O’Connor, C., Bahloul, M., Rossi, R., Prestwich, S. and Visentin, A. (2025). Conformal prediction for electricity price forecasting in the day-ahead and real-time balancing market. arXiv preprint arXiv:2502.04935 [cs.LG]. Available at: https://arxiv.org/abs/2502.04935</w:t>
      </w:r>
    </w:p>
    <w:p>
      <w:pPr>
        <w:pStyle w:val="BodyText"/>
      </w:pPr>
      <w:r>
        <w:t xml:space="preserve">Pinson, P. and Girard, R. (2012). Evaluating the quality of scenarios of short-term wind power generation.</w:t>
      </w:r>
      <w:r>
        <w:t xml:space="preserve"> </w:t>
      </w:r>
      <w:r>
        <w:rPr>
          <w:i/>
          <w:iCs/>
        </w:rPr>
        <w:t xml:space="preserve">Applied Energy</w:t>
      </w:r>
      <w:r>
        <w:t xml:space="preserve">, 96, pp. 12–20.</w:t>
      </w:r>
    </w:p>
    <w:p>
      <w:pPr>
        <w:pStyle w:val="BodyText"/>
      </w:pPr>
      <w:r>
        <w:t xml:space="preserve">Rosenblatt, M. (1952). Remarks on a multivariate transformation.</w:t>
      </w:r>
      <w:r>
        <w:t xml:space="preserve"> </w:t>
      </w:r>
      <w:r>
        <w:rPr>
          <w:i/>
          <w:iCs/>
        </w:rPr>
        <w:t xml:space="preserve">Annals of Mathematical Statistics</w:t>
      </w:r>
      <w:r>
        <w:t xml:space="preserve">, 23(3), pp. 470–472.</w:t>
      </w:r>
    </w:p>
    <w:p>
      <w:pPr>
        <w:pStyle w:val="BodyText"/>
      </w:pPr>
      <w:r>
        <w:t xml:space="preserve">Ruiz, I. (2012). Backtesting counterparty risk: how good is your model?</w:t>
      </w:r>
      <w:r>
        <w:t xml:space="preserve"> </w:t>
      </w:r>
      <w:r>
        <w:rPr>
          <w:i/>
          <w:iCs/>
        </w:rPr>
        <w:t xml:space="preserve">Journal of Credit Risk</w:t>
      </w:r>
      <w:r>
        <w:t xml:space="preserve">, 8(3), pp. 1–33.</w:t>
      </w:r>
    </w:p>
    <w:p>
      <w:pPr>
        <w:pStyle w:val="BodyText"/>
      </w:pPr>
      <w:r>
        <w:t xml:space="preserve">Shafer, G. and Vovk, V. (2008). A tutorial on conformal prediction.</w:t>
      </w:r>
      <w:r>
        <w:t xml:space="preserve"> </w:t>
      </w:r>
      <w:r>
        <w:rPr>
          <w:i/>
          <w:iCs/>
        </w:rPr>
        <w:t xml:space="preserve">Journal of Machine Learning Research</w:t>
      </w:r>
      <w:r>
        <w:t xml:space="preserve">, 9, pp. 371–421.</w:t>
      </w:r>
    </w:p>
    <w:p>
      <w:pPr>
        <w:pStyle w:val="BodyText"/>
      </w:pPr>
      <w:r>
        <w:t xml:space="preserve">Smirnov, N. (1948). Table for estimating the goodness of fit of empirical distributions.</w:t>
      </w:r>
      <w:r>
        <w:t xml:space="preserve"> </w:t>
      </w:r>
      <w:r>
        <w:rPr>
          <w:i/>
          <w:iCs/>
        </w:rPr>
        <w:t xml:space="preserve">Annals of Mathematical Statistics</w:t>
      </w:r>
      <w:r>
        <w:t xml:space="preserve">, 19(2), pp. 279–281.</w:t>
      </w:r>
    </w:p>
    <w:p>
      <w:pPr>
        <w:pStyle w:val="BodyText"/>
      </w:pPr>
      <w:r>
        <w:t xml:space="preserve">Tibshirani, R.J., Barber, R.F., Candès, E. and Ramdas, A. (2019). Conformal prediction under covariate shift. In</w:t>
      </w:r>
      <w:r>
        <w:t xml:space="preserve"> </w:t>
      </w:r>
      <w:r>
        <w:rPr>
          <w:i/>
          <w:iCs/>
        </w:rPr>
        <w:t xml:space="preserve">Advances in Neural Information Processing Systems</w:t>
      </w:r>
      <w:r>
        <w:t xml:space="preserve"> </w:t>
      </w:r>
      <w:r>
        <w:t xml:space="preserve">(NeurIPS 2019), 32, pp. 2530–2540.</w:t>
      </w:r>
    </w:p>
    <w:p>
      <w:pPr>
        <w:pStyle w:val="BodyText"/>
      </w:pPr>
      <w:r>
        <w:t xml:space="preserve">Uniejewski, B. and Ziel, F. (2025). Probabilistic forecasts of load, solar and wind for electricity price forecasting. arXiv preprint arXiv:2501.06180 [stat.AP]. Available at: https://arxiv.org/abs/2501.06180</w:t>
      </w:r>
    </w:p>
    <w:p>
      <w:pPr>
        <w:pStyle w:val="BodyText"/>
      </w:pPr>
      <w:r>
        <w:t xml:space="preserve">Vovk, V., Gammerman, A. and Shafer, G. (2005).</w:t>
      </w:r>
      <w:r>
        <w:t xml:space="preserve"> </w:t>
      </w:r>
      <w:r>
        <w:rPr>
          <w:i/>
          <w:iCs/>
        </w:rPr>
        <w:t xml:space="preserve">Algorithmic Learning in a Random World</w:t>
      </w:r>
      <w:r>
        <w:t xml:space="preserve">. Springer, New York.</w:t>
      </w:r>
    </w:p>
    <w:p>
      <w:pPr>
        <w:pStyle w:val="BodyText"/>
      </w:pPr>
      <w:r>
        <w:t xml:space="preserve">Weron, R. (2014). Electricity price forecasting: A review of the state-of-the-art with a look into the future.</w:t>
      </w:r>
      <w:r>
        <w:t xml:space="preserve"> </w:t>
      </w:r>
      <w:r>
        <w:rPr>
          <w:i/>
          <w:iCs/>
        </w:rPr>
        <w:t xml:space="preserve">International Journal of Forecasting</w:t>
      </w:r>
      <w:r>
        <w:t xml:space="preserve">, 30(4), pp. 1030–1081.</w:t>
      </w:r>
    </w:p>
    <w:p>
      <w:pPr>
        <w:pStyle w:val="BodyText"/>
      </w:pPr>
      <w:r>
        <w:t xml:space="preserve">Zaffran, M., Féron, O., Goude, Y., Josse, J. and Dieuleveut, A. (2022). Adaptive conformal predictions for time series. In</w:t>
      </w:r>
      <w:r>
        <w:t xml:space="preserve"> </w:t>
      </w:r>
      <w:r>
        <w:rPr>
          <w:i/>
          <w:iCs/>
        </w:rPr>
        <w:t xml:space="preserve">Proceedings of the 39th International Conference on Machine Learning</w:t>
      </w:r>
      <w:r>
        <w:t xml:space="preserve"> </w:t>
      </w:r>
      <w:r>
        <w:t xml:space="preserve">(ICML 2022), PMLR 162, pp. 25834–25866.</w:t>
      </w:r>
    </w:p>
    <w:p>
      <w:pPr>
        <w:pStyle w:val="BodyText"/>
      </w:pPr>
      <w:r>
        <w:t xml:space="preserve">Ziel, F. and Weron, R. (2018). Day-ahead electricity price forecasting with high-dimensional structures: Univariate vs. multivariate modeling frameworks.</w:t>
      </w:r>
      <w:r>
        <w:t xml:space="preserve"> </w:t>
      </w:r>
      <w:r>
        <w:rPr>
          <w:i/>
          <w:iCs/>
        </w:rPr>
        <w:t xml:space="preserve">Energy Economics</w:t>
      </w:r>
      <w:r>
        <w:t xml:space="preserve">, 70, pp. 396–420.</w:t>
      </w:r>
    </w:p>
    <w:p>
      <w:r>
        <w:pict>
          <v:rect style="width:0;height:1.5pt" o:hralign="center" o:hrstd="t" o:hr="t"/>
        </w:pict>
      </w:r>
    </w:p>
    <w:bookmarkEnd w:id="156"/>
    <w:bookmarkStart w:id="157" w:name="ai-statement"/>
    <w:p>
      <w:pPr>
        <w:pStyle w:val="Heading1"/>
      </w:pPr>
      <w:r>
        <w:t xml:space="preserve">AI Statement</w:t>
      </w:r>
    </w:p>
    <w:p>
      <w:pPr>
        <w:pStyle w:val="FirstParagraph"/>
      </w:pPr>
      <w:r>
        <w:rPr>
          <w:b/>
          <w:bCs/>
        </w:rPr>
        <w:t xml:space="preserve">Tools used:</w:t>
      </w:r>
      <w:r>
        <w:t xml:space="preserve"> </w:t>
      </w:r>
      <w:r>
        <w:t xml:space="preserve">Claude (Anthropic, claude.ai)</w:t>
      </w:r>
    </w:p>
    <w:p>
      <w:pPr>
        <w:pStyle w:val="BodyText"/>
      </w:pPr>
      <w:r>
        <w:t xml:space="preserve">Generative AI was used to support the following aspects of this thesis:</w:t>
      </w:r>
    </w:p>
    <w:p>
      <w:pPr>
        <w:numPr>
          <w:ilvl w:val="0"/>
          <w:numId w:val="1023"/>
        </w:numPr>
      </w:pPr>
      <w:r>
        <w:rPr>
          <w:b/>
          <w:bCs/>
        </w:rPr>
        <w:t xml:space="preserve">Software implementation.</w:t>
      </w:r>
      <w:r>
        <w:t xml:space="preserve"> </w:t>
      </w:r>
      <w:r>
        <w:t xml:space="preserve">The unified probabilistic validation framework (</w:t>
      </w:r>
      <w:r>
        <w:rPr>
          <w:rStyle w:val="VerbatimChar"/>
        </w:rPr>
        <w:t xml:space="preserve">src/</w:t>
      </w:r>
      <w:r>
        <w:t xml:space="preserve">) was developed with Claude’s assistance. Claude provided implementation guidance, debugging support, and architectural design suggestions.</w:t>
      </w:r>
    </w:p>
    <w:p>
      <w:pPr>
        <w:numPr>
          <w:ilvl w:val="0"/>
          <w:numId w:val="1023"/>
        </w:numPr>
      </w:pPr>
      <w:r>
        <w:rPr>
          <w:b/>
          <w:bCs/>
        </w:rPr>
        <w:t xml:space="preserve">Deployment.</w:t>
      </w:r>
      <w:r>
        <w:t xml:space="preserve"> </w:t>
      </w:r>
      <w:r>
        <w:t xml:space="preserve">The Streamlit web application (app.py, deployed at unified-probabilistic-validation.streamlit.app), and SKILL.md framework documentation were implemented with Claude’s assistance.</w:t>
      </w:r>
    </w:p>
    <w:p>
      <w:pPr>
        <w:numPr>
          <w:ilvl w:val="0"/>
          <w:numId w:val="1023"/>
        </w:numPr>
      </w:pPr>
      <w:r>
        <w:rPr>
          <w:b/>
          <w:bCs/>
        </w:rPr>
        <w:t xml:space="preserve">Writing assistance.</w:t>
      </w:r>
      <w:r>
        <w:t xml:space="preserve"> </w:t>
      </w:r>
      <w:r>
        <w:t xml:space="preserve">Chapter drafts were produced collaboratively with Claude providing initial structure and prose, subsequently reviewed, revised, and approved by the authors. All empirical interpretations, theoretical arguments, research question framings, and conclusions are the authors’ own.</w:t>
      </w:r>
    </w:p>
    <w:p>
      <w:pPr>
        <w:numPr>
          <w:ilvl w:val="0"/>
          <w:numId w:val="1023"/>
        </w:numPr>
      </w:pPr>
      <w:r>
        <w:rPr>
          <w:b/>
          <w:bCs/>
        </w:rPr>
        <w:t xml:space="preserve">AI narrative generation (documented contribution).</w:t>
      </w:r>
      <w:r>
        <w:t xml:space="preserve"> </w:t>
      </w:r>
      <w:r>
        <w:t xml:space="preserve">The NarrativeGenerator component calls the Anthropic API (Claude Sonnet) to produce governance narratives from structured diagnostic outputs. This is an explicit, documented part of the submitted framework described in Section 9.9 of the Methodology chapter, not an undisclosed use of AI.</w:t>
      </w:r>
    </w:p>
    <w:p>
      <w:pPr>
        <w:pStyle w:val="FirstParagraph"/>
      </w:pPr>
      <w:r>
        <w:t xml:space="preserve">All topic selection, research questions, methodological choices, empirical analysis, interpretations, and conclusions were carried out by the authors. The industry partner (Rikard Green, Energy Quant Solutions Sweden AB) provided domain guidance, dataset access, and feedback on framework design throughout the project.</w:t>
      </w:r>
    </w:p>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Probabilistic Validation for Energy Markets: A Production-Grade Architecture for Simulation and Forecasting Models</dc:title>
  <dc:creator>Authors: Jia Yang Le &amp; Komila Askarova; Study programme: Data Analytics and Business Economics; Supervisor: Luca Margaritella; Industry Supervisor: Rikard Green, Energy Quant Solutions Sweden AB; Year of defence: 2026</dc:creator>
  <cp:keywords/>
  <dcterms:created xsi:type="dcterms:W3CDTF">2026-03-22T15:33:08Z</dcterms:created>
  <dcterms:modified xsi:type="dcterms:W3CDTF">2026-03-22T15:33:08Z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a4paper, top=2.5cm, bottom=2.5cm, left=2.5cm, right=2.5cm</vt:lpwstr>
  </property>
  <property fmtid="{D5CDD505-2E9C-101B-9397-08002B2CF9AE}" pid="5" name="header-includes">
    <vt:lpwstr/>
  </property>
  <property fmtid="{D5CDD505-2E9C-101B-9397-08002B2CF9AE}" pid="6" name="linestretch">
    <vt:lpwstr>1.5</vt:lpwstr>
  </property>
  <property fmtid="{D5CDD505-2E9C-101B-9397-08002B2CF9AE}" pid="7" name="mainfont">
    <vt:lpwstr>Arial</vt:lpwstr>
  </property>
  <property fmtid="{D5CDD505-2E9C-101B-9397-08002B2CF9AE}" pid="8" name="numbersections">
    <vt:lpwstr>True</vt:lpwstr>
  </property>
  <property fmtid="{D5CDD505-2E9C-101B-9397-08002B2CF9AE}" pid="9" name="subtitle">
    <vt:lpwstr>Master’s Thesis</vt:lpwstr>
  </property>
  <property fmtid="{D5CDD505-2E9C-101B-9397-08002B2CF9AE}" pid="10" name="toc">
    <vt:lpwstr>True</vt:lpwstr>
  </property>
  <property fmtid="{D5CDD505-2E9C-101B-9397-08002B2CF9AE}" pid="11" name="toc-depth">
    <vt:lpwstr>2</vt:lpwstr>
  </property>
</Properties>
</file>