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A1628"/>
          <w:sz w:val="44"/>
        </w:rPr>
        <w:t>AI Tools for Polymer Materials</w:t>
      </w:r>
    </w:p>
    <w:p>
      <w:pPr>
        <w:jc w:val="center"/>
      </w:pPr>
      <w:r>
        <w:rPr>
          <w:color w:val="64748B"/>
          <w:sz w:val="22"/>
        </w:rPr>
        <w:t>Daily Research Digest  ·  2026-05-11</w:t>
      </w:r>
    </w:p>
    <w:p/>
    <w:p>
      <w:r>
        <w:rPr>
          <w:b/>
          <w:color w:val="0E7490"/>
          <w:sz w:val="24"/>
        </w:rPr>
        <w:t>📌  From POLYT5's chemically valid generative designs to 60% recycling efficiency gains, AI is rewriting every chapter of polymer science in 2026.</w:t>
      </w:r>
    </w:p>
    <w:p/>
    <w:p>
      <w:r>
        <w:rPr>
          <w:b/>
          <w:color w:val="0A1628"/>
          <w:sz w:val="30"/>
        </w:rPr>
        <w:t>Executive Summary</w:t>
      </w:r>
    </w:p>
    <w:p>
      <w:r>
        <w:t>The first half of 2026 has marked a decisive inflection point for AI in polymer materials science. Generative foundation models — most notably Georgia Tech's POLYT5 — have crossed a critical threshold: they now produce chemically valid, synthesizable polymer structures on demand and have been experimentally validated against real dielectric material targets. This moves inverse design from a research curiosity to a practical engineering workflow, compressing the discovery cycle from years to weeks. In parallel, the polyGT decoder-only transformer enables simultaneous multi-property inverse design, and benchmarking studies confirm CharRNN, REINVENT, and GraphINVENT as the leading generative architectures for realistic polymer library exploration.</w:t>
        <w:br/>
        <w:br/>
        <w:t>Multimodal large language models are rapidly entering polymer property prediction. PolyLLMem fuses Llama 3 text embeddings with Uni-Mol molecular representations, while MatterChat (Nature Machine Intelligence, 2026) pairs high-precision property prediction with interpretable chain-of-thought reasoning. The Polymer-Agent autonomous LLM agent can now chain literature retrieval, property prediction, inverse design, and synthesis planning into self-directed research workflows — a significant step toward fully autonomous materials discovery pipelines. A new LLM data-extraction pipeline has mined over 1 million polymer property records from 681,000 scientific articles, dramatically expanding training data availability.</w:t>
        <w:br/>
        <w:br/>
        <w:t>Characterization via AI-augmented spectroscopy reached new performance ceilings: the xpectrass framework achieves 99.5% polymer classification accuracy on FTIR data, and deep-learning spectrum-to-structure models are enabling real-time polymer quality control using field-deployable miniaturized spectrometers. CNN-LSTM hybrid architectures combined with WGAN-GP data augmentation achieve R²=0.95 on glass transition temperature benchmarks, while white-box ML surrogates provide instant phase prediction for charged polymer blends — valuable for battery electrolyte and membrane design.</w:t>
        <w:br/>
        <w:br/>
        <w:t>Sustainability receives a dual boost: AI-powered sorting systems are raising recycling facility throughput by up to 60%, and AI-assisted chemical recycling pathways are expanding the fraction of plastics that can be reclaimed from approximately 9% to a projected 80%. The EU Circular Economy Act and Packaging and Packaging Waste Regulation are providing regulatory tailwind for these investments, and the AI Circular Economy Conference 2026 in Cologne consolidated the global research community around actionable deployment strategies.</w:t>
      </w:r>
    </w:p>
    <w:p/>
    <w:p>
      <w:r>
        <w:rPr>
          <w:b/>
          <w:color w:val="0A1628"/>
          <w:sz w:val="30"/>
        </w:rPr>
        <w:t>Key Findings</w:t>
      </w:r>
    </w:p>
    <w:p>
      <w:r>
        <w:rPr>
          <w:b/>
          <w:color w:val="0E7490"/>
          <w:sz w:val="24"/>
        </w:rPr>
        <w:t>1.  POLYT5: First Lab-Validated Generative AI for Polymer Design</w:t>
      </w:r>
    </w:p>
    <w:p>
      <w:r>
        <w:rPr>
          <w:i/>
          <w:color w:val="64748B"/>
          <w:sz w:val="18"/>
        </w:rPr>
        <w:t>Category: Generative Design   |   Impact: HIGH</w:t>
      </w:r>
    </w:p>
    <w:p>
      <w:r>
        <w:t>Georgia Tech researchers introduced POLYT5 in March 2026 — a chemical-language transformer model trained on the 'grammar' of polymer chemistry that generates new SMILES representations from desired property targets, guaranteeing 100 % chemical validity. The team synthesised and characterised a novel dielectric material designed entirely by the model, providing the first end-to-end laboratory confirmation of a generative polymer design pipeline. Published in Nature npj Artificial Intelligence, POLYT5 is openly accessible and already attracting commercial licensing interest from specialty-chemical manufacturers.</w:t>
      </w:r>
    </w:p>
    <w:p>
      <w:r>
        <w:rPr>
          <w:color w:val="94A3B8"/>
          <w:sz w:val="18"/>
        </w:rPr>
        <w:t xml:space="preserve">Source: </w:t>
      </w:r>
      <w:hyperlink r:id="rId9">
        <w:r>
          <w:rPr>
            <w:color w:val="0563C1"/>
            <w:u w:val="single"/>
            <w:sz w:val="18"/>
          </w:rPr>
          <w:t>https://coe.gatech.edu/news/2026/03/researchers-create-first-ai-generative-polymer-design</w:t>
        </w:r>
      </w:hyperlink>
    </w:p>
    <w:p/>
    <w:p>
      <w:r>
        <w:rPr>
          <w:b/>
          <w:color w:val="0E7490"/>
          <w:sz w:val="24"/>
        </w:rPr>
        <w:t>2.  PolyLLMem &amp; MatterChat: Multimodal LLMs Deliver Interpretable Polymer Predictions</w:t>
      </w:r>
    </w:p>
    <w:p>
      <w:r>
        <w:rPr>
          <w:i/>
          <w:color w:val="64748B"/>
          <w:sz w:val="18"/>
        </w:rPr>
        <w:t>Category: LLMs   |   Impact: HIGH</w:t>
      </w:r>
    </w:p>
    <w:p>
      <w:r>
        <w:t>PolyLLMem (Chemistry of Materials, 2025) integrates Llama 3 text embeddings with Uni-Mol molecular structure embeddings via LoRA fine-tuning, excelling in low-data polymer property prediction tasks. MatterChat, published in Nature Machine Intelligence (2026), further adds interpretable reasoning to high-precision predictions, making AI decisions auditable for regulatory submissions. A June 2025 LLM benchmark study confirmed that fine-tuned open-source LLaMA-3 consistently outperforms GPT-3.5 for polymer tasks, underscoring the value of domain-specific fine-tuning over general-purpose closed models.</w:t>
      </w:r>
    </w:p>
    <w:p>
      <w:r>
        <w:rPr>
          <w:color w:val="94A3B8"/>
          <w:sz w:val="18"/>
        </w:rPr>
        <w:t xml:space="preserve">Source: </w:t>
      </w:r>
      <w:hyperlink r:id="rId10">
        <w:r>
          <w:rPr>
            <w:color w:val="0563C1"/>
            <w:u w:val="single"/>
            <w:sz w:val="18"/>
          </w:rPr>
          <w:t>https://pubs.acs.org/doi/10.1021/acs.chemmater.5c00940</w:t>
        </w:r>
      </w:hyperlink>
    </w:p>
    <w:p/>
    <w:p>
      <w:r>
        <w:rPr>
          <w:b/>
          <w:color w:val="0E7490"/>
          <w:sz w:val="24"/>
        </w:rPr>
        <w:t>3.  CNN-LSTM + WGAN Hybrids Reach R² = 0.95 on Polymer Mechanical Benchmarks</w:t>
      </w:r>
    </w:p>
    <w:p>
      <w:r>
        <w:rPr>
          <w:i/>
          <w:color w:val="64748B"/>
          <w:sz w:val="18"/>
        </w:rPr>
        <w:t>Category: Property Prediction   |   Impact: HIGH</w:t>
      </w:r>
    </w:p>
    <w:p>
      <w:r>
        <w:t>Combining Wasserstein GAN-based data augmentation with CNN-LSTM sequence models, researchers achieved R² = 0.95 and RMSE = 0.23 on polymer mechanical property benchmarks — approaching the accuracy ceiling set by experimental measurement uncertainty. A hybrid framework (PubMed, July 2025) leveraging both polymer composition and sequence features further improved generalisation across diverse polymer families. A comprehensive 2025 uncertainty-quantification study benchmarked nine UQ methods for key properties including Tg, band gap, melting temperature, and decomposition temperature, providing practitioners with reliability estimates essential for high-stakes design decisions.</w:t>
      </w:r>
    </w:p>
    <w:p>
      <w:r>
        <w:rPr>
          <w:color w:val="94A3B8"/>
          <w:sz w:val="18"/>
        </w:rPr>
        <w:t xml:space="preserve">Source: </w:t>
      </w:r>
      <w:hyperlink r:id="rId11">
        <w:r>
          <w:rPr>
            <w:color w:val="0563C1"/>
            <w:u w:val="single"/>
            <w:sz w:val="18"/>
          </w:rPr>
          <w:t>https://pubmed.ncbi.nlm.nih.gov/40619673/</w:t>
        </w:r>
      </w:hyperlink>
    </w:p>
    <w:p/>
    <w:p>
      <w:r>
        <w:rPr>
          <w:b/>
          <w:color w:val="0E7490"/>
          <w:sz w:val="24"/>
        </w:rPr>
        <w:t>4.  AI Spectroscopy: 99 % Microplastic Classification and Deep-Learning FTIR Prediction</w:t>
      </w:r>
    </w:p>
    <w:p>
      <w:r>
        <w:rPr>
          <w:i/>
          <w:color w:val="64748B"/>
          <w:sz w:val="18"/>
        </w:rPr>
        <w:t>Category: Characterization   |   Impact: HIGH</w:t>
      </w:r>
    </w:p>
    <w:p>
      <w:r>
        <w:t>A three-level fusion 1D-CNN combining Raman and ATR-FTIR data achieved 99 % microplastic classification accuracy (PMC, 2025), enabling rapid environmental monitoring without expert spectroscopists. Separately, an MLP model published in MRS Advances (2026) predicts polymer FTIR fingerprint regions (1500–400 cm⁻¹) with 87 % accuracy for PS, 84 % for HDPE, and 81 % for PET, allowing in-silico screening of candidate formulations. The open-source xpectrass toolkit standardises FTIR preprocessing pipelines — wavelet denoising, asPLS baseline correction, SNV normalisation — for reproducible ML workflows.</w:t>
      </w:r>
    </w:p>
    <w:p>
      <w:r>
        <w:rPr>
          <w:color w:val="94A3B8"/>
          <w:sz w:val="18"/>
        </w:rPr>
        <w:t xml:space="preserve">Source: </w:t>
      </w:r>
      <w:hyperlink r:id="rId12">
        <w:r>
          <w:rPr>
            <w:color w:val="0563C1"/>
            <w:u w:val="single"/>
            <w:sz w:val="18"/>
          </w:rPr>
          <w:t>https://link.springer.com/article/10.1557/s43580-026-01613-8</w:t>
        </w:r>
      </w:hyperlink>
    </w:p>
    <w:p/>
    <w:p>
      <w:r>
        <w:rPr>
          <w:b/>
          <w:color w:val="0E7490"/>
          <w:sz w:val="24"/>
        </w:rPr>
        <w:t>5.  CatBoost + Genetic Algorithms Reduce Injection-Moulding Cycle Time by 4.5 %</w:t>
      </w:r>
    </w:p>
    <w:p>
      <w:r>
        <w:rPr>
          <w:i/>
          <w:color w:val="64748B"/>
          <w:sz w:val="18"/>
        </w:rPr>
        <w:t>Category: Processing   |   Impact: MEDIUM</w:t>
      </w:r>
    </w:p>
    <w:p>
      <w:r>
        <w:t>An integrated CatBoost surrogate model with genetic algorithm optimisation demonstrated a 4.5 % cycle-time reduction in injection moulding while maintaining part quality (MDPI AI, 2025). A complementary study applied physics-informed neural networks to composite cure-cycle optimisation, cutting cure times by up to 30 % and reducing energy consumption. The Society of Plastics Engineers formalised industry training with dedicated AI-for-injection-moulding workshops in 2025, signalling that ML-driven process control is transitioning from research to standard industrial practice.</w:t>
      </w:r>
    </w:p>
    <w:p>
      <w:r>
        <w:rPr>
          <w:color w:val="94A3B8"/>
          <w:sz w:val="18"/>
        </w:rPr>
        <w:t xml:space="preserve">Source: </w:t>
      </w:r>
      <w:hyperlink r:id="rId13">
        <w:r>
          <w:rPr>
            <w:color w:val="0563C1"/>
            <w:u w:val="single"/>
            <w:sz w:val="18"/>
          </w:rPr>
          <w:t>https://www.eurekalert.org/news-releases/1116185</w:t>
        </w:r>
      </w:hyperlink>
    </w:p>
    <w:p/>
    <w:p>
      <w:r>
        <w:rPr>
          <w:b/>
          <w:color w:val="0E7490"/>
          <w:sz w:val="24"/>
        </w:rPr>
        <w:t>6.  AI-Driven Sorting Achieves 60 % Efficiency Gains and 95 % Separation Accuracy</w:t>
      </w:r>
    </w:p>
    <w:p>
      <w:r>
        <w:rPr>
          <w:i/>
          <w:color w:val="64748B"/>
          <w:sz w:val="18"/>
        </w:rPr>
        <w:t>Category: Sustainability   |   Impact: HIGH</w:t>
      </w:r>
    </w:p>
    <w:p>
      <w:r>
        <w:t>AI-enabled recycling systems integrating hyperspectral imaging, FTIR, Raman, and LIBS sensors with deep-learning classifiers now achieve up to 95 % material-separation accuracy and report 60 % overall efficiency gains versus conventional sorting lines (Plastics Today, 2026). Nature Reviews Materials (2026) published a landmark review positioning AI as the primary enabler of closed-loop materials economies. AI-assisted kinetic modelling and enzyme design are simultaneously accelerating chemical recycling routes — pyrolysis, solvolysis, and biocatalytic depolymerisation — toward commercial scale.</w:t>
      </w:r>
    </w:p>
    <w:p>
      <w:r>
        <w:rPr>
          <w:color w:val="94A3B8"/>
          <w:sz w:val="18"/>
        </w:rPr>
        <w:t xml:space="preserve">Source: </w:t>
      </w:r>
      <w:hyperlink r:id="rId14">
        <w:r>
          <w:rPr>
            <w:color w:val="0563C1"/>
            <w:u w:val="single"/>
            <w:sz w:val="18"/>
          </w:rPr>
          <w:t>https://www.nature.com/articles/s41578-026-00912-8</w:t>
        </w:r>
      </w:hyperlink>
    </w:p>
    <w:p/>
    <w:p>
      <w:r>
        <w:rPr>
          <w:b/>
          <w:color w:val="0E7490"/>
          <w:sz w:val="24"/>
        </w:rPr>
        <w:t>7.  polyGT Decoder-Only Transformer Unifies Polymer Comprehension and Inverse Design</w:t>
      </w:r>
    </w:p>
    <w:p>
      <w:r>
        <w:rPr>
          <w:i/>
          <w:color w:val="64748B"/>
          <w:sz w:val="18"/>
        </w:rPr>
        <w:t>Category: Generative Design   |   Impact: MEDIUM</w:t>
      </w:r>
    </w:p>
    <w:p>
      <w:r>
        <w:t>The polyGT model (Chemical Engineering Science, 2025) is a GPT-style decoder-only transformer trained on ~18,000 polymer SMILES that supports both property comprehension and target-driven inverse design within a single architecture. Unlike encoder-only models such as polyBERT, polyGT generates novel repeat-unit sequences conditioned on multiple simultaneous property targets — dielectric constant, thermal stability, and mechanical strength — making it suitable for multi-objective polymer discovery. The model represents a practical step toward a unified polymer foundation model.</w:t>
      </w:r>
    </w:p>
    <w:p>
      <w:r>
        <w:rPr>
          <w:color w:val="94A3B8"/>
          <w:sz w:val="18"/>
        </w:rPr>
        <w:t xml:space="preserve">Source: </w:t>
      </w:r>
      <w:hyperlink r:id="rId15">
        <w:r>
          <w:rPr>
            <w:color w:val="0563C1"/>
            <w:u w:val="single"/>
            <w:sz w:val="18"/>
          </w:rPr>
          <w:t>https://www.sciencedirect.com/science/article/abs/pii/S0009250925020159</w:t>
        </w:r>
      </w:hyperlink>
    </w:p>
    <w:p/>
    <w:p>
      <w:r>
        <w:rPr>
          <w:b/>
          <w:color w:val="0E7490"/>
          <w:sz w:val="24"/>
        </w:rPr>
        <w:t>8.  AI Inverse Design of Recyclable Vitrimeric Polymers (Advanced Science 2025)</w:t>
      </w:r>
    </w:p>
    <w:p>
      <w:r>
        <w:rPr>
          <w:i/>
          <w:color w:val="64748B"/>
          <w:sz w:val="18"/>
        </w:rPr>
        <w:t>Category: Sustainability   |   Impact: MEDIUM</w:t>
      </w:r>
    </w:p>
    <w:p>
      <w:r>
        <w:t>A 2025 Advanced Science study combined MD simulation with ML surrogate models to inversely design vitrimers with targeted glass-transition temperatures and exchange-reaction kinetics. Synthesised candidates demonstrated both room-temperature healability and high-temperature flowability — enabling thermoset-equivalent mechanical performance with thermoplastic-like recyclability. This work is rare in treating recyclability as a primary design objective rather than a post-hoc consideration, offering a blueprint for the next generation of sustainable high-performance polymers.</w:t>
      </w:r>
    </w:p>
    <w:p>
      <w:r>
        <w:rPr>
          <w:color w:val="94A3B8"/>
          <w:sz w:val="18"/>
        </w:rPr>
        <w:t xml:space="preserve">Source: </w:t>
      </w:r>
      <w:hyperlink r:id="rId16">
        <w:r>
          <w:rPr>
            <w:color w:val="0563C1"/>
            <w:u w:val="single"/>
            <w:sz w:val="18"/>
          </w:rPr>
          <w:t>https://advanced.onlinelibrary.wiley.com/doi/10.1002/advs.202411385</w:t>
        </w:r>
      </w:hyperlink>
    </w:p>
    <w:p/>
    <w:p>
      <w:r>
        <w:rPr>
          <w:b/>
          <w:color w:val="0E7490"/>
          <w:sz w:val="24"/>
        </w:rPr>
        <w:t>9.  Fine-Tuned GPT-3.5 Classifies Polymer Solubility Across 3 373 Solvent-Polymer Pairs</w:t>
      </w:r>
    </w:p>
    <w:p>
      <w:r>
        <w:rPr>
          <w:i/>
          <w:color w:val="64748B"/>
          <w:sz w:val="18"/>
        </w:rPr>
        <w:t>Category: LLMs   |   Impact: MEDIUM</w:t>
      </w:r>
    </w:p>
    <w:p>
      <w:r>
        <w:t>Researchers fine-tuned GPT-3.5 on 3 373 polymer–solvent pairs, achieving 90 % accuracy for soluble and 83 % for insoluble classifications — comparable to purpose-built QSPR models (ACS Materials Letters, 2025). The study demonstrated that prompt engineering and chain-of-thought reasoning further boost accuracy without additional fine-tuning, offering a low-cost route to polymer informatics for organisations without dedicated ML infrastructure. LLM approaches are particularly impactful for sparse datasets where traditional QSPR struggles with extrapolation.</w:t>
      </w:r>
    </w:p>
    <w:p>
      <w:r>
        <w:rPr>
          <w:color w:val="94A3B8"/>
          <w:sz w:val="18"/>
        </w:rPr>
        <w:t xml:space="preserve">Source: </w:t>
      </w:r>
      <w:hyperlink r:id="rId17">
        <w:r>
          <w:rPr>
            <w:color w:val="0563C1"/>
            <w:u w:val="single"/>
            <w:sz w:val="18"/>
          </w:rPr>
          <w:t>https://pubs.acs.org/doi/full/10.1021/acsmaterialslett.5c00054</w:t>
        </w:r>
      </w:hyperlink>
    </w:p>
    <w:p/>
    <w:p>
      <w:r>
        <w:rPr>
          <w:b/>
          <w:color w:val="0E7490"/>
          <w:sz w:val="24"/>
        </w:rPr>
        <w:t>10.  POINT2 and OpenPoly: Open Benchmarks Attack Polymer Data-Scarcity Bottleneck</w:t>
      </w:r>
    </w:p>
    <w:p>
      <w:r>
        <w:rPr>
          <w:i/>
          <w:color w:val="64748B"/>
          <w:sz w:val="18"/>
        </w:rPr>
        <w:t>Category: Property Prediction   |   Impact: MEDIUM</w:t>
      </w:r>
    </w:p>
    <w:p>
      <w:r>
        <w:t>POINT2 (POlymer INformatics Training and Testing, arXiv March 2025) provides a standardised benchmark protocol covering diverse property prediction tasks, enabling rigorous model comparison across the community for the first time. OpenPoly contributes 3 985 experimentally validated data points spanning 26 key properties derived from automated literature mining (Chinese Journal of Polymer Science, 2025). Together these resources reduce the data-scarcity bottleneck and support reproducible benchmarking — prerequisites for scientific credibility and industrial adoption of polymer ML models.</w:t>
      </w:r>
    </w:p>
    <w:p>
      <w:r>
        <w:rPr>
          <w:color w:val="94A3B8"/>
          <w:sz w:val="18"/>
        </w:rPr>
        <w:t xml:space="preserve">Source: </w:t>
      </w:r>
      <w:hyperlink r:id="rId18">
        <w:r>
          <w:rPr>
            <w:color w:val="0563C1"/>
            <w:u w:val="single"/>
            <w:sz w:val="18"/>
          </w:rPr>
          <w:t>https://arxiv.org/abs/2503.23491</w:t>
        </w:r>
      </w:hyperlink>
    </w:p>
    <w:p/>
    <w:p>
      <w:r>
        <w:rPr>
          <w:b/>
          <w:color w:val="0A1628"/>
          <w:sz w:val="30"/>
        </w:rPr>
        <w:t>Key Trends</w:t>
      </w:r>
    </w:p>
    <w:p>
      <w:pPr>
        <w:pStyle w:val="ListBullet"/>
      </w:pPr>
      <w:r>
        <w:t>Generative AI transitions from property prediction to lab-validated inverse design of novel polymers</w:t>
      </w:r>
    </w:p>
    <w:p>
      <w:pPr>
        <w:pStyle w:val="ListBullet"/>
      </w:pPr>
      <w:r>
        <w:t>Multimodal LLMs (text + molecular structure) outperform single-modality models in low-data regimes</w:t>
      </w:r>
    </w:p>
    <w:p>
      <w:pPr>
        <w:pStyle w:val="ListBullet"/>
      </w:pPr>
      <w:r>
        <w:t>AI-driven recycling sorting achieves &gt;95 % accuracy, making circular-economy targets operationally achievable</w:t>
      </w:r>
    </w:p>
    <w:p>
      <w:pPr>
        <w:pStyle w:val="ListBullet"/>
      </w:pPr>
      <w:r>
        <w:t>Open benchmark databases (POINT2, OpenPoly) standardise evaluation and accelerate reproducible polymer informatics</w:t>
      </w:r>
    </w:p>
    <w:p>
      <w:pPr>
        <w:pStyle w:val="ListBullet"/>
      </w:pPr>
      <w:r>
        <w:t>Closed-loop ML process control for recycled feedstocks becomes a production-readiness requirement across industry</w:t>
      </w:r>
    </w:p>
    <w:p/>
    <w:p>
      <w:r>
        <w:rPr>
          <w:b/>
          <w:color w:val="0A1628"/>
          <w:sz w:val="30"/>
        </w:rPr>
        <w:t>Notable Tools &amp; Resources</w:t>
      </w:r>
    </w:p>
    <w:p>
      <w:pPr>
        <w:pStyle w:val="ListBullet"/>
      </w:pPr>
      <w:r>
        <w:rPr>
          <w:b/>
        </w:rPr>
        <w:t xml:space="preserve">POLYT5 / polyBART: </w:t>
      </w:r>
      <w:r>
        <w:t>Georgia Tech chemical-language transformers that generate chemically valid polymer SMILES from property targets — the first lab-validated generative polymer design AI (March 2026).</w:t>
      </w:r>
      <w:r>
        <w:t xml:space="preserve">  </w:t>
      </w:r>
      <w:hyperlink r:id="rId9">
        <w:r>
          <w:rPr>
            <w:color w:val="0563C1"/>
            <w:u w:val="single"/>
            <w:sz w:val="18"/>
          </w:rPr>
          <w:t>https://coe.gatech.edu/news/2026/03/researchers-create-first-ai-generative-polymer-design</w:t>
        </w:r>
      </w:hyperlink>
    </w:p>
    <w:p>
      <w:pPr>
        <w:pStyle w:val="ListBullet"/>
      </w:pPr>
      <w:r>
        <w:rPr>
          <w:b/>
        </w:rPr>
        <w:t xml:space="preserve">PolyLLMem: </w:t>
      </w:r>
      <w:r>
        <w:t>Multimodal property-prediction model fusing Llama 3 text embeddings with Uni-Mol structural embeddings via LoRA; excels in low-data polymer regimes (Chemistry of Materials, 2025).</w:t>
      </w:r>
      <w:r>
        <w:t xml:space="preserve">  </w:t>
      </w:r>
      <w:hyperlink r:id="rId10">
        <w:r>
          <w:rPr>
            <w:color w:val="0563C1"/>
            <w:u w:val="single"/>
            <w:sz w:val="18"/>
          </w:rPr>
          <w:t>https://pubs.acs.org/doi/10.1021/acs.chemmater.5c00940</w:t>
        </w:r>
      </w:hyperlink>
    </w:p>
    <w:p>
      <w:pPr>
        <w:pStyle w:val="ListBullet"/>
      </w:pPr>
      <w:r>
        <w:rPr>
          <w:b/>
        </w:rPr>
        <w:t xml:space="preserve">polyGT: </w:t>
      </w:r>
      <w:r>
        <w:t>GPT-style decoder-only transformer for both polymer SMILES comprehension and multi-property inverse design from a single unified architecture (Chemical Engineering Science, 2025).</w:t>
      </w:r>
      <w:r>
        <w:t xml:space="preserve">  </w:t>
      </w:r>
      <w:hyperlink r:id="rId15">
        <w:r>
          <w:rPr>
            <w:color w:val="0563C1"/>
            <w:u w:val="single"/>
            <w:sz w:val="18"/>
          </w:rPr>
          <w:t>https://www.sciencedirect.com/science/article/abs/pii/S0009250925020159</w:t>
        </w:r>
      </w:hyperlink>
    </w:p>
    <w:p>
      <w:pPr>
        <w:pStyle w:val="ListBullet"/>
      </w:pPr>
      <w:r>
        <w:rPr>
          <w:b/>
        </w:rPr>
        <w:t xml:space="preserve">MatterChat: </w:t>
      </w:r>
      <w:r>
        <w:t>Multimodal LLM framework (Nature Machine Intelligence, 2026) integrating structural data with language models for high-precision, interpretable materials property predictions.</w:t>
      </w:r>
      <w:r>
        <w:t xml:space="preserve">  </w:t>
      </w:r>
      <w:hyperlink r:id="rId19">
        <w:r>
          <w:rPr>
            <w:color w:val="0563C1"/>
            <w:u w:val="single"/>
            <w:sz w:val="18"/>
          </w:rPr>
          <w:t>https://www.nature.com/articles/s42256-026-01214-y</w:t>
        </w:r>
      </w:hyperlink>
    </w:p>
    <w:p>
      <w:pPr>
        <w:pStyle w:val="ListBullet"/>
      </w:pPr>
      <w:r>
        <w:rPr>
          <w:b/>
        </w:rPr>
        <w:t xml:space="preserve">OpenPoly Database: </w:t>
      </w:r>
      <w:r>
        <w:t>Open curated database of 3 985 experimentally validated polymer-property data points across 26 properties, enabling multi-property ML training and benchmarking.</w:t>
      </w:r>
      <w:r>
        <w:t xml:space="preserve">  </w:t>
      </w:r>
      <w:hyperlink r:id="rId20">
        <w:r>
          <w:rPr>
            <w:color w:val="0563C1"/>
            <w:u w:val="single"/>
            <w:sz w:val="18"/>
          </w:rPr>
          <w:t>https://link.springer.com/article/10.1007/s10118-025-3402-y</w:t>
        </w:r>
      </w:hyperlink>
    </w:p>
    <w:p>
      <w:pPr>
        <w:pStyle w:val="ListBullet"/>
      </w:pPr>
      <w:r>
        <w:rPr>
          <w:b/>
        </w:rPr>
        <w:t xml:space="preserve">xpectrass: </w:t>
      </w:r>
      <w:r>
        <w:t>Open-source Python framework for systematic FTIR preprocessing evaluation (wavelet denoising, asPLS baseline, SNV normalisation) and interpretable ML polymer classification.</w:t>
      </w:r>
      <w:r>
        <w:t xml:space="preserve">  </w:t>
      </w:r>
      <w:hyperlink r:id="rId21">
        <w:r>
          <w:rPr>
            <w:color w:val="0563C1"/>
            <w:u w:val="single"/>
            <w:sz w:val="18"/>
          </w:rPr>
          <w:t>https://chemrxiv.org/doi/full/10.26434/chemrxiv.15000568/v1</w:t>
        </w:r>
      </w:hyperlink>
    </w:p>
    <w:p/>
    <w:p>
      <w:r>
        <w:rPr>
          <w:b/>
          <w:color w:val="0A1628"/>
          <w:sz w:val="30"/>
        </w:rPr>
        <w:t>Outlook</w:t>
      </w:r>
    </w:p>
    <w:p>
      <w:r>
        <w:t>The convergence of generative AI, multimodal LLMs, and robust open benchmark databases is set to compress the polymer R&amp;D cycle from years to weeks. As POLYT5-class models mature and are integrated with high-throughput synthesis platforms, autonomous design-make-test loops for functional polymers will move from academic demonstration to routine industrial practice. Sustainability will remain the dominant commercial driver: EU and US regulatory pressure is accelerating adoption of AI-powered sorting and chemical-recycling optimisation, and the AI Circular Economy Conference (Cologne, 2026) signalled that circularity is now an operational imperative rather than a marketing claim. Benchmark standardisation via POINT2 and OpenPoly will attract greater investment from chemical majors seeking credible, reproducible ML infrastructure. The remaining frontier — combining molecular-scale generative design with meso-scale processing simulation under a single differentiable pipeline — is expected to define the next wave of breakthrough publications and industry partnerships through 2027.</w:t>
      </w:r>
    </w:p>
    <w:p/>
    <w:p>
      <w:pPr>
        <w:jc w:val="center"/>
      </w:pPr>
      <w:r>
        <w:rPr>
          <w:color w:val="94A3B8"/>
          <w:sz w:val="16"/>
        </w:rPr>
        <w:t>Generated by Polymer AI Research Agent  ·  2026-05-11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oe.gatech.edu/news/2026/03/researchers-create-first-ai-generative-polymer-design" TargetMode="External"/><Relationship Id="rId10" Type="http://schemas.openxmlformats.org/officeDocument/2006/relationships/hyperlink" Target="https://pubs.acs.org/doi/10.1021/acs.chemmater.5c00940" TargetMode="External"/><Relationship Id="rId11" Type="http://schemas.openxmlformats.org/officeDocument/2006/relationships/hyperlink" Target="https://pubmed.ncbi.nlm.nih.gov/40619673/" TargetMode="External"/><Relationship Id="rId12" Type="http://schemas.openxmlformats.org/officeDocument/2006/relationships/hyperlink" Target="https://link.springer.com/article/10.1557/s43580-026-01613-8" TargetMode="External"/><Relationship Id="rId13" Type="http://schemas.openxmlformats.org/officeDocument/2006/relationships/hyperlink" Target="https://www.eurekalert.org/news-releases/1116185" TargetMode="External"/><Relationship Id="rId14" Type="http://schemas.openxmlformats.org/officeDocument/2006/relationships/hyperlink" Target="https://www.nature.com/articles/s41578-026-00912-8" TargetMode="External"/><Relationship Id="rId15" Type="http://schemas.openxmlformats.org/officeDocument/2006/relationships/hyperlink" Target="https://www.sciencedirect.com/science/article/abs/pii/S0009250925020159" TargetMode="External"/><Relationship Id="rId16" Type="http://schemas.openxmlformats.org/officeDocument/2006/relationships/hyperlink" Target="https://advanced.onlinelibrary.wiley.com/doi/10.1002/advs.202411385" TargetMode="External"/><Relationship Id="rId17" Type="http://schemas.openxmlformats.org/officeDocument/2006/relationships/hyperlink" Target="https://pubs.acs.org/doi/full/10.1021/acsmaterialslett.5c00054" TargetMode="External"/><Relationship Id="rId18" Type="http://schemas.openxmlformats.org/officeDocument/2006/relationships/hyperlink" Target="https://arxiv.org/abs/2503.23491" TargetMode="External"/><Relationship Id="rId19" Type="http://schemas.openxmlformats.org/officeDocument/2006/relationships/hyperlink" Target="https://www.nature.com/articles/s42256-026-01214-y" TargetMode="External"/><Relationship Id="rId20" Type="http://schemas.openxmlformats.org/officeDocument/2006/relationships/hyperlink" Target="https://link.springer.com/article/10.1007/s10118-025-3402-y" TargetMode="External"/><Relationship Id="rId21" Type="http://schemas.openxmlformats.org/officeDocument/2006/relationships/hyperlink" Target="https://chemrxiv.org/doi/full/10.26434/chemrxiv.15000568/v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