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628"/>
          <w:sz w:val="44"/>
        </w:rPr>
        <w:t>AI Tools for Polymer Materials</w:t>
      </w:r>
    </w:p>
    <w:p>
      <w:pPr>
        <w:jc w:val="center"/>
      </w:pPr>
      <w:r>
        <w:rPr>
          <w:color w:val="64748B"/>
          <w:sz w:val="22"/>
        </w:rPr>
        <w:t>Daily Research Digest  ·  2026-06-01</w:t>
      </w:r>
    </w:p>
    <w:p/>
    <w:p>
      <w:r>
        <w:rPr>
          <w:b/>
          <w:color w:val="0E7490"/>
          <w:sz w:val="24"/>
        </w:rPr>
        <w:t>📌  From POLYT5 to OPoly26: AI-native polymer design enters the validation era as generative models pass lab tests and datasets scale to millions.</w:t>
      </w:r>
    </w:p>
    <w:p/>
    <w:p>
      <w:r>
        <w:rPr>
          <w:b/>
          <w:color w:val="0A1628"/>
          <w:sz w:val="30"/>
        </w:rPr>
        <w:t>Executive Summary</w:t>
      </w:r>
    </w:p>
    <w:p>
      <w:r>
        <w:t>June 2026 marks an inflection point for AI in polymer materials science. Generative language models trained specifically on polymer chemistry — led by Georgia Tech's POLYT5 — have now cleared the critical hurdle of experimental validation, producing real dielectric materials that match computationally predicted properties. Simultaneously, the release of the Open Polymers 2026 (OPoly26) benchmark — containing over 6.35 million DFT calculations across diverse polymer architectures — provides the training and evaluation infrastructure the field has long needed to systematically compare models.</w:t>
        <w:br/>
        <w:br/>
        <w:t>On the characterization front, deep learning models applied to FTIR spectra are achieving polymer identification accuracies above 87% for common thermoplastics, while hyperspectral imaging combined with CNNs now enables sub-10 um microplastic detection and quantification at industrial throughput. Physics-informed neural networks are also being embedded into injection-moulding and composite-curing workflows, with reported cycle-time reductions of up to 30%.</w:t>
        <w:br/>
        <w:br/>
        <w:t>Large language models are rapidly moving beyond generic chemistry assistants toward polymer-specific architectures. PolyLLMem fuses Llama 3 text embeddings with Uni-Mol structural embeddings in a multimodal framework, outperforming single-modality baselines across thermal and electrical property benchmarks. A 2026 RSC Digital Discovery analysis demonstrates that open-source models match GPT-4-class performance on polymer tasks while providing reproducibility and data privacy guarantees that commercial APIs cannot offer.</w:t>
        <w:br/>
        <w:br/>
        <w:t>Sustainability is emerging as a unifying application theme. The AI Circular Economy Conference 2026 (Cologne, March 2026) convened industry, academia, and investors around the message that AI-driven circularity is shifting from a CSR talking point to a competitive differentiator. Deep learning-powered sorting systems are projected to deliver 60% efficiency gains in plastic recovery by end-of-year, and multi-objective optimisation of pyrolysis parameters is enabling energy-positive recycling pathways for previously uneconomical waste streams.</w:t>
      </w:r>
    </w:p>
    <w:p/>
    <w:p>
      <w:r>
        <w:rPr>
          <w:b/>
          <w:color w:val="0A1628"/>
          <w:sz w:val="30"/>
        </w:rPr>
        <w:t>Key Findings</w:t>
      </w:r>
    </w:p>
    <w:p>
      <w:r>
        <w:rPr>
          <w:b/>
          <w:color w:val="0E7490"/>
          <w:sz w:val="24"/>
        </w:rPr>
        <w:t>1.  POLYT5: First Experimentally Validated Foundation Model for Polymer Design</w:t>
      </w:r>
    </w:p>
    <w:p>
      <w:r>
        <w:rPr>
          <w:i/>
          <w:color w:val="64748B"/>
          <w:sz w:val="18"/>
        </w:rPr>
        <w:t>Category: Generative Design   |   Impact: HIGH</w:t>
      </w:r>
    </w:p>
    <w:p>
      <w:r>
        <w:t>Georgia Tech researchers published POLYT5 in npj Artificial Intelligence (March 2026), an encoder-decoder chemical language model that performs inverse polymer design — accepting target properties as input and outputting candidate polymer structures. Unlike prior computational-only generative work, POLYT5 outputs were physically synthesised and tested, with a generated dielectric polymer confirming predicted permittivity values. This is the first foundational model for generative polymer design validated by real-world experiments.</w:t>
      </w:r>
    </w:p>
    <w:p>
      <w:r>
        <w:rPr>
          <w:color w:val="94A3B8"/>
          <w:sz w:val="18"/>
        </w:rPr>
        <w:t xml:space="preserve">Source: </w:t>
      </w:r>
      <w:hyperlink r:id="rId9">
        <w:r>
          <w:rPr>
            <w:color w:val="0563C1"/>
            <w:u w:val="single"/>
            <w:sz w:val="18"/>
          </w:rPr>
          <w:t>https://coe.gatech.edu/news/2026/03/researchers-create-first-ai-generative-polymer-design</w:t>
        </w:r>
      </w:hyperlink>
    </w:p>
    <w:p/>
    <w:p>
      <w:r>
        <w:rPr>
          <w:b/>
          <w:color w:val="0E7490"/>
          <w:sz w:val="24"/>
        </w:rPr>
        <w:t>2.  OPoly26: 6.35-Million-Entry Open DFT Dataset Benchmarks Polymer ML Models</w:t>
      </w:r>
    </w:p>
    <w:p>
      <w:r>
        <w:rPr>
          <w:i/>
          <w:color w:val="64748B"/>
          <w:sz w:val="18"/>
        </w:rPr>
        <w:t>Category: Property Prediction   |   Impact: HIGH</w:t>
      </w:r>
    </w:p>
    <w:p>
      <w:r>
        <w:t>The Open Polymers 2026 (OPoly26) dataset provides over 6.35 million DFT-level calculations on polymer clusters spanning diverse monomer compositions, chain architectures, and solvation environments. Augmenting existing ML training sets with OPoly26 improves model accuracy on standard benchmarks, particularly for reactive polymer configurations where prior datasets were sparse. The dataset is publicly available and sets a new baseline for standardised evaluation of polymer property-prediction models.</w:t>
      </w:r>
    </w:p>
    <w:p>
      <w:r>
        <w:rPr>
          <w:color w:val="94A3B8"/>
          <w:sz w:val="18"/>
        </w:rPr>
        <w:t xml:space="preserve">Source: </w:t>
      </w:r>
      <w:hyperlink r:id="rId10">
        <w:r>
          <w:rPr>
            <w:color w:val="0563C1"/>
            <w:u w:val="single"/>
            <w:sz w:val="18"/>
          </w:rPr>
          <w:t>https://arxiv.org/pdf/2512.23117</w:t>
        </w:r>
      </w:hyperlink>
    </w:p>
    <w:p/>
    <w:p>
      <w:r>
        <w:rPr>
          <w:b/>
          <w:color w:val="0E7490"/>
          <w:sz w:val="24"/>
        </w:rPr>
        <w:t>3.  PolyLLMem: Multimodal Llama 3 + Uni-Mol Fusion Achieves State-of-the-Art Property Prediction</w:t>
      </w:r>
    </w:p>
    <w:p>
      <w:r>
        <w:rPr>
          <w:i/>
          <w:color w:val="64748B"/>
          <w:sz w:val="18"/>
        </w:rPr>
        <w:t>Category: LLMs   |   Impact: HIGH</w:t>
      </w:r>
    </w:p>
    <w:p>
      <w:r>
        <w:t>PolyLLMem integrates text-based embeddings from Meta's Llama 3 with 3D structural embeddings from Uni-Mol in a gated multimodal framework, achieving state-of-the-art performance on thermal and dielectric property benchmarks. Published in ACS Chemistry of Materials 2026, PolyLLMem demonstrates that combining text and structure modalities consistently outperforms either modality alone. The approach requires no polymer-specific pretraining from scratch, making it accessible to groups without HPC resources.</w:t>
      </w:r>
    </w:p>
    <w:p>
      <w:r>
        <w:rPr>
          <w:color w:val="94A3B8"/>
          <w:sz w:val="18"/>
        </w:rPr>
        <w:t xml:space="preserve">Source: </w:t>
      </w:r>
      <w:hyperlink r:id="rId11">
        <w:r>
          <w:rPr>
            <w:color w:val="0563C1"/>
            <w:u w:val="single"/>
            <w:sz w:val="18"/>
          </w:rPr>
          <w:t>https://pubs.acs.org/doi/10.1021/acs.chemmater.5c00940</w:t>
        </w:r>
      </w:hyperlink>
    </w:p>
    <w:p/>
    <w:p>
      <w:r>
        <w:rPr>
          <w:b/>
          <w:color w:val="0E7490"/>
          <w:sz w:val="24"/>
        </w:rPr>
        <w:t>4.  Deep Learning FTIR Models Identify Polymers at 81-87% Accuracy in Fingerprint Region</w:t>
      </w:r>
    </w:p>
    <w:p>
      <w:r>
        <w:rPr>
          <w:i/>
          <w:color w:val="64748B"/>
          <w:sz w:val="18"/>
        </w:rPr>
        <w:t>Category: Characterization   |   Impact: MEDIUM</w:t>
      </w:r>
    </w:p>
    <w:p>
      <w:r>
        <w:t>A 2026 study in MRS Advances demonstrates that deep learning models targeting the FTIR fingerprint region (400-1500 cm-1) achieve identification accuracies of 87% for polystyrene, 84% for HDPE, and 81% for PET. The models are robust to baseline drift and signal noise common in industrial settings. A parallel PMC review confirms this as a rapidly maturing field with cross-laboratory reproducibility now demonstrated, with deep residual networks pushing classification to 97.9% on pristine polymer spectra.</w:t>
      </w:r>
    </w:p>
    <w:p>
      <w:r>
        <w:rPr>
          <w:color w:val="94A3B8"/>
          <w:sz w:val="18"/>
        </w:rPr>
        <w:t xml:space="preserve">Source: </w:t>
      </w:r>
      <w:hyperlink r:id="rId12">
        <w:r>
          <w:rPr>
            <w:color w:val="0563C1"/>
            <w:u w:val="single"/>
            <w:sz w:val="18"/>
          </w:rPr>
          <w:t>https://link.springer.com/article/10.1557/s43580-026-01613-8</w:t>
        </w:r>
      </w:hyperlink>
    </w:p>
    <w:p/>
    <w:p>
      <w:r>
        <w:rPr>
          <w:b/>
          <w:color w:val="0E7490"/>
          <w:sz w:val="24"/>
        </w:rPr>
        <w:t>5.  Hyperspectral Deep Learning Quantifies Sub-10 Micron Microplastics at Industrial Scale</w:t>
      </w:r>
    </w:p>
    <w:p>
      <w:r>
        <w:rPr>
          <w:i/>
          <w:color w:val="64748B"/>
          <w:sz w:val="18"/>
        </w:rPr>
        <w:t>Category: Characterization   |   Impact: HIGH</w:t>
      </w:r>
    </w:p>
    <w:p>
      <w:r>
        <w:t>Researchers published a high-accuracy CNN pipeline that combines hyperspectral imaging with deep learning to detect and quantify microplastic particles smaller than 10 um — a size range that eludes conventional optical methods. The system automates both particle segmentation and polymer-type classification in a single pass at throughput suitable for regulatory monitoring. Accurate sub-10 um characterisation is directly relevant to food-safety and environmental compliance frameworks expected to tighten through 2027.</w:t>
      </w:r>
    </w:p>
    <w:p>
      <w:r>
        <w:rPr>
          <w:color w:val="94A3B8"/>
          <w:sz w:val="18"/>
        </w:rPr>
        <w:t xml:space="preserve">Source: </w:t>
      </w:r>
      <w:hyperlink r:id="rId13">
        <w:r>
          <w:rPr>
            <w:color w:val="0563C1"/>
            <w:u w:val="single"/>
            <w:sz w:val="18"/>
          </w:rPr>
          <w:t>https://www.sciencedirect.com/science/article/abs/pii/S0026265X25032102</w:t>
        </w:r>
      </w:hyperlink>
    </w:p>
    <w:p/>
    <w:p>
      <w:r>
        <w:rPr>
          <w:b/>
          <w:color w:val="0E7490"/>
          <w:sz w:val="24"/>
        </w:rPr>
        <w:t>6.  Physics-Informed Neural Networks Cut Composite Curing Cycle Times by 30%</w:t>
      </w:r>
    </w:p>
    <w:p>
      <w:r>
        <w:rPr>
          <w:i/>
          <w:color w:val="64748B"/>
          <w:sz w:val="18"/>
        </w:rPr>
        <w:t>Category: Processing   |   Impact: MEDIUM</w:t>
      </w:r>
    </w:p>
    <w:p>
      <w:r>
        <w:t>Physics-informed neural networks (PINNs) embedded in composite curing and injection moulding workflows are demonstrating up to 30% reductions in cycle time and measurable energy savings by optimising heating and pressure profiles in real-time against physical constraints. The SPE 2026 workshop on AI in polymer processing highlighted case studies where PINNs trained on historical sensor data predict optimal curing curves without costly empirical trial runs. ML-assisted additive manufacturing of polymers is also showing defect-rate reductions through in-situ parameter adjustment.</w:t>
      </w:r>
    </w:p>
    <w:p>
      <w:r>
        <w:rPr>
          <w:color w:val="94A3B8"/>
          <w:sz w:val="18"/>
        </w:rPr>
        <w:t xml:space="preserve">Source: </w:t>
      </w:r>
      <w:hyperlink r:id="rId14">
        <w:r>
          <w:rPr>
            <w:color w:val="0563C1"/>
            <w:u w:val="single"/>
            <w:sz w:val="18"/>
          </w:rPr>
          <w:t>https://www.4spe.org/i4a/pages/index.cfm?pageID=9431</w:t>
        </w:r>
      </w:hyperlink>
    </w:p>
    <w:p/>
    <w:p>
      <w:r>
        <w:rPr>
          <w:b/>
          <w:color w:val="0E7490"/>
          <w:sz w:val="24"/>
        </w:rPr>
        <w:t>7.  AI-Powered Sorting Systems Projected to Deliver 60% Recycling Efficiency Gains in 2026</w:t>
      </w:r>
    </w:p>
    <w:p>
      <w:r>
        <w:rPr>
          <w:i/>
          <w:color w:val="64748B"/>
          <w:sz w:val="18"/>
        </w:rPr>
        <w:t>Category: Sustainability   |   Impact: HIGH</w:t>
      </w:r>
    </w:p>
    <w:p>
      <w:r>
        <w:t>Plastics Today's 2026 recycling outlook reports that deep-learning-driven sorting systems integrating near-infrared, Raman, and hyperspectral sensors are on track to deliver 60% efficiency gains in plastic recovery facilities this year. These systems can identify polymer type, contamination level, and degradation state under noisy industrial conditions. The AI Circular Economy Conference 2026 (Cologne) reinforced that AI-driven circularity is becoming a core competitive differentiator rather than a sustainability afterthought.</w:t>
      </w:r>
    </w:p>
    <w:p>
      <w:r>
        <w:rPr>
          <w:color w:val="94A3B8"/>
          <w:sz w:val="18"/>
        </w:rPr>
        <w:t xml:space="preserve">Source: </w:t>
      </w:r>
      <w:hyperlink r:id="rId15">
        <w:r>
          <w:rPr>
            <w:color w:val="0563C1"/>
            <w:u w:val="single"/>
            <w:sz w:val="18"/>
          </w:rPr>
          <w:t>https://www.plasticstoday.com/packaging/5-game-changing-recycling-predictions-for-2026</w:t>
        </w:r>
      </w:hyperlink>
    </w:p>
    <w:p/>
    <w:p>
      <w:r>
        <w:rPr>
          <w:b/>
          <w:color w:val="0E7490"/>
          <w:sz w:val="24"/>
        </w:rPr>
        <w:t>8.  Multi-Objective AI Optimises Plastic Pyrolysis for Energy-Positive Recycling</w:t>
      </w:r>
    </w:p>
    <w:p>
      <w:r>
        <w:rPr>
          <w:i/>
          <w:color w:val="64748B"/>
          <w:sz w:val="18"/>
        </w:rPr>
        <w:t>Category: Sustainability   |   Impact: MEDIUM</w:t>
      </w:r>
    </w:p>
    <w:p>
      <w:r>
        <w:t>A 2026 Polymers journal study presents a multi-objective AI framework that simultaneously optimises pyrolysis temperature, residence time, and feedstock composition to maximise Energy Return on Investment (EROI) while minimising hazardous by-products. The approach makes previously uneconomical mixed-plastic waste streams viable for thermochemical recycling. Integration of EROI as an explicit optimisation objective is a methodological advance aligning process design with circular-economy accounting standards.</w:t>
      </w:r>
    </w:p>
    <w:p>
      <w:r>
        <w:rPr>
          <w:color w:val="94A3B8"/>
          <w:sz w:val="18"/>
        </w:rPr>
        <w:t xml:space="preserve">Source: </w:t>
      </w:r>
      <w:hyperlink r:id="rId16">
        <w:r>
          <w:rPr>
            <w:color w:val="0563C1"/>
            <w:u w:val="single"/>
            <w:sz w:val="18"/>
          </w:rPr>
          <w:t>https://doi.org/10.3390/polym18091062</w:t>
        </w:r>
      </w:hyperlink>
    </w:p>
    <w:p/>
    <w:p>
      <w:r>
        <w:rPr>
          <w:b/>
          <w:color w:val="0E7490"/>
          <w:sz w:val="24"/>
        </w:rPr>
        <w:t>9.  Open-Source LLMs Match GPT-4 on Polymer Tasks, Raising Reproducibility Bar</w:t>
      </w:r>
    </w:p>
    <w:p>
      <w:r>
        <w:rPr>
          <w:i/>
          <w:color w:val="64748B"/>
          <w:sz w:val="18"/>
        </w:rPr>
        <w:t>Category: LLMs   |   Impact: MEDIUM</w:t>
      </w:r>
    </w:p>
    <w:p>
      <w:r>
        <w:t>A perspective published in RSC Digital Discovery 2026 benchmarks open-source LLMs against closed commercial models across polymer literature extraction, property prediction, and synthesis planning tasks. Open models achieve comparable accuracy while offering full reproducibility, data-privacy guarantees, and lower operational cost — critical factors for industrial adoption. The authors argue that the field's reliance on proprietary APIs creates a reproducibility crisis and advocate for open-model standards in materials AI.</w:t>
      </w:r>
    </w:p>
    <w:p>
      <w:r>
        <w:rPr>
          <w:color w:val="94A3B8"/>
          <w:sz w:val="18"/>
        </w:rPr>
        <w:t xml:space="preserve">Source: </w:t>
      </w:r>
      <w:hyperlink r:id="rId17">
        <w:r>
          <w:rPr>
            <w:color w:val="0563C1"/>
            <w:u w:val="single"/>
            <w:sz w:val="18"/>
          </w:rPr>
          <w:t>https://pubs.rsc.org/en/content/articlehtml/2026/dd/d5dd00499c</w:t>
        </w:r>
      </w:hyperlink>
    </w:p>
    <w:p/>
    <w:p>
      <w:r>
        <w:rPr>
          <w:b/>
          <w:color w:val="0E7490"/>
          <w:sz w:val="24"/>
        </w:rPr>
        <w:t>10.  Conditional GAN Enables Inverse Design of Biofunctional Polymer Coatings</w:t>
      </w:r>
    </w:p>
    <w:p>
      <w:r>
        <w:rPr>
          <w:i/>
          <w:color w:val="64748B"/>
          <w:sz w:val="18"/>
        </w:rPr>
        <w:t>Category: Generative Design   |   Impact: MEDIUM</w:t>
      </w:r>
    </w:p>
    <w:p>
      <w:r>
        <w:t>Published in RSC Digital Discovery 2026, a constraint-aware conditional GAN (cGAN) framework enables inverse design of polymer coating compositions conditioned on target biological performance metrics for biomedical implants, including protein adsorption resistance and cell adhesion selectivity. The model generates chemically valid coating compositions in seconds, dramatically accelerating the design-synthesise-test loop for surface engineering applications. IBM has filed complementary patents on expert-guided generative cycles for materials discovery.</w:t>
      </w:r>
    </w:p>
    <w:p>
      <w:r>
        <w:rPr>
          <w:color w:val="94A3B8"/>
          <w:sz w:val="18"/>
        </w:rPr>
        <w:t xml:space="preserve">Source: </w:t>
      </w:r>
      <w:hyperlink r:id="rId18">
        <w:r>
          <w:rPr>
            <w:color w:val="0563C1"/>
            <w:u w:val="single"/>
            <w:sz w:val="18"/>
          </w:rPr>
          <w:t>https://pubs.rsc.org/en/content/articlehtml/2026/dd/d5dd00332f</w:t>
        </w:r>
      </w:hyperlink>
    </w:p>
    <w:p/>
    <w:p>
      <w:r>
        <w:rPr>
          <w:b/>
          <w:color w:val="0A1628"/>
          <w:sz w:val="30"/>
        </w:rPr>
        <w:t>Key Trends</w:t>
      </w:r>
    </w:p>
    <w:p>
      <w:pPr>
        <w:pStyle w:val="ListBullet"/>
      </w:pPr>
      <w:r>
        <w:t>Polymer foundation models moving from purely digital prediction to experimental lab validation (POLYT5)</w:t>
      </w:r>
    </w:p>
    <w:p>
      <w:pPr>
        <w:pStyle w:val="ListBullet"/>
      </w:pPr>
      <w:r>
        <w:t>Multimodal AI (text + 3D structure) consistently outperforms single-modality models for polymer properties</w:t>
      </w:r>
    </w:p>
    <w:p>
      <w:pPr>
        <w:pStyle w:val="ListBullet"/>
      </w:pPr>
      <w:r>
        <w:t>Open-source LLMs achieving parity with GPT-4 on materials tasks, driving reproducible materials AI</w:t>
      </w:r>
    </w:p>
    <w:p>
      <w:pPr>
        <w:pStyle w:val="ListBullet"/>
      </w:pPr>
      <w:r>
        <w:t>Physics-informed neural networks embedded in manufacturing workflows delivering 30% cycle-time savings</w:t>
      </w:r>
    </w:p>
    <w:p>
      <w:pPr>
        <w:pStyle w:val="ListBullet"/>
      </w:pPr>
      <w:r>
        <w:t>AI-driven circular economy transitioning from sustainability initiative to core industrial competitive strategy</w:t>
      </w:r>
    </w:p>
    <w:p/>
    <w:p>
      <w:r>
        <w:rPr>
          <w:b/>
          <w:color w:val="0A1628"/>
          <w:sz w:val="30"/>
        </w:rPr>
        <w:t>Notable Tools &amp; Resources</w:t>
      </w:r>
    </w:p>
    <w:p>
      <w:pPr>
        <w:pStyle w:val="ListBullet"/>
      </w:pPr>
      <w:r>
        <w:rPr>
          <w:b/>
        </w:rPr>
        <w:t xml:space="preserve">POLYT5: </w:t>
      </w:r>
      <w:r>
        <w:t>Encoder-decoder chemical language foundation model for generative inverse polymer design, validated by physical synthesis (Georgia Tech, npj AI 2026).</w:t>
      </w:r>
      <w:r>
        <w:t xml:space="preserve">  </w:t>
      </w:r>
      <w:hyperlink r:id="rId9">
        <w:r>
          <w:rPr>
            <w:color w:val="0563C1"/>
            <w:u w:val="single"/>
            <w:sz w:val="18"/>
          </w:rPr>
          <w:t>https://coe.gatech.edu/news/2026/03/researchers-create-first-ai-generative-polymer-design</w:t>
        </w:r>
      </w:hyperlink>
    </w:p>
    <w:p>
      <w:pPr>
        <w:pStyle w:val="ListBullet"/>
      </w:pPr>
      <w:r>
        <w:rPr>
          <w:b/>
        </w:rPr>
        <w:t xml:space="preserve">OPoly26: </w:t>
      </w:r>
      <w:r>
        <w:t>Open benchmark dataset of 6.35M DFT calculations for training and evaluating polymer property ML models.</w:t>
      </w:r>
      <w:r>
        <w:t xml:space="preserve">  </w:t>
      </w:r>
      <w:hyperlink r:id="rId10">
        <w:r>
          <w:rPr>
            <w:color w:val="0563C1"/>
            <w:u w:val="single"/>
            <w:sz w:val="18"/>
          </w:rPr>
          <w:t>https://arxiv.org/pdf/2512.23117</w:t>
        </w:r>
      </w:hyperlink>
    </w:p>
    <w:p>
      <w:pPr>
        <w:pStyle w:val="ListBullet"/>
      </w:pPr>
      <w:r>
        <w:rPr>
          <w:b/>
        </w:rPr>
        <w:t xml:space="preserve">PolyLLMem: </w:t>
      </w:r>
      <w:r>
        <w:t>Multimodal framework combining Llama 3 text embeddings and Uni-Mol structural embeddings for state-of-the-art polymer property prediction.</w:t>
      </w:r>
      <w:r>
        <w:t xml:space="preserve">  </w:t>
      </w:r>
      <w:hyperlink r:id="rId11">
        <w:r>
          <w:rPr>
            <w:color w:val="0563C1"/>
            <w:u w:val="single"/>
            <w:sz w:val="18"/>
          </w:rPr>
          <w:t>https://pubs.acs.org/doi/10.1021/acs.chemmater.5c00940</w:t>
        </w:r>
      </w:hyperlink>
    </w:p>
    <w:p>
      <w:pPr>
        <w:pStyle w:val="ListBullet"/>
      </w:pPr>
      <w:r>
        <w:rPr>
          <w:b/>
        </w:rPr>
        <w:t xml:space="preserve">PI1M: </w:t>
      </w:r>
      <w:r>
        <w:t>1-million-polymer benchmark database covering density, Tg, Tm, and dielectric constants; standard corpus for polymer informatics evaluation.</w:t>
      </w:r>
      <w:r>
        <w:t xml:space="preserve">  </w:t>
      </w:r>
      <w:hyperlink r:id="rId19">
        <w:r>
          <w:rPr>
            <w:color w:val="0563C1"/>
            <w:u w:val="single"/>
            <w:sz w:val="18"/>
          </w:rPr>
          <w:t>https://pubs.acs.org/doi/10.1021/acs.jcim.0c00726</w:t>
        </w:r>
      </w:hyperlink>
    </w:p>
    <w:p>
      <w:pPr>
        <w:pStyle w:val="ListBullet"/>
      </w:pPr>
      <w:r>
        <w:rPr>
          <w:b/>
        </w:rPr>
        <w:t xml:space="preserve">Polymetis: </w:t>
      </w:r>
      <w:r>
        <w:t>Large language model pre-trained across multiple material domains including polymers, enabling cross-domain knowledge transfer for materials design.</w:t>
      </w:r>
      <w:r>
        <w:t xml:space="preserve">  </w:t>
      </w:r>
      <w:hyperlink r:id="rId20">
        <w:r>
          <w:rPr>
            <w:color w:val="0563C1"/>
            <w:u w:val="single"/>
            <w:sz w:val="18"/>
          </w:rPr>
          <w:t>https://arxiv.org/pdf/2411.08728</w:t>
        </w:r>
      </w:hyperlink>
    </w:p>
    <w:p>
      <w:pPr>
        <w:pStyle w:val="ListBullet"/>
      </w:pPr>
      <w:r>
        <w:rPr>
          <w:b/>
        </w:rPr>
        <w:t xml:space="preserve">Hyperspectral-CNN Microplastic Pipeline: </w:t>
      </w:r>
      <w:r>
        <w:t>Deep learning pipeline combining hyperspectral imaging and CNNs for automated sub-10 um microplastic detection and polymer-type classification.</w:t>
      </w:r>
      <w:r>
        <w:t xml:space="preserve">  </w:t>
      </w:r>
      <w:hyperlink r:id="rId13">
        <w:r>
          <w:rPr>
            <w:color w:val="0563C1"/>
            <w:u w:val="single"/>
            <w:sz w:val="18"/>
          </w:rPr>
          <w:t>https://www.sciencedirect.com/science/article/abs/pii/S0026265X25032102</w:t>
        </w:r>
      </w:hyperlink>
    </w:p>
    <w:p/>
    <w:p>
      <w:r>
        <w:rPr>
          <w:b/>
          <w:color w:val="0A1628"/>
          <w:sz w:val="30"/>
        </w:rPr>
        <w:t>Outlook</w:t>
      </w:r>
    </w:p>
    <w:p>
      <w:r>
        <w:t>The next 12 months will likely see polymer-specific foundation models proliferate beyond dielectric applications into functional coatings, biodegradable packaging, and battery electrolyte polymers — domains where inverse design has high commercial value. Standardisation of benchmarks (OPoly26 and PI1M) will accelerate cross-laboratory comparisons and begin to expose which architectures genuinely generalise versus those that overfit narrow chemical spaces. The integration of PINNs into commercial moulding and extrusion equipment will deepen, with real-time adaptive control becoming a standard feature in Industry 4.0 polymer plants. On sustainability, the EU's tightening microplastic regulations and extended producer-responsibility legislation will drive rapid adoption of AI-powered sorting and FTIR characterisation in recycling facilities globally. Perhaps most significantly, the open-source LLM movement in materials science will lower barriers for mid-sized polymer companies and academic groups, democratising access to tools previously available only to large technology companies.</w:t>
      </w:r>
    </w:p>
    <w:p/>
    <w:p>
      <w:pPr>
        <w:jc w:val="center"/>
      </w:pPr>
      <w:r>
        <w:rPr>
          <w:color w:val="94A3B8"/>
          <w:sz w:val="16"/>
        </w:rPr>
        <w:t>Generated by Polymer AI Research Agent  ·  2026-06-01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e.gatech.edu/news/2026/03/researchers-create-first-ai-generative-polymer-design" TargetMode="External"/><Relationship Id="rId10" Type="http://schemas.openxmlformats.org/officeDocument/2006/relationships/hyperlink" Target="https://arxiv.org/pdf/2512.23117" TargetMode="External"/><Relationship Id="rId11" Type="http://schemas.openxmlformats.org/officeDocument/2006/relationships/hyperlink" Target="https://pubs.acs.org/doi/10.1021/acs.chemmater.5c00940" TargetMode="External"/><Relationship Id="rId12" Type="http://schemas.openxmlformats.org/officeDocument/2006/relationships/hyperlink" Target="https://link.springer.com/article/10.1557/s43580-026-01613-8" TargetMode="External"/><Relationship Id="rId13" Type="http://schemas.openxmlformats.org/officeDocument/2006/relationships/hyperlink" Target="https://www.sciencedirect.com/science/article/abs/pii/S0026265X25032102" TargetMode="External"/><Relationship Id="rId14" Type="http://schemas.openxmlformats.org/officeDocument/2006/relationships/hyperlink" Target="https://www.4spe.org/i4a/pages/index.cfm?pageID=9431" TargetMode="External"/><Relationship Id="rId15" Type="http://schemas.openxmlformats.org/officeDocument/2006/relationships/hyperlink" Target="https://www.plasticstoday.com/packaging/5-game-changing-recycling-predictions-for-2026" TargetMode="External"/><Relationship Id="rId16" Type="http://schemas.openxmlformats.org/officeDocument/2006/relationships/hyperlink" Target="https://doi.org/10.3390/polym18091062" TargetMode="External"/><Relationship Id="rId17" Type="http://schemas.openxmlformats.org/officeDocument/2006/relationships/hyperlink" Target="https://pubs.rsc.org/en/content/articlehtml/2026/dd/d5dd00499c" TargetMode="External"/><Relationship Id="rId18" Type="http://schemas.openxmlformats.org/officeDocument/2006/relationships/hyperlink" Target="https://pubs.rsc.org/en/content/articlehtml/2026/dd/d5dd00332f" TargetMode="External"/><Relationship Id="rId19" Type="http://schemas.openxmlformats.org/officeDocument/2006/relationships/hyperlink" Target="https://pubs.acs.org/doi/10.1021/acs.jcim.0c00726" TargetMode="External"/><Relationship Id="rId20" Type="http://schemas.openxmlformats.org/officeDocument/2006/relationships/hyperlink" Target="https://arxiv.org/pdf/2411.087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