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B06" w:rsidRDefault="00BC59FE">
      <w:pPr>
        <w:spacing w:before="600"/>
        <w:jc w:val="center"/>
      </w:pPr>
      <w:r>
        <w:rPr>
          <w:sz w:val="24"/>
          <w:szCs w:val="24"/>
        </w:rPr>
        <w:t xml:space="preserve">Université Numérique Cheikh Hamidou Kane — Master </w:t>
      </w:r>
      <w:proofErr w:type="spellStart"/>
      <w:r>
        <w:rPr>
          <w:sz w:val="24"/>
          <w:szCs w:val="24"/>
        </w:rPr>
        <w:t>Big</w:t>
      </w:r>
      <w:proofErr w:type="spellEnd"/>
      <w:r>
        <w:rPr>
          <w:sz w:val="24"/>
          <w:szCs w:val="24"/>
        </w:rPr>
        <w:t xml:space="preserve"> Data </w:t>
      </w:r>
      <w:proofErr w:type="spellStart"/>
      <w:r>
        <w:rPr>
          <w:sz w:val="24"/>
          <w:szCs w:val="24"/>
        </w:rPr>
        <w:t>Analytics</w:t>
      </w:r>
      <w:proofErr w:type="spellEnd"/>
      <w:r>
        <w:rPr>
          <w:sz w:val="24"/>
          <w:szCs w:val="24"/>
        </w:rPr>
        <w:t xml:space="preserve"> / IA</w:t>
      </w:r>
    </w:p>
    <w:p w:rsidR="00415B06" w:rsidRDefault="00BC59FE">
      <w:pPr>
        <w:spacing w:after="1400"/>
        <w:jc w:val="center"/>
      </w:pPr>
      <w:r>
        <w:rPr>
          <w:sz w:val="24"/>
          <w:szCs w:val="24"/>
        </w:rPr>
        <w:t>Module « Apprentissage non supervisé » — Projet final</w:t>
      </w:r>
    </w:p>
    <w:p w:rsidR="00415B06" w:rsidRDefault="00BC59FE">
      <w:pPr>
        <w:pBdr>
          <w:top w:val="single" w:sz="12" w:space="12" w:color="1F3A5F"/>
          <w:bottom w:val="single" w:sz="12" w:space="12" w:color="1F3A5F"/>
        </w:pBdr>
        <w:spacing w:after="400"/>
        <w:jc w:val="center"/>
      </w:pPr>
      <w:r>
        <w:rPr>
          <w:rFonts w:ascii="Cambria" w:eastAsia="Cambria" w:hAnsi="Cambria" w:cs="Cambria"/>
          <w:b/>
          <w:bCs/>
          <w:color w:val="1F3A5F"/>
          <w:sz w:val="48"/>
          <w:szCs w:val="48"/>
        </w:rPr>
        <w:t>Segmenta</w:t>
      </w:r>
      <w:r w:rsidR="00EE4DB8">
        <w:rPr>
          <w:rFonts w:ascii="Cambria" w:eastAsia="Cambria" w:hAnsi="Cambria" w:cs="Cambria"/>
          <w:b/>
          <w:bCs/>
          <w:color w:val="1F3A5F"/>
          <w:sz w:val="48"/>
          <w:szCs w:val="48"/>
        </w:rPr>
        <w:t>tion de clientèle bancaire par A</w:t>
      </w:r>
      <w:r>
        <w:rPr>
          <w:rFonts w:ascii="Cambria" w:eastAsia="Cambria" w:hAnsi="Cambria" w:cs="Cambria"/>
          <w:b/>
          <w:bCs/>
          <w:color w:val="1F3A5F"/>
          <w:sz w:val="48"/>
          <w:szCs w:val="48"/>
        </w:rPr>
        <w:t>pprentissage non supervisé</w:t>
      </w:r>
    </w:p>
    <w:p w:rsidR="00415B06" w:rsidRDefault="00BC59FE">
      <w:pPr>
        <w:spacing w:after="1600"/>
        <w:jc w:val="center"/>
      </w:pPr>
      <w:r>
        <w:rPr>
          <w:i/>
          <w:iCs/>
          <w:sz w:val="26"/>
          <w:szCs w:val="26"/>
        </w:rPr>
        <w:t>Jeu de données Bank Marketing (UCI) — 41 188 clients, 20 variables</w:t>
      </w:r>
    </w:p>
    <w:p w:rsidR="00415B06" w:rsidRDefault="00BC59FE">
      <w:pPr>
        <w:jc w:val="center"/>
        <w:rPr>
          <w:b/>
          <w:bCs/>
          <w:sz w:val="32"/>
          <w:szCs w:val="32"/>
        </w:rPr>
      </w:pPr>
      <w:r>
        <w:rPr>
          <w:b/>
          <w:bCs/>
          <w:sz w:val="32"/>
          <w:szCs w:val="32"/>
        </w:rPr>
        <w:t>Papa Alassane SECK</w:t>
      </w: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rPr>
          <w:b/>
          <w:bCs/>
          <w:sz w:val="32"/>
          <w:szCs w:val="32"/>
        </w:rPr>
      </w:pPr>
    </w:p>
    <w:p w:rsidR="00EE4DB8" w:rsidRDefault="00EE4DB8">
      <w:pPr>
        <w:jc w:val="center"/>
      </w:pPr>
    </w:p>
    <w:p w:rsidR="00415B06" w:rsidRDefault="00BC59FE">
      <w:pPr>
        <w:spacing w:after="200"/>
      </w:pPr>
      <w:r>
        <w:rPr>
          <w:rFonts w:ascii="Cambria" w:eastAsia="Cambria" w:hAnsi="Cambria" w:cs="Cambria"/>
          <w:b/>
          <w:bCs/>
          <w:color w:val="1F3A5F"/>
          <w:sz w:val="32"/>
          <w:szCs w:val="32"/>
        </w:rPr>
        <w:lastRenderedPageBreak/>
        <w:t>T</w:t>
      </w:r>
      <w:r>
        <w:rPr>
          <w:rFonts w:ascii="Cambria" w:eastAsia="Cambria" w:hAnsi="Cambria" w:cs="Cambria"/>
          <w:b/>
          <w:bCs/>
          <w:color w:val="1F3A5F"/>
          <w:sz w:val="32"/>
          <w:szCs w:val="32"/>
        </w:rPr>
        <w:t>able des matières</w:t>
      </w:r>
    </w:p>
    <w:sdt>
      <w:sdtPr>
        <w:alias w:val="Table des matières"/>
        <w:id w:val="1391008429"/>
      </w:sdtPr>
      <w:sdtEndPr/>
      <w:sdtContent>
        <w:p w:rsidR="00EE4DB8" w:rsidRDefault="00BC59FE">
          <w:pPr>
            <w:pStyle w:val="TM1"/>
            <w:tabs>
              <w:tab w:val="right" w:leader="dot" w:pos="9402"/>
            </w:tabs>
            <w:rPr>
              <w:noProof/>
            </w:rPr>
          </w:pPr>
          <w:r>
            <w:fldChar w:fldCharType="begin"/>
          </w:r>
          <w:r>
            <w:instrText>TOC \h \o "1-2"</w:instrText>
          </w:r>
          <w:r>
            <w:fldChar w:fldCharType="separate"/>
          </w:r>
          <w:hyperlink w:anchor="_Toc242219240" w:history="1">
            <w:r w:rsidR="00EE4DB8" w:rsidRPr="00F34B8B">
              <w:rPr>
                <w:rStyle w:val="Lienhypertexte"/>
                <w:noProof/>
              </w:rPr>
              <w:t>1. Introduction</w:t>
            </w:r>
            <w:r w:rsidR="00EE4DB8">
              <w:rPr>
                <w:noProof/>
              </w:rPr>
              <w:tab/>
            </w:r>
            <w:r w:rsidR="00EE4DB8">
              <w:rPr>
                <w:noProof/>
              </w:rPr>
              <w:fldChar w:fldCharType="begin"/>
            </w:r>
            <w:r w:rsidR="00EE4DB8">
              <w:rPr>
                <w:noProof/>
              </w:rPr>
              <w:instrText xml:space="preserve"> PAGEREF _Toc242219240 \h </w:instrText>
            </w:r>
            <w:r w:rsidR="00EE4DB8">
              <w:rPr>
                <w:noProof/>
              </w:rPr>
            </w:r>
            <w:r w:rsidR="00EE4DB8">
              <w:rPr>
                <w:noProof/>
              </w:rPr>
              <w:fldChar w:fldCharType="separate"/>
            </w:r>
            <w:r w:rsidR="007C558A">
              <w:rPr>
                <w:noProof/>
              </w:rPr>
              <w:t>3</w:t>
            </w:r>
            <w:r w:rsidR="00EE4DB8">
              <w:rPr>
                <w:noProof/>
              </w:rPr>
              <w:fldChar w:fldCharType="end"/>
            </w:r>
          </w:hyperlink>
        </w:p>
        <w:p w:rsidR="00EE4DB8" w:rsidRDefault="00EE4DB8">
          <w:pPr>
            <w:pStyle w:val="TM1"/>
            <w:tabs>
              <w:tab w:val="right" w:leader="dot" w:pos="9402"/>
            </w:tabs>
            <w:rPr>
              <w:noProof/>
            </w:rPr>
          </w:pPr>
          <w:hyperlink w:anchor="_Toc242219241" w:history="1">
            <w:r w:rsidRPr="00F34B8B">
              <w:rPr>
                <w:rStyle w:val="Lienhypertexte"/>
                <w:noProof/>
              </w:rPr>
              <w:t>2. Données et préparation</w:t>
            </w:r>
            <w:r>
              <w:rPr>
                <w:noProof/>
              </w:rPr>
              <w:tab/>
            </w:r>
            <w:r>
              <w:rPr>
                <w:noProof/>
              </w:rPr>
              <w:fldChar w:fldCharType="begin"/>
            </w:r>
            <w:r>
              <w:rPr>
                <w:noProof/>
              </w:rPr>
              <w:instrText xml:space="preserve"> PAGEREF _Toc242219241 \h </w:instrText>
            </w:r>
            <w:r>
              <w:rPr>
                <w:noProof/>
              </w:rPr>
            </w:r>
            <w:r>
              <w:rPr>
                <w:noProof/>
              </w:rPr>
              <w:fldChar w:fldCharType="separate"/>
            </w:r>
            <w:r w:rsidR="007C558A">
              <w:rPr>
                <w:noProof/>
              </w:rPr>
              <w:t>3</w:t>
            </w:r>
            <w:r>
              <w:rPr>
                <w:noProof/>
              </w:rPr>
              <w:fldChar w:fldCharType="end"/>
            </w:r>
          </w:hyperlink>
        </w:p>
        <w:p w:rsidR="00EE4DB8" w:rsidRDefault="00EE4DB8">
          <w:pPr>
            <w:pStyle w:val="TM2"/>
            <w:tabs>
              <w:tab w:val="right" w:leader="dot" w:pos="9402"/>
            </w:tabs>
            <w:rPr>
              <w:noProof/>
            </w:rPr>
          </w:pPr>
          <w:hyperlink w:anchor="_Toc242219242" w:history="1">
            <w:r w:rsidRPr="00F34B8B">
              <w:rPr>
                <w:rStyle w:val="Lienhypertexte"/>
                <w:noProof/>
              </w:rPr>
              <w:t>2.1 Description de la matrice de données</w:t>
            </w:r>
            <w:r>
              <w:rPr>
                <w:noProof/>
              </w:rPr>
              <w:tab/>
            </w:r>
            <w:r>
              <w:rPr>
                <w:noProof/>
              </w:rPr>
              <w:fldChar w:fldCharType="begin"/>
            </w:r>
            <w:r>
              <w:rPr>
                <w:noProof/>
              </w:rPr>
              <w:instrText xml:space="preserve"> PAGEREF _Toc242219242 \h </w:instrText>
            </w:r>
            <w:r>
              <w:rPr>
                <w:noProof/>
              </w:rPr>
            </w:r>
            <w:r>
              <w:rPr>
                <w:noProof/>
              </w:rPr>
              <w:fldChar w:fldCharType="separate"/>
            </w:r>
            <w:r w:rsidR="007C558A">
              <w:rPr>
                <w:noProof/>
              </w:rPr>
              <w:t>3</w:t>
            </w:r>
            <w:r>
              <w:rPr>
                <w:noProof/>
              </w:rPr>
              <w:fldChar w:fldCharType="end"/>
            </w:r>
          </w:hyperlink>
        </w:p>
        <w:p w:rsidR="00EE4DB8" w:rsidRDefault="00EE4DB8">
          <w:pPr>
            <w:pStyle w:val="TM2"/>
            <w:tabs>
              <w:tab w:val="right" w:leader="dot" w:pos="9402"/>
            </w:tabs>
            <w:rPr>
              <w:noProof/>
            </w:rPr>
          </w:pPr>
          <w:hyperlink w:anchor="_Toc242219243" w:history="1">
            <w:r w:rsidRPr="00F34B8B">
              <w:rPr>
                <w:rStyle w:val="Lienhypertexte"/>
                <w:noProof/>
              </w:rPr>
              <w:t>2.2 Nettoyage</w:t>
            </w:r>
            <w:r>
              <w:rPr>
                <w:noProof/>
              </w:rPr>
              <w:tab/>
            </w:r>
            <w:r>
              <w:rPr>
                <w:noProof/>
              </w:rPr>
              <w:fldChar w:fldCharType="begin"/>
            </w:r>
            <w:r>
              <w:rPr>
                <w:noProof/>
              </w:rPr>
              <w:instrText xml:space="preserve"> PAGEREF _Toc242219243 \h </w:instrText>
            </w:r>
            <w:r>
              <w:rPr>
                <w:noProof/>
              </w:rPr>
            </w:r>
            <w:r>
              <w:rPr>
                <w:noProof/>
              </w:rPr>
              <w:fldChar w:fldCharType="separate"/>
            </w:r>
            <w:r w:rsidR="007C558A">
              <w:rPr>
                <w:noProof/>
              </w:rPr>
              <w:t>3</w:t>
            </w:r>
            <w:r>
              <w:rPr>
                <w:noProof/>
              </w:rPr>
              <w:fldChar w:fldCharType="end"/>
            </w:r>
          </w:hyperlink>
        </w:p>
        <w:p w:rsidR="00EE4DB8" w:rsidRDefault="00EE4DB8">
          <w:pPr>
            <w:pStyle w:val="TM2"/>
            <w:tabs>
              <w:tab w:val="right" w:leader="dot" w:pos="9402"/>
            </w:tabs>
            <w:rPr>
              <w:noProof/>
            </w:rPr>
          </w:pPr>
          <w:hyperlink w:anchor="_Toc242219244" w:history="1">
            <w:r w:rsidRPr="00F34B8B">
              <w:rPr>
                <w:rStyle w:val="Lienhypertexte"/>
                <w:noProof/>
              </w:rPr>
              <w:t>2.3 Analyse exploratoire et choix des variables</w:t>
            </w:r>
            <w:r>
              <w:rPr>
                <w:noProof/>
              </w:rPr>
              <w:tab/>
            </w:r>
            <w:r>
              <w:rPr>
                <w:noProof/>
              </w:rPr>
              <w:fldChar w:fldCharType="begin"/>
            </w:r>
            <w:r>
              <w:rPr>
                <w:noProof/>
              </w:rPr>
              <w:instrText xml:space="preserve"> PAGEREF _Toc242219244 \h </w:instrText>
            </w:r>
            <w:r>
              <w:rPr>
                <w:noProof/>
              </w:rPr>
            </w:r>
            <w:r>
              <w:rPr>
                <w:noProof/>
              </w:rPr>
              <w:fldChar w:fldCharType="separate"/>
            </w:r>
            <w:r w:rsidR="007C558A">
              <w:rPr>
                <w:noProof/>
              </w:rPr>
              <w:t>4</w:t>
            </w:r>
            <w:r>
              <w:rPr>
                <w:noProof/>
              </w:rPr>
              <w:fldChar w:fldCharType="end"/>
            </w:r>
          </w:hyperlink>
        </w:p>
        <w:p w:rsidR="00EE4DB8" w:rsidRDefault="00EE4DB8">
          <w:pPr>
            <w:pStyle w:val="TM2"/>
            <w:tabs>
              <w:tab w:val="right" w:leader="dot" w:pos="9402"/>
            </w:tabs>
            <w:rPr>
              <w:noProof/>
            </w:rPr>
          </w:pPr>
          <w:hyperlink w:anchor="_Toc242219245" w:history="1">
            <w:r w:rsidRPr="00F34B8B">
              <w:rPr>
                <w:rStyle w:val="Lienhypertexte"/>
                <w:noProof/>
              </w:rPr>
              <w:t>2.4 Deux représentations et échantillon de travail</w:t>
            </w:r>
            <w:r>
              <w:rPr>
                <w:noProof/>
              </w:rPr>
              <w:tab/>
            </w:r>
            <w:r>
              <w:rPr>
                <w:noProof/>
              </w:rPr>
              <w:fldChar w:fldCharType="begin"/>
            </w:r>
            <w:r>
              <w:rPr>
                <w:noProof/>
              </w:rPr>
              <w:instrText xml:space="preserve"> PAGEREF _Toc242219245 \h </w:instrText>
            </w:r>
            <w:r>
              <w:rPr>
                <w:noProof/>
              </w:rPr>
            </w:r>
            <w:r>
              <w:rPr>
                <w:noProof/>
              </w:rPr>
              <w:fldChar w:fldCharType="separate"/>
            </w:r>
            <w:r w:rsidR="007C558A">
              <w:rPr>
                <w:noProof/>
              </w:rPr>
              <w:t>4</w:t>
            </w:r>
            <w:r>
              <w:rPr>
                <w:noProof/>
              </w:rPr>
              <w:fldChar w:fldCharType="end"/>
            </w:r>
          </w:hyperlink>
        </w:p>
        <w:p w:rsidR="00EE4DB8" w:rsidRDefault="00EE4DB8">
          <w:pPr>
            <w:pStyle w:val="TM2"/>
            <w:tabs>
              <w:tab w:val="right" w:leader="dot" w:pos="9402"/>
            </w:tabs>
            <w:rPr>
              <w:noProof/>
            </w:rPr>
          </w:pPr>
          <w:hyperlink w:anchor="_Toc242219246" w:history="1">
            <w:r w:rsidRPr="00F34B8B">
              <w:rPr>
                <w:rStyle w:val="Lienhypertexte"/>
                <w:noProof/>
              </w:rPr>
              <w:t>2.5 Réduction de dimension</w:t>
            </w:r>
            <w:r>
              <w:rPr>
                <w:noProof/>
              </w:rPr>
              <w:tab/>
            </w:r>
            <w:r>
              <w:rPr>
                <w:noProof/>
              </w:rPr>
              <w:fldChar w:fldCharType="begin"/>
            </w:r>
            <w:r>
              <w:rPr>
                <w:noProof/>
              </w:rPr>
              <w:instrText xml:space="preserve"> PAGEREF _Toc242219246 \h </w:instrText>
            </w:r>
            <w:r>
              <w:rPr>
                <w:noProof/>
              </w:rPr>
            </w:r>
            <w:r>
              <w:rPr>
                <w:noProof/>
              </w:rPr>
              <w:fldChar w:fldCharType="separate"/>
            </w:r>
            <w:r w:rsidR="007C558A">
              <w:rPr>
                <w:noProof/>
              </w:rPr>
              <w:t>5</w:t>
            </w:r>
            <w:r>
              <w:rPr>
                <w:noProof/>
              </w:rPr>
              <w:fldChar w:fldCharType="end"/>
            </w:r>
          </w:hyperlink>
        </w:p>
        <w:p w:rsidR="00EE4DB8" w:rsidRDefault="00EE4DB8">
          <w:pPr>
            <w:pStyle w:val="TM1"/>
            <w:tabs>
              <w:tab w:val="right" w:leader="dot" w:pos="9402"/>
            </w:tabs>
            <w:rPr>
              <w:noProof/>
            </w:rPr>
          </w:pPr>
          <w:hyperlink w:anchor="_Toc242219247" w:history="1">
            <w:r w:rsidRPr="00F34B8B">
              <w:rPr>
                <w:rStyle w:val="Lienhypertexte"/>
                <w:noProof/>
              </w:rPr>
              <w:t>3. Mesures de dissimilarité</w:t>
            </w:r>
            <w:r>
              <w:rPr>
                <w:noProof/>
              </w:rPr>
              <w:tab/>
            </w:r>
            <w:r>
              <w:rPr>
                <w:noProof/>
              </w:rPr>
              <w:fldChar w:fldCharType="begin"/>
            </w:r>
            <w:r>
              <w:rPr>
                <w:noProof/>
              </w:rPr>
              <w:instrText xml:space="preserve"> PAGEREF _Toc242219247 \h </w:instrText>
            </w:r>
            <w:r>
              <w:rPr>
                <w:noProof/>
              </w:rPr>
            </w:r>
            <w:r>
              <w:rPr>
                <w:noProof/>
              </w:rPr>
              <w:fldChar w:fldCharType="separate"/>
            </w:r>
            <w:r w:rsidR="007C558A">
              <w:rPr>
                <w:noProof/>
              </w:rPr>
              <w:t>5</w:t>
            </w:r>
            <w:r>
              <w:rPr>
                <w:noProof/>
              </w:rPr>
              <w:fldChar w:fldCharType="end"/>
            </w:r>
          </w:hyperlink>
        </w:p>
        <w:p w:rsidR="00EE4DB8" w:rsidRDefault="00EE4DB8">
          <w:pPr>
            <w:pStyle w:val="TM1"/>
            <w:tabs>
              <w:tab w:val="right" w:leader="dot" w:pos="9402"/>
            </w:tabs>
            <w:rPr>
              <w:noProof/>
            </w:rPr>
          </w:pPr>
          <w:hyperlink w:anchor="_Toc242219248" w:history="1">
            <w:r w:rsidRPr="00F34B8B">
              <w:rPr>
                <w:rStyle w:val="Lienhypertexte"/>
                <w:noProof/>
              </w:rPr>
              <w:t>4. Méthodes de partitionnement</w:t>
            </w:r>
            <w:r>
              <w:rPr>
                <w:noProof/>
              </w:rPr>
              <w:tab/>
            </w:r>
            <w:r>
              <w:rPr>
                <w:noProof/>
              </w:rPr>
              <w:fldChar w:fldCharType="begin"/>
            </w:r>
            <w:r>
              <w:rPr>
                <w:noProof/>
              </w:rPr>
              <w:instrText xml:space="preserve"> PAGEREF _Toc242219248 \h </w:instrText>
            </w:r>
            <w:r>
              <w:rPr>
                <w:noProof/>
              </w:rPr>
            </w:r>
            <w:r>
              <w:rPr>
                <w:noProof/>
              </w:rPr>
              <w:fldChar w:fldCharType="separate"/>
            </w:r>
            <w:r w:rsidR="007C558A">
              <w:rPr>
                <w:noProof/>
              </w:rPr>
              <w:t>6</w:t>
            </w:r>
            <w:r>
              <w:rPr>
                <w:noProof/>
              </w:rPr>
              <w:fldChar w:fldCharType="end"/>
            </w:r>
          </w:hyperlink>
        </w:p>
        <w:p w:rsidR="00EE4DB8" w:rsidRDefault="00EE4DB8">
          <w:pPr>
            <w:pStyle w:val="TM1"/>
            <w:tabs>
              <w:tab w:val="right" w:leader="dot" w:pos="9402"/>
            </w:tabs>
            <w:rPr>
              <w:noProof/>
            </w:rPr>
          </w:pPr>
          <w:hyperlink w:anchor="_Toc242219249" w:history="1">
            <w:r w:rsidRPr="00F34B8B">
              <w:rPr>
                <w:rStyle w:val="Lienhypertexte"/>
                <w:noProof/>
              </w:rPr>
              <w:t>5. Clustering hiérarchique et par densité</w:t>
            </w:r>
            <w:r>
              <w:rPr>
                <w:noProof/>
              </w:rPr>
              <w:tab/>
            </w:r>
            <w:r>
              <w:rPr>
                <w:noProof/>
              </w:rPr>
              <w:fldChar w:fldCharType="begin"/>
            </w:r>
            <w:r>
              <w:rPr>
                <w:noProof/>
              </w:rPr>
              <w:instrText xml:space="preserve"> PAGEREF _Toc242219249 \h </w:instrText>
            </w:r>
            <w:r>
              <w:rPr>
                <w:noProof/>
              </w:rPr>
            </w:r>
            <w:r>
              <w:rPr>
                <w:noProof/>
              </w:rPr>
              <w:fldChar w:fldCharType="separate"/>
            </w:r>
            <w:r w:rsidR="007C558A">
              <w:rPr>
                <w:noProof/>
              </w:rPr>
              <w:t>7</w:t>
            </w:r>
            <w:r>
              <w:rPr>
                <w:noProof/>
              </w:rPr>
              <w:fldChar w:fldCharType="end"/>
            </w:r>
          </w:hyperlink>
        </w:p>
        <w:p w:rsidR="00EE4DB8" w:rsidRDefault="00EE4DB8">
          <w:pPr>
            <w:pStyle w:val="TM2"/>
            <w:tabs>
              <w:tab w:val="right" w:leader="dot" w:pos="9402"/>
            </w:tabs>
            <w:rPr>
              <w:noProof/>
            </w:rPr>
          </w:pPr>
          <w:hyperlink w:anchor="_Toc242219250" w:history="1">
            <w:r w:rsidRPr="00F34B8B">
              <w:rPr>
                <w:rStyle w:val="Lienhypertexte"/>
                <w:noProof/>
              </w:rPr>
              <w:t>5.1 Classification ascendante hiérarchique</w:t>
            </w:r>
            <w:r>
              <w:rPr>
                <w:noProof/>
              </w:rPr>
              <w:tab/>
            </w:r>
            <w:r>
              <w:rPr>
                <w:noProof/>
              </w:rPr>
              <w:fldChar w:fldCharType="begin"/>
            </w:r>
            <w:r>
              <w:rPr>
                <w:noProof/>
              </w:rPr>
              <w:instrText xml:space="preserve"> PAGEREF _Toc242219250 \h </w:instrText>
            </w:r>
            <w:r>
              <w:rPr>
                <w:noProof/>
              </w:rPr>
            </w:r>
            <w:r>
              <w:rPr>
                <w:noProof/>
              </w:rPr>
              <w:fldChar w:fldCharType="separate"/>
            </w:r>
            <w:r w:rsidR="007C558A">
              <w:rPr>
                <w:noProof/>
              </w:rPr>
              <w:t>7</w:t>
            </w:r>
            <w:r>
              <w:rPr>
                <w:noProof/>
              </w:rPr>
              <w:fldChar w:fldCharType="end"/>
            </w:r>
          </w:hyperlink>
        </w:p>
        <w:p w:rsidR="00EE4DB8" w:rsidRDefault="00EE4DB8">
          <w:pPr>
            <w:pStyle w:val="TM2"/>
            <w:tabs>
              <w:tab w:val="right" w:leader="dot" w:pos="9402"/>
            </w:tabs>
            <w:rPr>
              <w:noProof/>
            </w:rPr>
          </w:pPr>
          <w:hyperlink w:anchor="_Toc242219251" w:history="1">
            <w:r w:rsidRPr="00F34B8B">
              <w:rPr>
                <w:rStyle w:val="Lienhypertexte"/>
                <w:noProof/>
              </w:rPr>
              <w:t>5.2 DBSCAN</w:t>
            </w:r>
            <w:r>
              <w:rPr>
                <w:noProof/>
              </w:rPr>
              <w:tab/>
            </w:r>
            <w:r>
              <w:rPr>
                <w:noProof/>
              </w:rPr>
              <w:fldChar w:fldCharType="begin"/>
            </w:r>
            <w:r>
              <w:rPr>
                <w:noProof/>
              </w:rPr>
              <w:instrText xml:space="preserve"> PAGEREF _Toc242219251 \h </w:instrText>
            </w:r>
            <w:r>
              <w:rPr>
                <w:noProof/>
              </w:rPr>
            </w:r>
            <w:r>
              <w:rPr>
                <w:noProof/>
              </w:rPr>
              <w:fldChar w:fldCharType="separate"/>
            </w:r>
            <w:r w:rsidR="007C558A">
              <w:rPr>
                <w:noProof/>
              </w:rPr>
              <w:t>7</w:t>
            </w:r>
            <w:r>
              <w:rPr>
                <w:noProof/>
              </w:rPr>
              <w:fldChar w:fldCharType="end"/>
            </w:r>
          </w:hyperlink>
        </w:p>
        <w:p w:rsidR="00EE4DB8" w:rsidRDefault="00EE4DB8">
          <w:pPr>
            <w:pStyle w:val="TM2"/>
            <w:tabs>
              <w:tab w:val="right" w:leader="dot" w:pos="9402"/>
            </w:tabs>
            <w:rPr>
              <w:noProof/>
            </w:rPr>
          </w:pPr>
          <w:hyperlink w:anchor="_Toc242219252" w:history="1">
            <w:r w:rsidRPr="00F34B8B">
              <w:rPr>
                <w:rStyle w:val="Lienhypertexte"/>
                <w:noProof/>
              </w:rPr>
              <w:t>5.3 Limites de K-means</w:t>
            </w:r>
            <w:r>
              <w:rPr>
                <w:noProof/>
              </w:rPr>
              <w:tab/>
            </w:r>
            <w:r>
              <w:rPr>
                <w:noProof/>
              </w:rPr>
              <w:fldChar w:fldCharType="begin"/>
            </w:r>
            <w:r>
              <w:rPr>
                <w:noProof/>
              </w:rPr>
              <w:instrText xml:space="preserve"> PAGEREF _Toc242219252 \h </w:instrText>
            </w:r>
            <w:r>
              <w:rPr>
                <w:noProof/>
              </w:rPr>
            </w:r>
            <w:r>
              <w:rPr>
                <w:noProof/>
              </w:rPr>
              <w:fldChar w:fldCharType="separate"/>
            </w:r>
            <w:r w:rsidR="007C558A">
              <w:rPr>
                <w:noProof/>
              </w:rPr>
              <w:t>8</w:t>
            </w:r>
            <w:r>
              <w:rPr>
                <w:noProof/>
              </w:rPr>
              <w:fldChar w:fldCharType="end"/>
            </w:r>
          </w:hyperlink>
        </w:p>
        <w:p w:rsidR="00EE4DB8" w:rsidRDefault="00EE4DB8">
          <w:pPr>
            <w:pStyle w:val="TM1"/>
            <w:tabs>
              <w:tab w:val="right" w:leader="dot" w:pos="9402"/>
            </w:tabs>
            <w:rPr>
              <w:noProof/>
            </w:rPr>
          </w:pPr>
          <w:hyperlink w:anchor="_Toc242219253" w:history="1">
            <w:r w:rsidRPr="00F34B8B">
              <w:rPr>
                <w:rStyle w:val="Lienhypertexte"/>
                <w:noProof/>
              </w:rPr>
              <w:t>6. Validation</w:t>
            </w:r>
            <w:r>
              <w:rPr>
                <w:noProof/>
              </w:rPr>
              <w:tab/>
            </w:r>
            <w:r>
              <w:rPr>
                <w:noProof/>
              </w:rPr>
              <w:fldChar w:fldCharType="begin"/>
            </w:r>
            <w:r>
              <w:rPr>
                <w:noProof/>
              </w:rPr>
              <w:instrText xml:space="preserve"> PAGEREF _Toc242219253 \h </w:instrText>
            </w:r>
            <w:r>
              <w:rPr>
                <w:noProof/>
              </w:rPr>
            </w:r>
            <w:r>
              <w:rPr>
                <w:noProof/>
              </w:rPr>
              <w:fldChar w:fldCharType="separate"/>
            </w:r>
            <w:r w:rsidR="007C558A">
              <w:rPr>
                <w:noProof/>
              </w:rPr>
              <w:t>8</w:t>
            </w:r>
            <w:r>
              <w:rPr>
                <w:noProof/>
              </w:rPr>
              <w:fldChar w:fldCharType="end"/>
            </w:r>
          </w:hyperlink>
        </w:p>
        <w:p w:rsidR="00EE4DB8" w:rsidRDefault="00EE4DB8">
          <w:pPr>
            <w:pStyle w:val="TM2"/>
            <w:tabs>
              <w:tab w:val="right" w:leader="dot" w:pos="9402"/>
            </w:tabs>
            <w:rPr>
              <w:noProof/>
            </w:rPr>
          </w:pPr>
          <w:hyperlink w:anchor="_Toc242219254" w:history="1">
            <w:r w:rsidRPr="00F34B8B">
              <w:rPr>
                <w:rStyle w:val="Lienhypertexte"/>
                <w:noProof/>
              </w:rPr>
              <w:t>6.1 Indices internes et externes</w:t>
            </w:r>
            <w:r>
              <w:rPr>
                <w:noProof/>
              </w:rPr>
              <w:tab/>
            </w:r>
            <w:r>
              <w:rPr>
                <w:noProof/>
              </w:rPr>
              <w:fldChar w:fldCharType="begin"/>
            </w:r>
            <w:r>
              <w:rPr>
                <w:noProof/>
              </w:rPr>
              <w:instrText xml:space="preserve"> PAGEREF _Toc242219254 \h </w:instrText>
            </w:r>
            <w:r>
              <w:rPr>
                <w:noProof/>
              </w:rPr>
            </w:r>
            <w:r>
              <w:rPr>
                <w:noProof/>
              </w:rPr>
              <w:fldChar w:fldCharType="separate"/>
            </w:r>
            <w:r w:rsidR="007C558A">
              <w:rPr>
                <w:noProof/>
              </w:rPr>
              <w:t>8</w:t>
            </w:r>
            <w:r>
              <w:rPr>
                <w:noProof/>
              </w:rPr>
              <w:fldChar w:fldCharType="end"/>
            </w:r>
          </w:hyperlink>
        </w:p>
        <w:p w:rsidR="00EE4DB8" w:rsidRDefault="00EE4DB8">
          <w:pPr>
            <w:pStyle w:val="TM2"/>
            <w:tabs>
              <w:tab w:val="right" w:leader="dot" w:pos="9402"/>
            </w:tabs>
            <w:rPr>
              <w:noProof/>
            </w:rPr>
          </w:pPr>
          <w:hyperlink w:anchor="_Toc242219255" w:history="1">
            <w:r w:rsidRPr="00F34B8B">
              <w:rPr>
                <w:rStyle w:val="Lienhypertexte"/>
                <w:noProof/>
              </w:rPr>
              <w:t>6.2 Stabilité</w:t>
            </w:r>
            <w:r>
              <w:rPr>
                <w:noProof/>
              </w:rPr>
              <w:tab/>
            </w:r>
            <w:r>
              <w:rPr>
                <w:noProof/>
              </w:rPr>
              <w:fldChar w:fldCharType="begin"/>
            </w:r>
            <w:r>
              <w:rPr>
                <w:noProof/>
              </w:rPr>
              <w:instrText xml:space="preserve"> PAGEREF _Toc242219255 \h </w:instrText>
            </w:r>
            <w:r>
              <w:rPr>
                <w:noProof/>
              </w:rPr>
            </w:r>
            <w:r>
              <w:rPr>
                <w:noProof/>
              </w:rPr>
              <w:fldChar w:fldCharType="separate"/>
            </w:r>
            <w:r w:rsidR="007C558A">
              <w:rPr>
                <w:noProof/>
              </w:rPr>
              <w:t>9</w:t>
            </w:r>
            <w:r>
              <w:rPr>
                <w:noProof/>
              </w:rPr>
              <w:fldChar w:fldCharType="end"/>
            </w:r>
          </w:hyperlink>
        </w:p>
        <w:p w:rsidR="00EE4DB8" w:rsidRDefault="00EE4DB8">
          <w:pPr>
            <w:pStyle w:val="TM2"/>
            <w:tabs>
              <w:tab w:val="right" w:leader="dot" w:pos="9402"/>
            </w:tabs>
            <w:rPr>
              <w:noProof/>
            </w:rPr>
          </w:pPr>
          <w:hyperlink w:anchor="_Toc242219256" w:history="1">
            <w:r w:rsidRPr="00F34B8B">
              <w:rPr>
                <w:rStyle w:val="Lienhypertexte"/>
                <w:noProof/>
              </w:rPr>
              <w:t>6.3 Sélection de la solution</w:t>
            </w:r>
            <w:r>
              <w:rPr>
                <w:noProof/>
              </w:rPr>
              <w:tab/>
            </w:r>
            <w:r>
              <w:rPr>
                <w:noProof/>
              </w:rPr>
              <w:fldChar w:fldCharType="begin"/>
            </w:r>
            <w:r>
              <w:rPr>
                <w:noProof/>
              </w:rPr>
              <w:instrText xml:space="preserve"> PAGEREF _Toc242219256 \h </w:instrText>
            </w:r>
            <w:r>
              <w:rPr>
                <w:noProof/>
              </w:rPr>
            </w:r>
            <w:r>
              <w:rPr>
                <w:noProof/>
              </w:rPr>
              <w:fldChar w:fldCharType="separate"/>
            </w:r>
            <w:r w:rsidR="007C558A">
              <w:rPr>
                <w:noProof/>
              </w:rPr>
              <w:t>9</w:t>
            </w:r>
            <w:r>
              <w:rPr>
                <w:noProof/>
              </w:rPr>
              <w:fldChar w:fldCharType="end"/>
            </w:r>
          </w:hyperlink>
        </w:p>
        <w:p w:rsidR="00EE4DB8" w:rsidRDefault="00EE4DB8">
          <w:pPr>
            <w:pStyle w:val="TM1"/>
            <w:tabs>
              <w:tab w:val="right" w:leader="dot" w:pos="9402"/>
            </w:tabs>
            <w:rPr>
              <w:noProof/>
            </w:rPr>
          </w:pPr>
          <w:hyperlink w:anchor="_Toc242219257" w:history="1">
            <w:r w:rsidRPr="00F34B8B">
              <w:rPr>
                <w:rStyle w:val="Lienhypertexte"/>
                <w:noProof/>
              </w:rPr>
              <w:t>7. Interprétation et recommandations</w:t>
            </w:r>
            <w:r>
              <w:rPr>
                <w:noProof/>
              </w:rPr>
              <w:tab/>
            </w:r>
            <w:r>
              <w:rPr>
                <w:noProof/>
              </w:rPr>
              <w:fldChar w:fldCharType="begin"/>
            </w:r>
            <w:r>
              <w:rPr>
                <w:noProof/>
              </w:rPr>
              <w:instrText xml:space="preserve"> PAGEREF _Toc242219257 \h </w:instrText>
            </w:r>
            <w:r>
              <w:rPr>
                <w:noProof/>
              </w:rPr>
            </w:r>
            <w:r>
              <w:rPr>
                <w:noProof/>
              </w:rPr>
              <w:fldChar w:fldCharType="separate"/>
            </w:r>
            <w:r w:rsidR="007C558A">
              <w:rPr>
                <w:noProof/>
              </w:rPr>
              <w:t>10</w:t>
            </w:r>
            <w:r>
              <w:rPr>
                <w:noProof/>
              </w:rPr>
              <w:fldChar w:fldCharType="end"/>
            </w:r>
          </w:hyperlink>
        </w:p>
        <w:p w:rsidR="00EE4DB8" w:rsidRDefault="00EE4DB8">
          <w:pPr>
            <w:pStyle w:val="TM1"/>
            <w:tabs>
              <w:tab w:val="right" w:leader="dot" w:pos="9402"/>
            </w:tabs>
            <w:rPr>
              <w:noProof/>
            </w:rPr>
          </w:pPr>
          <w:hyperlink w:anchor="_Toc242219258" w:history="1">
            <w:r w:rsidRPr="00F34B8B">
              <w:rPr>
                <w:rStyle w:val="Lienhypertexte"/>
                <w:noProof/>
              </w:rPr>
              <w:t>8. Extensions (bonus)</w:t>
            </w:r>
            <w:r>
              <w:rPr>
                <w:noProof/>
              </w:rPr>
              <w:tab/>
            </w:r>
            <w:r>
              <w:rPr>
                <w:noProof/>
              </w:rPr>
              <w:fldChar w:fldCharType="begin"/>
            </w:r>
            <w:r>
              <w:rPr>
                <w:noProof/>
              </w:rPr>
              <w:instrText xml:space="preserve"> PAGEREF _Toc242219258 \h </w:instrText>
            </w:r>
            <w:r>
              <w:rPr>
                <w:noProof/>
              </w:rPr>
            </w:r>
            <w:r>
              <w:rPr>
                <w:noProof/>
              </w:rPr>
              <w:fldChar w:fldCharType="separate"/>
            </w:r>
            <w:r w:rsidR="007C558A">
              <w:rPr>
                <w:noProof/>
              </w:rPr>
              <w:t>12</w:t>
            </w:r>
            <w:r>
              <w:rPr>
                <w:noProof/>
              </w:rPr>
              <w:fldChar w:fldCharType="end"/>
            </w:r>
          </w:hyperlink>
        </w:p>
        <w:p w:rsidR="00EE4DB8" w:rsidRDefault="00EE4DB8">
          <w:pPr>
            <w:pStyle w:val="TM2"/>
            <w:tabs>
              <w:tab w:val="right" w:leader="dot" w:pos="9402"/>
            </w:tabs>
            <w:rPr>
              <w:noProof/>
            </w:rPr>
          </w:pPr>
          <w:hyperlink w:anchor="_Toc242219259" w:history="1">
            <w:r w:rsidRPr="00F34B8B">
              <w:rPr>
                <w:rStyle w:val="Lienhypertexte"/>
                <w:noProof/>
              </w:rPr>
              <w:t>8.1 Détection d'anomalies</w:t>
            </w:r>
            <w:r>
              <w:rPr>
                <w:noProof/>
              </w:rPr>
              <w:tab/>
            </w:r>
            <w:r>
              <w:rPr>
                <w:noProof/>
              </w:rPr>
              <w:fldChar w:fldCharType="begin"/>
            </w:r>
            <w:r>
              <w:rPr>
                <w:noProof/>
              </w:rPr>
              <w:instrText xml:space="preserve"> PAGEREF _Toc242219259 \h </w:instrText>
            </w:r>
            <w:r>
              <w:rPr>
                <w:noProof/>
              </w:rPr>
            </w:r>
            <w:r>
              <w:rPr>
                <w:noProof/>
              </w:rPr>
              <w:fldChar w:fldCharType="separate"/>
            </w:r>
            <w:r w:rsidR="007C558A">
              <w:rPr>
                <w:noProof/>
              </w:rPr>
              <w:t>12</w:t>
            </w:r>
            <w:r>
              <w:rPr>
                <w:noProof/>
              </w:rPr>
              <w:fldChar w:fldCharType="end"/>
            </w:r>
          </w:hyperlink>
        </w:p>
        <w:p w:rsidR="00EE4DB8" w:rsidRDefault="00EE4DB8">
          <w:pPr>
            <w:pStyle w:val="TM2"/>
            <w:tabs>
              <w:tab w:val="right" w:leader="dot" w:pos="9402"/>
            </w:tabs>
            <w:rPr>
              <w:noProof/>
            </w:rPr>
          </w:pPr>
          <w:hyperlink w:anchor="_Toc242219260" w:history="1">
            <w:r w:rsidRPr="00F34B8B">
              <w:rPr>
                <w:rStyle w:val="Lienhypertexte"/>
                <w:noProof/>
              </w:rPr>
              <w:t>8.2 Sélection de caractéristiques</w:t>
            </w:r>
            <w:r>
              <w:rPr>
                <w:noProof/>
              </w:rPr>
              <w:tab/>
            </w:r>
            <w:r>
              <w:rPr>
                <w:noProof/>
              </w:rPr>
              <w:fldChar w:fldCharType="begin"/>
            </w:r>
            <w:r>
              <w:rPr>
                <w:noProof/>
              </w:rPr>
              <w:instrText xml:space="preserve"> PAGEREF _Toc242219260 \h </w:instrText>
            </w:r>
            <w:r>
              <w:rPr>
                <w:noProof/>
              </w:rPr>
            </w:r>
            <w:r>
              <w:rPr>
                <w:noProof/>
              </w:rPr>
              <w:fldChar w:fldCharType="separate"/>
            </w:r>
            <w:r w:rsidR="007C558A">
              <w:rPr>
                <w:noProof/>
              </w:rPr>
              <w:t>12</w:t>
            </w:r>
            <w:r>
              <w:rPr>
                <w:noProof/>
              </w:rPr>
              <w:fldChar w:fldCharType="end"/>
            </w:r>
          </w:hyperlink>
        </w:p>
        <w:p w:rsidR="00EE4DB8" w:rsidRDefault="00EE4DB8">
          <w:pPr>
            <w:pStyle w:val="TM2"/>
            <w:tabs>
              <w:tab w:val="right" w:leader="dot" w:pos="9402"/>
            </w:tabs>
            <w:rPr>
              <w:noProof/>
            </w:rPr>
          </w:pPr>
          <w:hyperlink w:anchor="_Toc242219261" w:history="1">
            <w:r w:rsidRPr="00F34B8B">
              <w:rPr>
                <w:rStyle w:val="Lienhypertexte"/>
                <w:noProof/>
              </w:rPr>
              <w:t>8.3 Application Streamlit</w:t>
            </w:r>
            <w:r>
              <w:rPr>
                <w:noProof/>
              </w:rPr>
              <w:tab/>
            </w:r>
            <w:r>
              <w:rPr>
                <w:noProof/>
              </w:rPr>
              <w:fldChar w:fldCharType="begin"/>
            </w:r>
            <w:r>
              <w:rPr>
                <w:noProof/>
              </w:rPr>
              <w:instrText xml:space="preserve"> PAGEREF _Toc242219261 \h </w:instrText>
            </w:r>
            <w:r>
              <w:rPr>
                <w:noProof/>
              </w:rPr>
            </w:r>
            <w:r>
              <w:rPr>
                <w:noProof/>
              </w:rPr>
              <w:fldChar w:fldCharType="separate"/>
            </w:r>
            <w:r w:rsidR="007C558A">
              <w:rPr>
                <w:noProof/>
              </w:rPr>
              <w:t>13</w:t>
            </w:r>
            <w:r>
              <w:rPr>
                <w:noProof/>
              </w:rPr>
              <w:fldChar w:fldCharType="end"/>
            </w:r>
          </w:hyperlink>
        </w:p>
        <w:p w:rsidR="00EE4DB8" w:rsidRDefault="00EE4DB8">
          <w:pPr>
            <w:pStyle w:val="TM2"/>
            <w:tabs>
              <w:tab w:val="right" w:leader="dot" w:pos="9402"/>
            </w:tabs>
            <w:rPr>
              <w:noProof/>
            </w:rPr>
          </w:pPr>
          <w:hyperlink w:anchor="_Toc242219262" w:history="1">
            <w:r w:rsidRPr="00F34B8B">
              <w:rPr>
                <w:rStyle w:val="Lienhypertexte"/>
                <w:noProof/>
              </w:rPr>
              <w:t>8.4 Second jeu : Online Retail (RFM)</w:t>
            </w:r>
            <w:r>
              <w:rPr>
                <w:noProof/>
              </w:rPr>
              <w:tab/>
            </w:r>
            <w:r>
              <w:rPr>
                <w:noProof/>
              </w:rPr>
              <w:fldChar w:fldCharType="begin"/>
            </w:r>
            <w:r>
              <w:rPr>
                <w:noProof/>
              </w:rPr>
              <w:instrText xml:space="preserve"> PAGEREF _Toc242219262 \h </w:instrText>
            </w:r>
            <w:r>
              <w:rPr>
                <w:noProof/>
              </w:rPr>
            </w:r>
            <w:r>
              <w:rPr>
                <w:noProof/>
              </w:rPr>
              <w:fldChar w:fldCharType="separate"/>
            </w:r>
            <w:r w:rsidR="007C558A">
              <w:rPr>
                <w:noProof/>
              </w:rPr>
              <w:t>13</w:t>
            </w:r>
            <w:r>
              <w:rPr>
                <w:noProof/>
              </w:rPr>
              <w:fldChar w:fldCharType="end"/>
            </w:r>
          </w:hyperlink>
        </w:p>
        <w:p w:rsidR="00EE4DB8" w:rsidRDefault="00EE4DB8">
          <w:pPr>
            <w:pStyle w:val="TM1"/>
            <w:tabs>
              <w:tab w:val="right" w:leader="dot" w:pos="9402"/>
            </w:tabs>
            <w:rPr>
              <w:noProof/>
            </w:rPr>
          </w:pPr>
          <w:hyperlink w:anchor="_Toc242219263" w:history="1">
            <w:r w:rsidRPr="00F34B8B">
              <w:rPr>
                <w:rStyle w:val="Lienhypertexte"/>
                <w:noProof/>
              </w:rPr>
              <w:t>9. Discussion et conclusion</w:t>
            </w:r>
            <w:r>
              <w:rPr>
                <w:noProof/>
              </w:rPr>
              <w:tab/>
            </w:r>
            <w:r>
              <w:rPr>
                <w:noProof/>
              </w:rPr>
              <w:fldChar w:fldCharType="begin"/>
            </w:r>
            <w:r>
              <w:rPr>
                <w:noProof/>
              </w:rPr>
              <w:instrText xml:space="preserve"> PAGEREF _Toc242219263 \h </w:instrText>
            </w:r>
            <w:r>
              <w:rPr>
                <w:noProof/>
              </w:rPr>
            </w:r>
            <w:r>
              <w:rPr>
                <w:noProof/>
              </w:rPr>
              <w:fldChar w:fldCharType="separate"/>
            </w:r>
            <w:r w:rsidR="007C558A">
              <w:rPr>
                <w:noProof/>
              </w:rPr>
              <w:t>14</w:t>
            </w:r>
            <w:r>
              <w:rPr>
                <w:noProof/>
              </w:rPr>
              <w:fldChar w:fldCharType="end"/>
            </w:r>
          </w:hyperlink>
        </w:p>
        <w:p w:rsidR="00EE4DB8" w:rsidRDefault="00EE4DB8">
          <w:pPr>
            <w:pStyle w:val="TM1"/>
            <w:tabs>
              <w:tab w:val="right" w:leader="dot" w:pos="9402"/>
            </w:tabs>
            <w:rPr>
              <w:noProof/>
            </w:rPr>
          </w:pPr>
          <w:hyperlink w:anchor="_Toc242219264" w:history="1">
            <w:r w:rsidRPr="00F34B8B">
              <w:rPr>
                <w:rStyle w:val="Lienhypertexte"/>
                <w:noProof/>
              </w:rPr>
              <w:t>Références</w:t>
            </w:r>
            <w:r>
              <w:rPr>
                <w:noProof/>
              </w:rPr>
              <w:tab/>
            </w:r>
            <w:r>
              <w:rPr>
                <w:noProof/>
              </w:rPr>
              <w:fldChar w:fldCharType="begin"/>
            </w:r>
            <w:r>
              <w:rPr>
                <w:noProof/>
              </w:rPr>
              <w:instrText xml:space="preserve"> PAGEREF _Toc242219264 \h </w:instrText>
            </w:r>
            <w:r>
              <w:rPr>
                <w:noProof/>
              </w:rPr>
            </w:r>
            <w:r>
              <w:rPr>
                <w:noProof/>
              </w:rPr>
              <w:fldChar w:fldCharType="separate"/>
            </w:r>
            <w:r w:rsidR="007C558A">
              <w:rPr>
                <w:noProof/>
              </w:rPr>
              <w:t>15</w:t>
            </w:r>
            <w:r>
              <w:rPr>
                <w:noProof/>
              </w:rPr>
              <w:fldChar w:fldCharType="end"/>
            </w:r>
          </w:hyperlink>
        </w:p>
        <w:p w:rsidR="00415B06" w:rsidRDefault="00BC59FE">
          <w:r>
            <w:fldChar w:fldCharType="end"/>
          </w:r>
        </w:p>
      </w:sdtContent>
    </w:sdt>
    <w:p w:rsidR="00415B06" w:rsidRDefault="00BC59FE">
      <w:r>
        <w:br w:type="page"/>
      </w:r>
    </w:p>
    <w:p w:rsidR="00415B06" w:rsidRDefault="00415B06">
      <w:pPr>
        <w:sectPr w:rsidR="00415B06">
          <w:pgSz w:w="11906" w:h="16838"/>
          <w:pgMar w:top="1247" w:right="1247" w:bottom="1247" w:left="1247" w:header="708" w:footer="708" w:gutter="0"/>
          <w:cols w:space="720"/>
          <w:docGrid w:linePitch="360"/>
        </w:sectPr>
      </w:pPr>
    </w:p>
    <w:p w:rsidR="00415B06" w:rsidRDefault="00BC59FE">
      <w:pPr>
        <w:pStyle w:val="Titre1"/>
      </w:pPr>
      <w:bookmarkStart w:id="0" w:name="_Toc242219240"/>
      <w:r>
        <w:lastRenderedPageBreak/>
        <w:t>1. Introduction</w:t>
      </w:r>
      <w:bookmarkEnd w:id="0"/>
    </w:p>
    <w:p w:rsidR="00415B06" w:rsidRDefault="00BC59FE">
      <w:pPr>
        <w:spacing w:after="120" w:line="288" w:lineRule="auto"/>
        <w:jc w:val="both"/>
      </w:pPr>
      <w:r>
        <w:t xml:space="preserve">Une banque souhaite mieux connaître ses clients pour cibler ses campagnes de marketing téléphonique visant la souscription d'un </w:t>
      </w:r>
      <w:r>
        <w:rPr>
          <w:b/>
          <w:bCs/>
        </w:rPr>
        <w:t>dépôt à terme</w:t>
      </w:r>
      <w:r>
        <w:t xml:space="preserve">. Aucune segmentation n'existe : il s'agit de </w:t>
      </w:r>
      <w:r>
        <w:rPr>
          <w:i/>
          <w:iCs/>
        </w:rPr>
        <w:t>découvrir</w:t>
      </w:r>
      <w:r>
        <w:t xml:space="preserve"> des groupes homogènes de clients à partir </w:t>
      </w:r>
      <w:r>
        <w:t>de variables numériques et catégorielles, puis d'en évaluer la qualité et l'utilité métier.</w:t>
      </w:r>
    </w:p>
    <w:p w:rsidR="00415B06" w:rsidRDefault="00BC59FE">
      <w:pPr>
        <w:spacing w:after="120" w:line="288" w:lineRule="auto"/>
        <w:jc w:val="both"/>
      </w:pPr>
      <w:r>
        <w:t xml:space="preserve">Le problème est non supervisé : la variable </w:t>
      </w:r>
      <w:r>
        <w:rPr>
          <w:rFonts w:ascii="Consolas" w:eastAsia="Consolas" w:hAnsi="Consolas" w:cs="Consolas"/>
          <w:sz w:val="20"/>
          <w:szCs w:val="20"/>
        </w:rPr>
        <w:t>y</w:t>
      </w:r>
      <w:r>
        <w:t xml:space="preserve"> (souscription oui/non) n'est </w:t>
      </w:r>
      <w:r>
        <w:rPr>
          <w:b/>
          <w:bCs/>
        </w:rPr>
        <w:t>jamais</w:t>
      </w:r>
      <w:r>
        <w:t xml:space="preserve"> utilisée pour l'apprentissage. Elle sert uniquement de vérité terrain pour les ind</w:t>
      </w:r>
      <w:r>
        <w:t xml:space="preserve">ices externes (ARI, NMI, V-mesure) et, </w:t>
      </w:r>
      <w:r>
        <w:rPr>
          <w:i/>
          <w:iCs/>
        </w:rPr>
        <w:t>a posteriori</w:t>
      </w:r>
      <w:r>
        <w:t>, pour mesurer le taux de souscription des segments.</w:t>
      </w:r>
    </w:p>
    <w:p w:rsidR="00415B06" w:rsidRDefault="00BC59FE">
      <w:pPr>
        <w:spacing w:after="120" w:line="288" w:lineRule="auto"/>
        <w:jc w:val="both"/>
      </w:pPr>
      <w:r>
        <w:t xml:space="preserve">Le projet mobilise les quatre chapitres du cours : préparation des données (section 2), mesures de </w:t>
      </w:r>
      <w:proofErr w:type="spellStart"/>
      <w:r>
        <w:t>dissimilarité</w:t>
      </w:r>
      <w:proofErr w:type="spellEnd"/>
      <w:r>
        <w:t xml:space="preserve"> (section 3), méthodes de </w:t>
      </w:r>
      <w:proofErr w:type="spellStart"/>
      <w:r>
        <w:t>clustering</w:t>
      </w:r>
      <w:proofErr w:type="spellEnd"/>
      <w:r>
        <w:t xml:space="preserve"> (se</w:t>
      </w:r>
      <w:r>
        <w:t xml:space="preserve">ctions 4 et 5) et validation (section 6). L'interprétation et les recommandations font l'objet de la section 7, les extensions de la section 8. Le code (7 notebooks exécutables, module de prétraitement réutilisable, application </w:t>
      </w:r>
      <w:proofErr w:type="spellStart"/>
      <w:r>
        <w:t>Streamlit</w:t>
      </w:r>
      <w:proofErr w:type="spellEnd"/>
      <w:r>
        <w:t>) est fourni avec l</w:t>
      </w:r>
      <w:r>
        <w:t>e rapport ; la graine aléatoire est fixée à 42.</w:t>
      </w:r>
    </w:p>
    <w:p w:rsidR="00415B06" w:rsidRDefault="00BC59FE">
      <w:pPr>
        <w:pStyle w:val="Titre1"/>
      </w:pPr>
      <w:bookmarkStart w:id="1" w:name="_Toc242219241"/>
      <w:r>
        <w:t>2. Données et préparation</w:t>
      </w:r>
      <w:bookmarkEnd w:id="1"/>
    </w:p>
    <w:p w:rsidR="00415B06" w:rsidRDefault="00BC59FE">
      <w:pPr>
        <w:pStyle w:val="Titre2"/>
      </w:pPr>
      <w:bookmarkStart w:id="2" w:name="_Toc242219242"/>
      <w:r>
        <w:t>2.1 Description de la matrice de données</w:t>
      </w:r>
      <w:bookmarkEnd w:id="2"/>
    </w:p>
    <w:p w:rsidR="00415B06" w:rsidRDefault="00BC59FE">
      <w:pPr>
        <w:spacing w:after="120" w:line="288" w:lineRule="auto"/>
        <w:jc w:val="both"/>
      </w:pPr>
      <w:r>
        <w:t xml:space="preserve">Le fichier </w:t>
      </w:r>
      <w:r>
        <w:rPr>
          <w:rFonts w:ascii="Consolas" w:eastAsia="Consolas" w:hAnsi="Consolas" w:cs="Consolas"/>
          <w:sz w:val="20"/>
          <w:szCs w:val="20"/>
        </w:rPr>
        <w:t>bank-additional-full.csv</w:t>
      </w:r>
      <w:r>
        <w:t xml:space="preserve"> contient </w:t>
      </w:r>
      <w:r>
        <w:rPr>
          <w:b/>
          <w:bCs/>
        </w:rPr>
        <w:t>41 188 individus × 21 variables</w:t>
      </w:r>
      <w:r>
        <w:t xml:space="preserve"> (mai 2008 – novembre 2010). On distingue :</w:t>
      </w:r>
    </w:p>
    <w:p w:rsidR="00415B06" w:rsidRDefault="00BC59FE">
      <w:pPr>
        <w:pStyle w:val="Paragraphedeliste"/>
        <w:numPr>
          <w:ilvl w:val="0"/>
          <w:numId w:val="2"/>
        </w:numPr>
        <w:spacing w:after="60" w:line="276" w:lineRule="auto"/>
      </w:pPr>
      <w:proofErr w:type="gramStart"/>
      <w:r>
        <w:rPr>
          <w:b/>
          <w:bCs/>
        </w:rPr>
        <w:t>continues</w:t>
      </w:r>
      <w:proofErr w:type="gramEnd"/>
      <w:r>
        <w:t xml:space="preserve"> : </w:t>
      </w:r>
      <w:proofErr w:type="spellStart"/>
      <w:r>
        <w:rPr>
          <w:rFonts w:ascii="Consolas" w:eastAsia="Consolas" w:hAnsi="Consolas" w:cs="Consolas"/>
          <w:sz w:val="20"/>
          <w:szCs w:val="20"/>
        </w:rPr>
        <w:t>age</w:t>
      </w:r>
      <w:proofErr w:type="spellEnd"/>
      <w:r>
        <w:t xml:space="preserve">, </w:t>
      </w:r>
      <w:r>
        <w:rPr>
          <w:rFonts w:ascii="Consolas" w:eastAsia="Consolas" w:hAnsi="Consolas" w:cs="Consolas"/>
          <w:sz w:val="20"/>
          <w:szCs w:val="20"/>
        </w:rPr>
        <w:t>duration</w:t>
      </w:r>
      <w:r>
        <w:t>, cinq indicateurs macro-économiques (</w:t>
      </w:r>
      <w:proofErr w:type="spellStart"/>
      <w:r>
        <w:rPr>
          <w:rFonts w:ascii="Consolas" w:eastAsia="Consolas" w:hAnsi="Consolas" w:cs="Consolas"/>
          <w:sz w:val="20"/>
          <w:szCs w:val="20"/>
        </w:rPr>
        <w:t>emp.var.rate</w:t>
      </w:r>
      <w:proofErr w:type="spellEnd"/>
      <w:r>
        <w:t xml:space="preserve">, </w:t>
      </w:r>
      <w:proofErr w:type="spellStart"/>
      <w:r>
        <w:rPr>
          <w:rFonts w:ascii="Consolas" w:eastAsia="Consolas" w:hAnsi="Consolas" w:cs="Consolas"/>
          <w:sz w:val="20"/>
          <w:szCs w:val="20"/>
        </w:rPr>
        <w:t>cons.price.idx</w:t>
      </w:r>
      <w:proofErr w:type="spellEnd"/>
      <w:r>
        <w:t xml:space="preserve">, </w:t>
      </w:r>
      <w:proofErr w:type="spellStart"/>
      <w:r>
        <w:rPr>
          <w:rFonts w:ascii="Consolas" w:eastAsia="Consolas" w:hAnsi="Consolas" w:cs="Consolas"/>
          <w:sz w:val="20"/>
          <w:szCs w:val="20"/>
        </w:rPr>
        <w:t>cons.conf.idx</w:t>
      </w:r>
      <w:proofErr w:type="spellEnd"/>
      <w:r>
        <w:t xml:space="preserve">, </w:t>
      </w:r>
      <w:r>
        <w:rPr>
          <w:rFonts w:ascii="Consolas" w:eastAsia="Consolas" w:hAnsi="Consolas" w:cs="Consolas"/>
          <w:sz w:val="20"/>
          <w:szCs w:val="20"/>
        </w:rPr>
        <w:t>euribor3m</w:t>
      </w:r>
      <w:r>
        <w:t xml:space="preserve">, </w:t>
      </w:r>
      <w:proofErr w:type="spellStart"/>
      <w:r>
        <w:rPr>
          <w:rFonts w:ascii="Consolas" w:eastAsia="Consolas" w:hAnsi="Consolas" w:cs="Consolas"/>
          <w:sz w:val="20"/>
          <w:szCs w:val="20"/>
        </w:rPr>
        <w:t>nr.employed</w:t>
      </w:r>
      <w:proofErr w:type="spellEnd"/>
      <w:r>
        <w:t>) ;</w:t>
      </w:r>
    </w:p>
    <w:p w:rsidR="00415B06" w:rsidRDefault="00BC59FE">
      <w:pPr>
        <w:pStyle w:val="Paragraphedeliste"/>
        <w:numPr>
          <w:ilvl w:val="0"/>
          <w:numId w:val="2"/>
        </w:numPr>
        <w:spacing w:after="60" w:line="276" w:lineRule="auto"/>
      </w:pPr>
      <w:proofErr w:type="gramStart"/>
      <w:r>
        <w:rPr>
          <w:b/>
          <w:bCs/>
        </w:rPr>
        <w:t>discrètes</w:t>
      </w:r>
      <w:proofErr w:type="gramEnd"/>
      <w:r>
        <w:t xml:space="preserve"> : </w:t>
      </w:r>
      <w:proofErr w:type="spellStart"/>
      <w:r>
        <w:rPr>
          <w:rFonts w:ascii="Consolas" w:eastAsia="Consolas" w:hAnsi="Consolas" w:cs="Consolas"/>
          <w:sz w:val="20"/>
          <w:szCs w:val="20"/>
        </w:rPr>
        <w:t>campaign</w:t>
      </w:r>
      <w:proofErr w:type="spellEnd"/>
      <w:r>
        <w:t xml:space="preserve">, </w:t>
      </w:r>
      <w:proofErr w:type="spellStart"/>
      <w:r>
        <w:rPr>
          <w:rFonts w:ascii="Consolas" w:eastAsia="Consolas" w:hAnsi="Consolas" w:cs="Consolas"/>
          <w:sz w:val="20"/>
          <w:szCs w:val="20"/>
        </w:rPr>
        <w:t>pdays</w:t>
      </w:r>
      <w:proofErr w:type="spellEnd"/>
      <w:r>
        <w:t xml:space="preserve"> (999 = jamais contacté), </w:t>
      </w:r>
      <w:proofErr w:type="spellStart"/>
      <w:r>
        <w:rPr>
          <w:rFonts w:ascii="Consolas" w:eastAsia="Consolas" w:hAnsi="Consolas" w:cs="Consolas"/>
          <w:sz w:val="20"/>
          <w:szCs w:val="20"/>
        </w:rPr>
        <w:t>previous</w:t>
      </w:r>
      <w:proofErr w:type="spellEnd"/>
      <w:r>
        <w:t xml:space="preserve"> ;</w:t>
      </w:r>
    </w:p>
    <w:p w:rsidR="00415B06" w:rsidRPr="00EE4DB8" w:rsidRDefault="00BC59FE">
      <w:pPr>
        <w:pStyle w:val="Paragraphedeliste"/>
        <w:numPr>
          <w:ilvl w:val="0"/>
          <w:numId w:val="2"/>
        </w:numPr>
        <w:spacing w:after="60" w:line="276" w:lineRule="auto"/>
        <w:rPr>
          <w:lang w:val="en-US"/>
        </w:rPr>
      </w:pPr>
      <w:proofErr w:type="spellStart"/>
      <w:r w:rsidRPr="00EE4DB8">
        <w:rPr>
          <w:b/>
          <w:bCs/>
          <w:lang w:val="en-US"/>
        </w:rPr>
        <w:t>nominales</w:t>
      </w:r>
      <w:proofErr w:type="spellEnd"/>
      <w:r w:rsidRPr="00EE4DB8">
        <w:rPr>
          <w:lang w:val="en-US"/>
        </w:rPr>
        <w:t xml:space="preserve"> : </w:t>
      </w:r>
      <w:r w:rsidRPr="00EE4DB8">
        <w:rPr>
          <w:rFonts w:ascii="Consolas" w:eastAsia="Consolas" w:hAnsi="Consolas" w:cs="Consolas"/>
          <w:sz w:val="20"/>
          <w:szCs w:val="20"/>
          <w:lang w:val="en-US"/>
        </w:rPr>
        <w:t>job</w:t>
      </w:r>
      <w:r w:rsidRPr="00EE4DB8">
        <w:rPr>
          <w:lang w:val="en-US"/>
        </w:rPr>
        <w:t xml:space="preserve"> (12 </w:t>
      </w:r>
      <w:proofErr w:type="spellStart"/>
      <w:r w:rsidRPr="00EE4DB8">
        <w:rPr>
          <w:lang w:val="en-US"/>
        </w:rPr>
        <w:t>modalités</w:t>
      </w:r>
      <w:proofErr w:type="spellEnd"/>
      <w:r w:rsidRPr="00EE4DB8">
        <w:rPr>
          <w:lang w:val="en-US"/>
        </w:rPr>
        <w:t xml:space="preserve">), </w:t>
      </w:r>
      <w:r w:rsidRPr="00EE4DB8">
        <w:rPr>
          <w:rFonts w:ascii="Consolas" w:eastAsia="Consolas" w:hAnsi="Consolas" w:cs="Consolas"/>
          <w:sz w:val="20"/>
          <w:szCs w:val="20"/>
          <w:lang w:val="en-US"/>
        </w:rPr>
        <w:t>marital</w:t>
      </w:r>
      <w:r w:rsidRPr="00EE4DB8">
        <w:rPr>
          <w:lang w:val="en-US"/>
        </w:rPr>
        <w:t xml:space="preserve">, </w:t>
      </w:r>
      <w:proofErr w:type="spellStart"/>
      <w:r w:rsidRPr="00EE4DB8">
        <w:rPr>
          <w:rFonts w:ascii="Consolas" w:eastAsia="Consolas" w:hAnsi="Consolas" w:cs="Consolas"/>
          <w:sz w:val="20"/>
          <w:szCs w:val="20"/>
          <w:lang w:val="en-US"/>
        </w:rPr>
        <w:t>poutcome</w:t>
      </w:r>
      <w:proofErr w:type="spellEnd"/>
      <w:r w:rsidRPr="00EE4DB8">
        <w:rPr>
          <w:lang w:val="en-US"/>
        </w:rPr>
        <w:t xml:space="preserve">, </w:t>
      </w:r>
      <w:r w:rsidRPr="00EE4DB8">
        <w:rPr>
          <w:rFonts w:ascii="Consolas" w:eastAsia="Consolas" w:hAnsi="Consolas" w:cs="Consolas"/>
          <w:sz w:val="20"/>
          <w:szCs w:val="20"/>
          <w:lang w:val="en-US"/>
        </w:rPr>
        <w:t>month</w:t>
      </w:r>
      <w:r w:rsidRPr="00EE4DB8">
        <w:rPr>
          <w:lang w:val="en-US"/>
        </w:rPr>
        <w:t xml:space="preserve">, </w:t>
      </w:r>
      <w:proofErr w:type="spellStart"/>
      <w:r w:rsidRPr="00EE4DB8">
        <w:rPr>
          <w:rFonts w:ascii="Consolas" w:eastAsia="Consolas" w:hAnsi="Consolas" w:cs="Consolas"/>
          <w:sz w:val="20"/>
          <w:szCs w:val="20"/>
          <w:lang w:val="en-US"/>
        </w:rPr>
        <w:t>day_of_week</w:t>
      </w:r>
      <w:proofErr w:type="spellEnd"/>
      <w:r w:rsidRPr="00EE4DB8">
        <w:rPr>
          <w:lang w:val="en-US"/>
        </w:rPr>
        <w:t xml:space="preserve"> ;</w:t>
      </w:r>
    </w:p>
    <w:p w:rsidR="00415B06" w:rsidRDefault="00BC59FE">
      <w:pPr>
        <w:pStyle w:val="Paragraphedeliste"/>
        <w:numPr>
          <w:ilvl w:val="0"/>
          <w:numId w:val="2"/>
        </w:numPr>
        <w:spacing w:after="60" w:line="276" w:lineRule="auto"/>
      </w:pPr>
      <w:proofErr w:type="gramStart"/>
      <w:r>
        <w:rPr>
          <w:b/>
          <w:bCs/>
        </w:rPr>
        <w:t>ord</w:t>
      </w:r>
      <w:r>
        <w:rPr>
          <w:b/>
          <w:bCs/>
        </w:rPr>
        <w:t>inale</w:t>
      </w:r>
      <w:proofErr w:type="gramEnd"/>
      <w:r>
        <w:t xml:space="preserve"> : </w:t>
      </w:r>
      <w:proofErr w:type="spellStart"/>
      <w:r>
        <w:rPr>
          <w:rFonts w:ascii="Consolas" w:eastAsia="Consolas" w:hAnsi="Consolas" w:cs="Consolas"/>
          <w:sz w:val="20"/>
          <w:szCs w:val="20"/>
        </w:rPr>
        <w:t>education</w:t>
      </w:r>
      <w:proofErr w:type="spellEnd"/>
      <w:r>
        <w:t xml:space="preserve"> (de </w:t>
      </w:r>
      <w:proofErr w:type="spellStart"/>
      <w:r>
        <w:rPr>
          <w:i/>
          <w:iCs/>
        </w:rPr>
        <w:t>illiterate</w:t>
      </w:r>
      <w:proofErr w:type="spellEnd"/>
      <w:r>
        <w:t xml:space="preserve"> à </w:t>
      </w:r>
      <w:proofErr w:type="spellStart"/>
      <w:r>
        <w:rPr>
          <w:i/>
          <w:iCs/>
        </w:rPr>
        <w:t>university.degree</w:t>
      </w:r>
      <w:proofErr w:type="spellEnd"/>
      <w:r>
        <w:t>) ;</w:t>
      </w:r>
    </w:p>
    <w:p w:rsidR="00415B06" w:rsidRDefault="00BC59FE">
      <w:pPr>
        <w:pStyle w:val="Paragraphedeliste"/>
        <w:numPr>
          <w:ilvl w:val="0"/>
          <w:numId w:val="2"/>
        </w:numPr>
        <w:spacing w:after="60" w:line="276" w:lineRule="auto"/>
      </w:pPr>
      <w:proofErr w:type="gramStart"/>
      <w:r>
        <w:rPr>
          <w:b/>
          <w:bCs/>
        </w:rPr>
        <w:t>binaires</w:t>
      </w:r>
      <w:proofErr w:type="gramEnd"/>
      <w:r>
        <w:t xml:space="preserve"> : </w:t>
      </w:r>
      <w:r>
        <w:rPr>
          <w:rFonts w:ascii="Consolas" w:eastAsia="Consolas" w:hAnsi="Consolas" w:cs="Consolas"/>
          <w:sz w:val="20"/>
          <w:szCs w:val="20"/>
        </w:rPr>
        <w:t>default</w:t>
      </w:r>
      <w:r>
        <w:t xml:space="preserve">, </w:t>
      </w:r>
      <w:proofErr w:type="spellStart"/>
      <w:r>
        <w:rPr>
          <w:rFonts w:ascii="Consolas" w:eastAsia="Consolas" w:hAnsi="Consolas" w:cs="Consolas"/>
          <w:sz w:val="20"/>
          <w:szCs w:val="20"/>
        </w:rPr>
        <w:t>housing</w:t>
      </w:r>
      <w:proofErr w:type="spellEnd"/>
      <w:r>
        <w:t xml:space="preserve">, </w:t>
      </w:r>
      <w:proofErr w:type="spellStart"/>
      <w:r>
        <w:rPr>
          <w:rFonts w:ascii="Consolas" w:eastAsia="Consolas" w:hAnsi="Consolas" w:cs="Consolas"/>
          <w:sz w:val="20"/>
          <w:szCs w:val="20"/>
        </w:rPr>
        <w:t>loan</w:t>
      </w:r>
      <w:proofErr w:type="spellEnd"/>
      <w:r>
        <w:t xml:space="preserve"> (avec modalité </w:t>
      </w:r>
      <w:proofErr w:type="spellStart"/>
      <w:r>
        <w:rPr>
          <w:i/>
          <w:iCs/>
        </w:rPr>
        <w:t>unknown</w:t>
      </w:r>
      <w:proofErr w:type="spellEnd"/>
      <w:r>
        <w:t xml:space="preserve">), </w:t>
      </w:r>
      <w:r>
        <w:rPr>
          <w:rFonts w:ascii="Consolas" w:eastAsia="Consolas" w:hAnsi="Consolas" w:cs="Consolas"/>
          <w:sz w:val="20"/>
          <w:szCs w:val="20"/>
        </w:rPr>
        <w:t>contact</w:t>
      </w:r>
      <w:r>
        <w:t xml:space="preserve"> ; cible </w:t>
      </w:r>
      <w:r>
        <w:rPr>
          <w:rFonts w:ascii="Consolas" w:eastAsia="Consolas" w:hAnsi="Consolas" w:cs="Consolas"/>
          <w:sz w:val="20"/>
          <w:szCs w:val="20"/>
        </w:rPr>
        <w:t>y</w:t>
      </w:r>
      <w:r>
        <w:t xml:space="preserve"> (11,3 % de « </w:t>
      </w:r>
      <w:proofErr w:type="spellStart"/>
      <w:r>
        <w:t>yes</w:t>
      </w:r>
      <w:proofErr w:type="spellEnd"/>
      <w:r>
        <w:t xml:space="preserve"> »).</w:t>
      </w:r>
    </w:p>
    <w:p w:rsidR="00415B06" w:rsidRDefault="00BC59FE">
      <w:pPr>
        <w:pStyle w:val="Titre2"/>
      </w:pPr>
      <w:bookmarkStart w:id="3" w:name="_Toc242219243"/>
      <w:r>
        <w:t>2.2 Nettoyage</w:t>
      </w:r>
      <w:bookmarkEnd w:id="3"/>
    </w:p>
    <w:p w:rsidR="00415B06" w:rsidRDefault="00BC59FE">
      <w:pPr>
        <w:spacing w:after="120" w:line="288" w:lineRule="auto"/>
        <w:jc w:val="both"/>
      </w:pPr>
      <w:r>
        <w:t>Le tableau 1 résume les décisions. Il n'y a pas de valeur manquante au sens strict : les</w:t>
      </w:r>
      <w:r>
        <w:t xml:space="preserve"> manquants sont codés </w:t>
      </w:r>
      <w:proofErr w:type="spellStart"/>
      <w:r>
        <w:rPr>
          <w:i/>
          <w:iCs/>
        </w:rPr>
        <w:t>unknown</w:t>
      </w:r>
      <w:proofErr w:type="spellEnd"/>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4"/>
        <w:gridCol w:w="3204"/>
        <w:gridCol w:w="3004"/>
      </w:tblGrid>
      <w:tr w:rsidR="00415B06">
        <w:tblPrEx>
          <w:tblCellMar>
            <w:top w:w="0" w:type="dxa"/>
            <w:bottom w:w="0" w:type="dxa"/>
          </w:tblCellMar>
        </w:tblPrEx>
        <w:trPr>
          <w:tblHeader/>
        </w:trPr>
        <w:tc>
          <w:tcPr>
            <w:tcW w:w="320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r>
              <w:rPr>
                <w:b/>
                <w:bCs/>
                <w:color w:val="FFFFFF"/>
                <w:sz w:val="19"/>
                <w:szCs w:val="19"/>
              </w:rPr>
              <w:t>Problème</w:t>
            </w:r>
          </w:p>
        </w:tc>
        <w:tc>
          <w:tcPr>
            <w:tcW w:w="320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r>
              <w:rPr>
                <w:b/>
                <w:bCs/>
                <w:color w:val="FFFFFF"/>
                <w:sz w:val="19"/>
                <w:szCs w:val="19"/>
              </w:rPr>
              <w:t>Décision</w:t>
            </w:r>
          </w:p>
        </w:tc>
        <w:tc>
          <w:tcPr>
            <w:tcW w:w="300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r>
              <w:rPr>
                <w:b/>
                <w:bCs/>
                <w:color w:val="FFFFFF"/>
                <w:sz w:val="19"/>
                <w:szCs w:val="19"/>
              </w:rPr>
              <w:t>Justification</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12 doublons exacts</w:t>
            </w:r>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suppression (41 176 clients)</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aucune information ajoutée</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rFonts w:ascii="Consolas" w:eastAsia="Consolas" w:hAnsi="Consolas" w:cs="Consolas"/>
                <w:color w:val="1A1F2B"/>
                <w:sz w:val="19"/>
                <w:szCs w:val="19"/>
              </w:rPr>
              <w:t>job</w:t>
            </w:r>
            <w:r>
              <w:rPr>
                <w:color w:val="1A1F2B"/>
                <w:sz w:val="19"/>
                <w:szCs w:val="19"/>
              </w:rPr>
              <w:t xml:space="preserve"> (330), </w:t>
            </w:r>
            <w:r>
              <w:rPr>
                <w:rFonts w:ascii="Consolas" w:eastAsia="Consolas" w:hAnsi="Consolas" w:cs="Consolas"/>
                <w:color w:val="1A1F2B"/>
                <w:sz w:val="19"/>
                <w:szCs w:val="19"/>
              </w:rPr>
              <w:t>marital</w:t>
            </w:r>
            <w:r>
              <w:rPr>
                <w:color w:val="1A1F2B"/>
                <w:sz w:val="19"/>
                <w:szCs w:val="19"/>
              </w:rPr>
              <w:t xml:space="preserve"> (80) </w:t>
            </w:r>
            <w:proofErr w:type="spellStart"/>
            <w:r>
              <w:rPr>
                <w:color w:val="1A1F2B"/>
                <w:sz w:val="19"/>
                <w:szCs w:val="19"/>
              </w:rPr>
              <w:t>unknown</w:t>
            </w:r>
            <w:proofErr w:type="spellEnd"/>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imputation par le mode</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&lt; 1 % des lignes</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rFonts w:ascii="Consolas" w:eastAsia="Consolas" w:hAnsi="Consolas" w:cs="Consolas"/>
                <w:color w:val="1A1F2B"/>
                <w:sz w:val="19"/>
                <w:szCs w:val="19"/>
              </w:rPr>
              <w:t>education</w:t>
            </w:r>
            <w:proofErr w:type="spellEnd"/>
            <w:r>
              <w:rPr>
                <w:color w:val="1A1F2B"/>
                <w:sz w:val="19"/>
                <w:szCs w:val="19"/>
              </w:rPr>
              <w:t xml:space="preserve"> (1 731 </w:t>
            </w:r>
            <w:proofErr w:type="spellStart"/>
            <w:r>
              <w:rPr>
                <w:color w:val="1A1F2B"/>
                <w:sz w:val="19"/>
                <w:szCs w:val="19"/>
              </w:rPr>
              <w:t>unknown</w:t>
            </w:r>
            <w:proofErr w:type="spellEnd"/>
            <w:r>
              <w:rPr>
                <w:color w:val="1A1F2B"/>
                <w:sz w:val="19"/>
                <w:szCs w:val="19"/>
              </w:rPr>
              <w:t>)</w:t>
            </w:r>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mode au sein du métier</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4,2 % ; l'éducation dépend du métier</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rFonts w:ascii="Consolas" w:eastAsia="Consolas" w:hAnsi="Consolas" w:cs="Consolas"/>
                <w:color w:val="1A1F2B"/>
                <w:sz w:val="19"/>
                <w:szCs w:val="19"/>
              </w:rPr>
              <w:t>housing</w:t>
            </w:r>
            <w:proofErr w:type="spellEnd"/>
            <w:r>
              <w:rPr>
                <w:color w:val="1A1F2B"/>
                <w:sz w:val="19"/>
                <w:szCs w:val="19"/>
              </w:rPr>
              <w:t>/</w:t>
            </w:r>
            <w:proofErr w:type="spellStart"/>
            <w:r>
              <w:rPr>
                <w:rFonts w:ascii="Consolas" w:eastAsia="Consolas" w:hAnsi="Consolas" w:cs="Consolas"/>
                <w:color w:val="1A1F2B"/>
                <w:sz w:val="19"/>
                <w:szCs w:val="19"/>
              </w:rPr>
              <w:t>loan</w:t>
            </w:r>
            <w:proofErr w:type="spellEnd"/>
            <w:r>
              <w:rPr>
                <w:color w:val="1A1F2B"/>
                <w:sz w:val="19"/>
                <w:szCs w:val="19"/>
              </w:rPr>
              <w:t xml:space="preserve"> (990, mêmes lignes)</w:t>
            </w:r>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imputation par le mode</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2,4 %</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rFonts w:ascii="Consolas" w:eastAsia="Consolas" w:hAnsi="Consolas" w:cs="Consolas"/>
                <w:color w:val="1A1F2B"/>
                <w:sz w:val="19"/>
                <w:szCs w:val="19"/>
              </w:rPr>
              <w:t>default</w:t>
            </w:r>
            <w:r>
              <w:rPr>
                <w:color w:val="1A1F2B"/>
                <w:sz w:val="19"/>
                <w:szCs w:val="19"/>
              </w:rPr>
              <w:t xml:space="preserve"> : 21 % </w:t>
            </w:r>
            <w:proofErr w:type="spellStart"/>
            <w:r>
              <w:rPr>
                <w:color w:val="1A1F2B"/>
                <w:sz w:val="19"/>
                <w:szCs w:val="19"/>
              </w:rPr>
              <w:t>unknown</w:t>
            </w:r>
            <w:proofErr w:type="spellEnd"/>
            <w:r>
              <w:rPr>
                <w:color w:val="1A1F2B"/>
                <w:sz w:val="19"/>
                <w:szCs w:val="19"/>
              </w:rPr>
              <w:t xml:space="preserve">, 3 « </w:t>
            </w:r>
            <w:proofErr w:type="spellStart"/>
            <w:r>
              <w:rPr>
                <w:color w:val="1A1F2B"/>
                <w:sz w:val="19"/>
                <w:szCs w:val="19"/>
              </w:rPr>
              <w:t>yes</w:t>
            </w:r>
            <w:proofErr w:type="spellEnd"/>
            <w:r>
              <w:rPr>
                <w:color w:val="1A1F2B"/>
                <w:sz w:val="19"/>
                <w:szCs w:val="19"/>
              </w:rPr>
              <w:t xml:space="preserve"> »</w:t>
            </w:r>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 xml:space="preserve">binaire </w:t>
            </w:r>
            <w:proofErr w:type="spellStart"/>
            <w:r>
              <w:rPr>
                <w:rFonts w:ascii="Consolas" w:eastAsia="Consolas" w:hAnsi="Consolas" w:cs="Consolas"/>
                <w:color w:val="1A1F2B"/>
                <w:sz w:val="19"/>
                <w:szCs w:val="19"/>
              </w:rPr>
              <w:t>default_flag</w:t>
            </w:r>
            <w:proofErr w:type="spellEnd"/>
            <w:r>
              <w:rPr>
                <w:color w:val="1A1F2B"/>
                <w:sz w:val="19"/>
                <w:szCs w:val="19"/>
              </w:rPr>
              <w:t xml:space="preserve"> = « non déclaré sans défaut »</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color w:val="1A1F2B"/>
                <w:sz w:val="19"/>
                <w:szCs w:val="19"/>
              </w:rPr>
              <w:t>unknown</w:t>
            </w:r>
            <w:proofErr w:type="spellEnd"/>
            <w:r>
              <w:rPr>
                <w:color w:val="1A1F2B"/>
                <w:sz w:val="19"/>
                <w:szCs w:val="19"/>
              </w:rPr>
              <w:t xml:space="preserve"> est informatif</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rFonts w:ascii="Consolas" w:eastAsia="Consolas" w:hAnsi="Consolas" w:cs="Consolas"/>
                <w:color w:val="1A1F2B"/>
                <w:sz w:val="19"/>
                <w:szCs w:val="19"/>
              </w:rPr>
              <w:t>campaign</w:t>
            </w:r>
            <w:proofErr w:type="spellEnd"/>
            <w:r>
              <w:rPr>
                <w:color w:val="1A1F2B"/>
                <w:sz w:val="19"/>
                <w:szCs w:val="19"/>
              </w:rPr>
              <w:t xml:space="preserve"> (max 56, 5,8 % aberrants IQR)</w:t>
            </w:r>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écrêtage au 99</w:t>
            </w:r>
            <w:r>
              <w:rPr>
                <w:color w:val="1A1F2B"/>
                <w:sz w:val="19"/>
                <w:szCs w:val="19"/>
              </w:rPr>
              <w:t>ᵉ</w:t>
            </w:r>
            <w:r>
              <w:rPr>
                <w:color w:val="1A1F2B"/>
                <w:sz w:val="19"/>
                <w:szCs w:val="19"/>
              </w:rPr>
              <w:t xml:space="preserve"> centile (14) puis log(1+x)</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limite l'influence de quelques clients</w:t>
            </w:r>
          </w:p>
        </w:tc>
      </w:tr>
      <w:tr w:rsidR="00415B06">
        <w:tblPrEx>
          <w:tblCellMar>
            <w:top w:w="0" w:type="dxa"/>
            <w:bottom w:w="0" w:type="dxa"/>
          </w:tblCellMar>
        </w:tblPrEx>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rFonts w:ascii="Consolas" w:eastAsia="Consolas" w:hAnsi="Consolas" w:cs="Consolas"/>
                <w:color w:val="1A1F2B"/>
                <w:sz w:val="19"/>
                <w:szCs w:val="19"/>
              </w:rPr>
              <w:lastRenderedPageBreak/>
              <w:t>age</w:t>
            </w:r>
            <w:proofErr w:type="spellEnd"/>
            <w:r>
              <w:rPr>
                <w:color w:val="1A1F2B"/>
                <w:sz w:val="19"/>
                <w:szCs w:val="19"/>
              </w:rPr>
              <w:t xml:space="preserve"> &gt; 69 ans (1,1 % aberrants IQR)</w:t>
            </w:r>
          </w:p>
        </w:tc>
        <w:tc>
          <w:tcPr>
            <w:tcW w:w="3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conservés</w:t>
            </w:r>
          </w:p>
        </w:tc>
        <w:tc>
          <w:tcPr>
            <w:tcW w:w="30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retraités réels, segment pertinent</w:t>
            </w:r>
          </w:p>
        </w:tc>
      </w:tr>
    </w:tbl>
    <w:p w:rsidR="00415B06" w:rsidRDefault="00BC59FE">
      <w:pPr>
        <w:spacing w:before="60" w:after="200"/>
        <w:jc w:val="center"/>
      </w:pPr>
      <w:r>
        <w:rPr>
          <w:b/>
          <w:bCs/>
          <w:color w:val="5F6B7A"/>
          <w:sz w:val="19"/>
          <w:szCs w:val="19"/>
        </w:rPr>
        <w:t xml:space="preserve">Tableau 1 – </w:t>
      </w:r>
      <w:r>
        <w:rPr>
          <w:color w:val="5F6B7A"/>
          <w:sz w:val="19"/>
          <w:szCs w:val="19"/>
        </w:rPr>
        <w:t>Décisions de nettoyage.</w:t>
      </w:r>
    </w:p>
    <w:p w:rsidR="00415B06" w:rsidRDefault="00BC59FE">
      <w:pPr>
        <w:pStyle w:val="Titre2"/>
      </w:pPr>
      <w:bookmarkStart w:id="4" w:name="_Toc242219244"/>
      <w:r>
        <w:t xml:space="preserve">2.3 Analyse exploratoire </w:t>
      </w:r>
      <w:r>
        <w:t>et choix des variables</w:t>
      </w:r>
      <w:bookmarkEnd w:id="4"/>
    </w:p>
    <w:p w:rsidR="00415B06" w:rsidRDefault="00BC59FE">
      <w:pPr>
        <w:keepNext/>
        <w:spacing w:before="120" w:after="60"/>
        <w:jc w:val="center"/>
      </w:pPr>
      <w:r>
        <w:rPr>
          <w:noProof/>
        </w:rPr>
        <w:drawing>
          <wp:inline distT="0" distB="0" distL="0" distR="0">
            <wp:extent cx="3581400" cy="3171825"/>
            <wp:effectExtent l="0" t="0" r="0" b="0"/>
            <wp:docPr id="1" name="j1_heatmap_corr.png" descr="Corrélations de Pearson : les indicateurs macro-économiques sont quasi colinéaires." title="Corrélations de Pearson : les indicateurs macro-économiques sont quasi coliné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81400" cy="3171825"/>
                    </a:xfrm>
                    <a:prstGeom prst="rect">
                      <a:avLst/>
                    </a:prstGeom>
                  </pic:spPr>
                </pic:pic>
              </a:graphicData>
            </a:graphic>
          </wp:inline>
        </w:drawing>
      </w:r>
    </w:p>
    <w:p w:rsidR="00415B06" w:rsidRDefault="00BC59FE">
      <w:pPr>
        <w:spacing w:after="200"/>
        <w:jc w:val="center"/>
      </w:pPr>
      <w:r>
        <w:rPr>
          <w:b/>
          <w:bCs/>
          <w:color w:val="5F6B7A"/>
          <w:sz w:val="19"/>
          <w:szCs w:val="19"/>
        </w:rPr>
        <w:t xml:space="preserve">Figure 1 – </w:t>
      </w:r>
      <w:r>
        <w:rPr>
          <w:color w:val="5F6B7A"/>
          <w:sz w:val="19"/>
          <w:szCs w:val="19"/>
        </w:rPr>
        <w:t>Corrélations de Pearson : les indicateurs macro-économiques sont quasi colinéaires.</w:t>
      </w:r>
    </w:p>
    <w:p w:rsidR="00415B06" w:rsidRDefault="00BC59FE">
      <w:pPr>
        <w:spacing w:after="120" w:line="288" w:lineRule="auto"/>
        <w:jc w:val="both"/>
      </w:pPr>
      <w:r>
        <w:t>L'EDA (histogrammes, diagrammes en barres, nuages de points, figure 1) conduit à quatre décisions structurantes :</w:t>
      </w:r>
    </w:p>
    <w:p w:rsidR="00415B06" w:rsidRDefault="00BC59FE">
      <w:pPr>
        <w:pStyle w:val="Paragraphedeliste"/>
        <w:numPr>
          <w:ilvl w:val="0"/>
          <w:numId w:val="3"/>
        </w:numPr>
        <w:spacing w:after="60" w:line="276" w:lineRule="auto"/>
      </w:pPr>
      <w:r>
        <w:rPr>
          <w:b/>
          <w:bCs/>
        </w:rPr>
        <w:t>`duration` est exclue</w:t>
      </w:r>
      <w:r>
        <w:t xml:space="preserve"> : la durée du dernier appel n'est connue qu'</w:t>
      </w:r>
      <w:r>
        <w:rPr>
          <w:i/>
          <w:iCs/>
        </w:rPr>
        <w:t>après</w:t>
      </w:r>
      <w:r>
        <w:t xml:space="preserve"> l'appel ; l'utiliser pour segmenter des clients avant une campagne serait une fuite d'information.</w:t>
      </w:r>
    </w:p>
    <w:p w:rsidR="00415B06" w:rsidRDefault="00BC59FE">
      <w:pPr>
        <w:pStyle w:val="Paragraphedeliste"/>
        <w:numPr>
          <w:ilvl w:val="0"/>
          <w:numId w:val="3"/>
        </w:numPr>
        <w:spacing w:after="60" w:line="276" w:lineRule="auto"/>
      </w:pPr>
      <w:proofErr w:type="spellStart"/>
      <w:proofErr w:type="gramStart"/>
      <w:r>
        <w:rPr>
          <w:rFonts w:ascii="Consolas" w:eastAsia="Consolas" w:hAnsi="Consolas" w:cs="Consolas"/>
          <w:sz w:val="20"/>
          <w:szCs w:val="20"/>
        </w:rPr>
        <w:t>emp.var.rate</w:t>
      </w:r>
      <w:proofErr w:type="spellEnd"/>
      <w:proofErr w:type="gramEnd"/>
      <w:r>
        <w:t xml:space="preserve">, </w:t>
      </w:r>
      <w:r>
        <w:rPr>
          <w:rFonts w:ascii="Consolas" w:eastAsia="Consolas" w:hAnsi="Consolas" w:cs="Consolas"/>
          <w:sz w:val="20"/>
          <w:szCs w:val="20"/>
        </w:rPr>
        <w:t>euribor3m</w:t>
      </w:r>
      <w:r>
        <w:t xml:space="preserve"> et </w:t>
      </w:r>
      <w:proofErr w:type="spellStart"/>
      <w:r>
        <w:rPr>
          <w:rFonts w:ascii="Consolas" w:eastAsia="Consolas" w:hAnsi="Consolas" w:cs="Consolas"/>
          <w:sz w:val="20"/>
          <w:szCs w:val="20"/>
        </w:rPr>
        <w:t>nr.employed</w:t>
      </w:r>
      <w:proofErr w:type="spellEnd"/>
      <w:r>
        <w:t xml:space="preserve"> sont corrélés à 0,91–0,97 et </w:t>
      </w:r>
      <w:proofErr w:type="spellStart"/>
      <w:r>
        <w:rPr>
          <w:rFonts w:ascii="Consolas" w:eastAsia="Consolas" w:hAnsi="Consolas" w:cs="Consolas"/>
          <w:sz w:val="20"/>
          <w:szCs w:val="20"/>
        </w:rPr>
        <w:t>cons.price.idx</w:t>
      </w:r>
      <w:proofErr w:type="spellEnd"/>
      <w:r>
        <w:t xml:space="preserve"> à environ 0,7. On garde </w:t>
      </w:r>
      <w:r>
        <w:rPr>
          <w:rFonts w:ascii="Consolas" w:eastAsia="Consolas" w:hAnsi="Consolas" w:cs="Consolas"/>
          <w:sz w:val="20"/>
          <w:szCs w:val="20"/>
        </w:rPr>
        <w:t>euribor3m</w:t>
      </w:r>
      <w:r>
        <w:t xml:space="preserve"> (cycle des taux) et </w:t>
      </w:r>
      <w:proofErr w:type="spellStart"/>
      <w:r>
        <w:rPr>
          <w:rFonts w:ascii="Consolas" w:eastAsia="Consolas" w:hAnsi="Consolas" w:cs="Consolas"/>
          <w:sz w:val="20"/>
          <w:szCs w:val="20"/>
        </w:rPr>
        <w:t>cons.conf.idx</w:t>
      </w:r>
      <w:proofErr w:type="spellEnd"/>
      <w:r>
        <w:t xml:space="preserve"> (confiance des ménages, peu corrélée) pour ne pas compter quatre fois la même information.</w:t>
      </w:r>
    </w:p>
    <w:p w:rsidR="00415B06" w:rsidRDefault="00BC59FE">
      <w:pPr>
        <w:pStyle w:val="Paragraphedeliste"/>
        <w:numPr>
          <w:ilvl w:val="0"/>
          <w:numId w:val="3"/>
        </w:numPr>
        <w:spacing w:after="60" w:line="276" w:lineRule="auto"/>
      </w:pPr>
      <w:proofErr w:type="spellStart"/>
      <w:proofErr w:type="gramStart"/>
      <w:r>
        <w:rPr>
          <w:rFonts w:ascii="Consolas" w:eastAsia="Consolas" w:hAnsi="Consolas" w:cs="Consolas"/>
          <w:sz w:val="20"/>
          <w:szCs w:val="20"/>
        </w:rPr>
        <w:t>month</w:t>
      </w:r>
      <w:proofErr w:type="spellEnd"/>
      <w:proofErr w:type="gramEnd"/>
      <w:r>
        <w:t xml:space="preserve"> et </w:t>
      </w:r>
      <w:proofErr w:type="spellStart"/>
      <w:r>
        <w:rPr>
          <w:rFonts w:ascii="Consolas" w:eastAsia="Consolas" w:hAnsi="Consolas" w:cs="Consolas"/>
          <w:sz w:val="20"/>
          <w:szCs w:val="20"/>
        </w:rPr>
        <w:t>day_of_week</w:t>
      </w:r>
      <w:proofErr w:type="spellEnd"/>
      <w:r>
        <w:t xml:space="preserve"> décrivent le calendrier d'appel, pas le client : exclues.</w:t>
      </w:r>
    </w:p>
    <w:p w:rsidR="00415B06" w:rsidRDefault="00BC59FE">
      <w:pPr>
        <w:pStyle w:val="Paragraphedeliste"/>
        <w:numPr>
          <w:ilvl w:val="0"/>
          <w:numId w:val="3"/>
        </w:numPr>
        <w:spacing w:after="60" w:line="276" w:lineRule="auto"/>
      </w:pPr>
      <w:proofErr w:type="spellStart"/>
      <w:proofErr w:type="gramStart"/>
      <w:r>
        <w:rPr>
          <w:rFonts w:ascii="Consolas" w:eastAsia="Consolas" w:hAnsi="Consolas" w:cs="Consolas"/>
          <w:sz w:val="20"/>
          <w:szCs w:val="20"/>
        </w:rPr>
        <w:t>pdays</w:t>
      </w:r>
      <w:proofErr w:type="spellEnd"/>
      <w:proofErr w:type="gramEnd"/>
      <w:r>
        <w:t xml:space="preserve"> vaut 999 da</w:t>
      </w:r>
      <w:r>
        <w:t xml:space="preserve">ns 96 % des cas et duplique </w:t>
      </w:r>
      <w:proofErr w:type="spellStart"/>
      <w:r>
        <w:rPr>
          <w:rFonts w:ascii="Consolas" w:eastAsia="Consolas" w:hAnsi="Consolas" w:cs="Consolas"/>
          <w:sz w:val="20"/>
          <w:szCs w:val="20"/>
        </w:rPr>
        <w:t>previous</w:t>
      </w:r>
      <w:proofErr w:type="spellEnd"/>
      <w:r>
        <w:t>/</w:t>
      </w:r>
      <w:proofErr w:type="spellStart"/>
      <w:r>
        <w:rPr>
          <w:rFonts w:ascii="Consolas" w:eastAsia="Consolas" w:hAnsi="Consolas" w:cs="Consolas"/>
          <w:sz w:val="20"/>
          <w:szCs w:val="20"/>
        </w:rPr>
        <w:t>poutcome</w:t>
      </w:r>
      <w:proofErr w:type="spellEnd"/>
      <w:r>
        <w:t xml:space="preserve"> : exclue.</w:t>
      </w:r>
    </w:p>
    <w:p w:rsidR="00415B06" w:rsidRDefault="00BC59FE">
      <w:pPr>
        <w:spacing w:before="120" w:after="120" w:line="288" w:lineRule="auto"/>
        <w:jc w:val="both"/>
      </w:pPr>
      <w:r>
        <w:t xml:space="preserve">On retient </w:t>
      </w:r>
      <w:r>
        <w:rPr>
          <w:b/>
          <w:bCs/>
        </w:rPr>
        <w:t>13 variables</w:t>
      </w:r>
      <w:r>
        <w:t xml:space="preserve"> : 6 numériques/ordinales (</w:t>
      </w:r>
      <w:proofErr w:type="spellStart"/>
      <w:r>
        <w:rPr>
          <w:rFonts w:ascii="Consolas" w:eastAsia="Consolas" w:hAnsi="Consolas" w:cs="Consolas"/>
          <w:sz w:val="20"/>
          <w:szCs w:val="20"/>
        </w:rPr>
        <w:t>age</w:t>
      </w:r>
      <w:proofErr w:type="spellEnd"/>
      <w:r>
        <w:t xml:space="preserve">, </w:t>
      </w:r>
      <w:proofErr w:type="spellStart"/>
      <w:r>
        <w:rPr>
          <w:rFonts w:ascii="Consolas" w:eastAsia="Consolas" w:hAnsi="Consolas" w:cs="Consolas"/>
          <w:sz w:val="20"/>
          <w:szCs w:val="20"/>
        </w:rPr>
        <w:t>campaign_log</w:t>
      </w:r>
      <w:proofErr w:type="spellEnd"/>
      <w:r>
        <w:t xml:space="preserve">, </w:t>
      </w:r>
      <w:proofErr w:type="spellStart"/>
      <w:r>
        <w:rPr>
          <w:rFonts w:ascii="Consolas" w:eastAsia="Consolas" w:hAnsi="Consolas" w:cs="Consolas"/>
          <w:sz w:val="20"/>
          <w:szCs w:val="20"/>
        </w:rPr>
        <w:t>previous</w:t>
      </w:r>
      <w:proofErr w:type="spellEnd"/>
      <w:r>
        <w:t xml:space="preserve">, </w:t>
      </w:r>
      <w:r>
        <w:rPr>
          <w:rFonts w:ascii="Consolas" w:eastAsia="Consolas" w:hAnsi="Consolas" w:cs="Consolas"/>
          <w:sz w:val="20"/>
          <w:szCs w:val="20"/>
        </w:rPr>
        <w:t>euribor3m</w:t>
      </w:r>
      <w:r>
        <w:t xml:space="preserve">, </w:t>
      </w:r>
      <w:proofErr w:type="spellStart"/>
      <w:r>
        <w:rPr>
          <w:rFonts w:ascii="Consolas" w:eastAsia="Consolas" w:hAnsi="Consolas" w:cs="Consolas"/>
          <w:sz w:val="20"/>
          <w:szCs w:val="20"/>
        </w:rPr>
        <w:t>cons.conf.idx</w:t>
      </w:r>
      <w:proofErr w:type="spellEnd"/>
      <w:r>
        <w:t xml:space="preserve">, </w:t>
      </w:r>
      <w:proofErr w:type="spellStart"/>
      <w:r>
        <w:rPr>
          <w:rFonts w:ascii="Consolas" w:eastAsia="Consolas" w:hAnsi="Consolas" w:cs="Consolas"/>
          <w:sz w:val="20"/>
          <w:szCs w:val="20"/>
        </w:rPr>
        <w:t>education_level</w:t>
      </w:r>
      <w:proofErr w:type="spellEnd"/>
      <w:r>
        <w:t>), 4 binaires (</w:t>
      </w:r>
      <w:proofErr w:type="spellStart"/>
      <w:r>
        <w:rPr>
          <w:rFonts w:ascii="Consolas" w:eastAsia="Consolas" w:hAnsi="Consolas" w:cs="Consolas"/>
          <w:sz w:val="20"/>
          <w:szCs w:val="20"/>
        </w:rPr>
        <w:t>housing</w:t>
      </w:r>
      <w:proofErr w:type="spellEnd"/>
      <w:r>
        <w:t xml:space="preserve">, </w:t>
      </w:r>
      <w:proofErr w:type="spellStart"/>
      <w:r>
        <w:rPr>
          <w:rFonts w:ascii="Consolas" w:eastAsia="Consolas" w:hAnsi="Consolas" w:cs="Consolas"/>
          <w:sz w:val="20"/>
          <w:szCs w:val="20"/>
        </w:rPr>
        <w:t>loan</w:t>
      </w:r>
      <w:proofErr w:type="spellEnd"/>
      <w:r>
        <w:t xml:space="preserve">, </w:t>
      </w:r>
      <w:proofErr w:type="spellStart"/>
      <w:r>
        <w:rPr>
          <w:rFonts w:ascii="Consolas" w:eastAsia="Consolas" w:hAnsi="Consolas" w:cs="Consolas"/>
          <w:sz w:val="20"/>
          <w:szCs w:val="20"/>
        </w:rPr>
        <w:t>default_flag</w:t>
      </w:r>
      <w:proofErr w:type="spellEnd"/>
      <w:r>
        <w:t xml:space="preserve">, </w:t>
      </w:r>
      <w:proofErr w:type="spellStart"/>
      <w:r>
        <w:rPr>
          <w:rFonts w:ascii="Consolas" w:eastAsia="Consolas" w:hAnsi="Consolas" w:cs="Consolas"/>
          <w:sz w:val="20"/>
          <w:szCs w:val="20"/>
        </w:rPr>
        <w:t>contact_cellular</w:t>
      </w:r>
      <w:proofErr w:type="spellEnd"/>
      <w:r>
        <w:t>) et 3 nominales (</w:t>
      </w:r>
      <w:r>
        <w:rPr>
          <w:rFonts w:ascii="Consolas" w:eastAsia="Consolas" w:hAnsi="Consolas" w:cs="Consolas"/>
          <w:sz w:val="20"/>
          <w:szCs w:val="20"/>
        </w:rPr>
        <w:t>jo</w:t>
      </w:r>
      <w:r>
        <w:rPr>
          <w:rFonts w:ascii="Consolas" w:eastAsia="Consolas" w:hAnsi="Consolas" w:cs="Consolas"/>
          <w:sz w:val="20"/>
          <w:szCs w:val="20"/>
        </w:rPr>
        <w:t>b</w:t>
      </w:r>
      <w:r>
        <w:t xml:space="preserve">, </w:t>
      </w:r>
      <w:r>
        <w:rPr>
          <w:rFonts w:ascii="Consolas" w:eastAsia="Consolas" w:hAnsi="Consolas" w:cs="Consolas"/>
          <w:sz w:val="20"/>
          <w:szCs w:val="20"/>
        </w:rPr>
        <w:t>marital</w:t>
      </w:r>
      <w:r>
        <w:t xml:space="preserve">, </w:t>
      </w:r>
      <w:proofErr w:type="spellStart"/>
      <w:r>
        <w:rPr>
          <w:rFonts w:ascii="Consolas" w:eastAsia="Consolas" w:hAnsi="Consolas" w:cs="Consolas"/>
          <w:sz w:val="20"/>
          <w:szCs w:val="20"/>
        </w:rPr>
        <w:t>poutcome</w:t>
      </w:r>
      <w:proofErr w:type="spellEnd"/>
      <w:r>
        <w:t>).</w:t>
      </w:r>
    </w:p>
    <w:p w:rsidR="00415B06" w:rsidRDefault="00BC59FE">
      <w:pPr>
        <w:pStyle w:val="Titre2"/>
      </w:pPr>
      <w:bookmarkStart w:id="5" w:name="_Toc242219245"/>
      <w:r>
        <w:t>2.4 Deux représentations et échantillon de travail</w:t>
      </w:r>
      <w:bookmarkEnd w:id="5"/>
    </w:p>
    <w:p w:rsidR="00415B06" w:rsidRDefault="00BC59FE">
      <w:pPr>
        <w:pStyle w:val="Paragraphedeliste"/>
        <w:numPr>
          <w:ilvl w:val="0"/>
          <w:numId w:val="2"/>
        </w:numPr>
        <w:spacing w:after="60" w:line="276" w:lineRule="auto"/>
      </w:pPr>
      <w:r>
        <w:rPr>
          <w:b/>
          <w:bCs/>
        </w:rPr>
        <w:t>(a)</w:t>
      </w:r>
      <w:r>
        <w:t xml:space="preserve"> numériques standardisées z = (x − </w:t>
      </w:r>
      <w:proofErr w:type="gramStart"/>
      <w:r>
        <w:t>μ)/</w:t>
      </w:r>
      <w:proofErr w:type="gramEnd"/>
      <w:r>
        <w:t xml:space="preserve">σ, binaires 0/1, nominales en </w:t>
      </w:r>
      <w:r>
        <w:rPr>
          <w:i/>
          <w:iCs/>
        </w:rPr>
        <w:t>one-hot</w:t>
      </w:r>
      <w:r>
        <w:t xml:space="preserve"> : 27 colonnes ; utilisée par K-</w:t>
      </w:r>
      <w:proofErr w:type="spellStart"/>
      <w:r>
        <w:t>means</w:t>
      </w:r>
      <w:proofErr w:type="spellEnd"/>
      <w:r>
        <w:t>, GMM, CAH euclidienne, DBSCAN.</w:t>
      </w:r>
    </w:p>
    <w:p w:rsidR="00415B06" w:rsidRDefault="00BC59FE">
      <w:pPr>
        <w:pStyle w:val="Paragraphedeliste"/>
        <w:numPr>
          <w:ilvl w:val="0"/>
          <w:numId w:val="2"/>
        </w:numPr>
        <w:spacing w:after="60" w:line="276" w:lineRule="auto"/>
      </w:pPr>
      <w:r>
        <w:rPr>
          <w:b/>
          <w:bCs/>
        </w:rPr>
        <w:t>(b)</w:t>
      </w:r>
      <w:r>
        <w:t xml:space="preserve"> données mixtes brutes (numériqu</w:t>
      </w:r>
      <w:r>
        <w:t>es dans leur unité, qualitatives en modalités) : utilisée par Gower, K-</w:t>
      </w:r>
      <w:proofErr w:type="spellStart"/>
      <w:r>
        <w:t>medoids</w:t>
      </w:r>
      <w:proofErr w:type="spellEnd"/>
      <w:r>
        <w:t xml:space="preserve"> et K-prototypes.</w:t>
      </w:r>
    </w:p>
    <w:p w:rsidR="00415B06" w:rsidRDefault="00BC59FE">
      <w:pPr>
        <w:spacing w:before="120" w:after="120" w:line="288" w:lineRule="auto"/>
        <w:jc w:val="both"/>
      </w:pPr>
      <w:r>
        <w:t xml:space="preserve">Les méthodes à matrice de distances étant en O(n²), toutes les comparaisons se font sur un </w:t>
      </w:r>
      <w:r>
        <w:rPr>
          <w:b/>
          <w:bCs/>
        </w:rPr>
        <w:t>échantillon aléatoire stratifié de 4 000 clients</w:t>
      </w:r>
      <w:r>
        <w:t xml:space="preserve"> (11,28 % de « </w:t>
      </w:r>
      <w:proofErr w:type="spellStart"/>
      <w:r>
        <w:t>yes</w:t>
      </w:r>
      <w:proofErr w:type="spellEnd"/>
      <w:r>
        <w:t xml:space="preserve"> » </w:t>
      </w:r>
      <w:r>
        <w:t xml:space="preserve">contre 11,27 % dans la population). Le modèle final </w:t>
      </w:r>
      <w:r>
        <w:lastRenderedPageBreak/>
        <w:t xml:space="preserve">est ensuite appliqué à toute la population. Toute la logique est encapsulée dans </w:t>
      </w:r>
      <w:r>
        <w:rPr>
          <w:rFonts w:ascii="Consolas" w:eastAsia="Consolas" w:hAnsi="Consolas" w:cs="Consolas"/>
          <w:sz w:val="20"/>
          <w:szCs w:val="20"/>
        </w:rPr>
        <w:t>src/preprocessing.py</w:t>
      </w:r>
      <w:r>
        <w:t xml:space="preserve"> (</w:t>
      </w:r>
      <w:proofErr w:type="spellStart"/>
      <w:proofErr w:type="gramStart"/>
      <w:r>
        <w:rPr>
          <w:rFonts w:ascii="Consolas" w:eastAsia="Consolas" w:hAnsi="Consolas" w:cs="Consolas"/>
          <w:sz w:val="20"/>
          <w:szCs w:val="20"/>
        </w:rPr>
        <w:t>preprocess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w:t>
      </w:r>
      <w:proofErr w:type="spellStart"/>
      <w:r>
        <w:rPr>
          <w:rFonts w:ascii="Consolas" w:eastAsia="Consolas" w:hAnsi="Consolas" w:cs="Consolas"/>
          <w:sz w:val="20"/>
          <w:szCs w:val="20"/>
        </w:rPr>
        <w:t>transform_new_client</w:t>
      </w:r>
      <w:proofErr w:type="spellEnd"/>
      <w:r>
        <w:rPr>
          <w:rFonts w:ascii="Consolas" w:eastAsia="Consolas" w:hAnsi="Consolas" w:cs="Consolas"/>
          <w:sz w:val="20"/>
          <w:szCs w:val="20"/>
        </w:rPr>
        <w:t>()</w:t>
      </w:r>
      <w:r>
        <w:t>).</w:t>
      </w:r>
    </w:p>
    <w:p w:rsidR="00415B06" w:rsidRDefault="00BC59FE">
      <w:pPr>
        <w:pStyle w:val="Titre2"/>
      </w:pPr>
      <w:bookmarkStart w:id="6" w:name="_Toc242219246"/>
      <w:r>
        <w:t>2.5 Réduction de dimension</w:t>
      </w:r>
      <w:bookmarkEnd w:id="6"/>
    </w:p>
    <w:p w:rsidR="00415B06" w:rsidRDefault="00BC59FE">
      <w:pPr>
        <w:spacing w:after="120" w:line="288" w:lineRule="auto"/>
        <w:jc w:val="both"/>
      </w:pPr>
      <w:r>
        <w:t xml:space="preserve">La PCA sur (a) montre une variance </w:t>
      </w:r>
      <w:r>
        <w:t xml:space="preserve">diffuse : PC1 = 21,0 %, PC2 = 15,5 %. Il faut </w:t>
      </w:r>
      <w:r>
        <w:rPr>
          <w:b/>
          <w:bCs/>
        </w:rPr>
        <w:t>7 composantes pour 80 %</w:t>
      </w:r>
      <w:r>
        <w:t xml:space="preserve"> et 12 pour 90 %. PC1 est portée par le contexte de taux et l'historique de contact (</w:t>
      </w:r>
      <w:r>
        <w:rPr>
          <w:rFonts w:ascii="Consolas" w:eastAsia="Consolas" w:hAnsi="Consolas" w:cs="Consolas"/>
          <w:sz w:val="20"/>
          <w:szCs w:val="20"/>
        </w:rPr>
        <w:t>euribor3m</w:t>
      </w:r>
      <w:r>
        <w:t xml:space="preserve">, </w:t>
      </w:r>
      <w:proofErr w:type="spellStart"/>
      <w:r>
        <w:rPr>
          <w:rFonts w:ascii="Consolas" w:eastAsia="Consolas" w:hAnsi="Consolas" w:cs="Consolas"/>
          <w:sz w:val="20"/>
          <w:szCs w:val="20"/>
        </w:rPr>
        <w:t>previous</w:t>
      </w:r>
      <w:proofErr w:type="spellEnd"/>
      <w:r>
        <w:t>), PC2 par le cycle de vie (âge, éducation). Les méthodes non linéaires révèlent un</w:t>
      </w:r>
      <w:r>
        <w:t xml:space="preserve">e structure en </w:t>
      </w:r>
      <w:r>
        <w:rPr>
          <w:b/>
          <w:bCs/>
        </w:rPr>
        <w:t>îlots</w:t>
      </w:r>
      <w:r>
        <w:t xml:space="preserve"> invisible en PCA (figure 2).</w:t>
      </w:r>
    </w:p>
    <w:p w:rsidR="00415B06" w:rsidRDefault="00BC59FE">
      <w:pPr>
        <w:keepNext/>
        <w:spacing w:before="120" w:after="60"/>
        <w:jc w:val="center"/>
      </w:pPr>
      <w:r>
        <w:rPr>
          <w:noProof/>
        </w:rPr>
        <w:drawing>
          <wp:inline distT="0" distB="0" distL="0" distR="0">
            <wp:extent cx="5972175" cy="1714500"/>
            <wp:effectExtent l="0" t="0" r="0" b="0"/>
            <wp:docPr id="2" name="j1_pca_tsne_umap.png" descr="PCA, t-SNE et UMAP sur l'échantillon (couleur : `poutcome`, pour lecture seulement)." title="PCA, t-SNE et UMAP sur l'échantillon (couleur : `poutcome`, pour lecture seu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1714500"/>
                    </a:xfrm>
                    <a:prstGeom prst="rect">
                      <a:avLst/>
                    </a:prstGeom>
                  </pic:spPr>
                </pic:pic>
              </a:graphicData>
            </a:graphic>
          </wp:inline>
        </w:drawing>
      </w:r>
    </w:p>
    <w:p w:rsidR="00415B06" w:rsidRDefault="00BC59FE">
      <w:pPr>
        <w:spacing w:after="200"/>
        <w:jc w:val="center"/>
      </w:pPr>
      <w:r>
        <w:rPr>
          <w:b/>
          <w:bCs/>
          <w:color w:val="5F6B7A"/>
          <w:sz w:val="19"/>
          <w:szCs w:val="19"/>
        </w:rPr>
        <w:t xml:space="preserve">Figure 2 – </w:t>
      </w:r>
      <w:r>
        <w:rPr>
          <w:color w:val="5F6B7A"/>
          <w:sz w:val="19"/>
          <w:szCs w:val="19"/>
        </w:rPr>
        <w:t xml:space="preserve">PCA, t-SNE et UMAP sur l'échantillon (couleur : </w:t>
      </w:r>
      <w:proofErr w:type="spellStart"/>
      <w:r>
        <w:rPr>
          <w:rFonts w:ascii="Consolas" w:eastAsia="Consolas" w:hAnsi="Consolas" w:cs="Consolas"/>
          <w:color w:val="5F6B7A"/>
          <w:sz w:val="19"/>
          <w:szCs w:val="19"/>
        </w:rPr>
        <w:t>poutcome</w:t>
      </w:r>
      <w:proofErr w:type="spellEnd"/>
      <w:r>
        <w:rPr>
          <w:color w:val="5F6B7A"/>
          <w:sz w:val="19"/>
          <w:szCs w:val="19"/>
        </w:rPr>
        <w:t>, pour lecture seulement).</w:t>
      </w:r>
    </w:p>
    <w:p w:rsidR="00415B06" w:rsidRDefault="00BC59FE">
      <w:pPr>
        <w:pStyle w:val="Titre1"/>
      </w:pPr>
      <w:bookmarkStart w:id="7" w:name="_Toc242219247"/>
      <w:r>
        <w:t xml:space="preserve">3. Mesures de </w:t>
      </w:r>
      <w:proofErr w:type="spellStart"/>
      <w:r>
        <w:t>dissimilarité</w:t>
      </w:r>
      <w:bookmarkEnd w:id="7"/>
      <w:proofErr w:type="spellEnd"/>
    </w:p>
    <w:p w:rsidR="00415B06" w:rsidRDefault="00BC59FE">
      <w:pPr>
        <w:spacing w:after="120" w:line="288" w:lineRule="auto"/>
        <w:jc w:val="both"/>
      </w:pPr>
      <w:r>
        <w:t>Cinq matrices 4 000 × 4 000 ont été calculées :</w:t>
      </w:r>
    </w:p>
    <w:p w:rsidR="00415B06" w:rsidRDefault="00BC59FE">
      <w:pPr>
        <w:pStyle w:val="Paragraphedeliste"/>
        <w:numPr>
          <w:ilvl w:val="0"/>
          <w:numId w:val="2"/>
        </w:numPr>
        <w:spacing w:after="60" w:line="276" w:lineRule="auto"/>
      </w:pPr>
      <w:proofErr w:type="gramStart"/>
      <w:r>
        <w:rPr>
          <w:b/>
          <w:bCs/>
        </w:rPr>
        <w:t>euclidienne</w:t>
      </w:r>
      <w:proofErr w:type="gramEnd"/>
      <w:r>
        <w:t xml:space="preserve"> et </w:t>
      </w:r>
      <w:r>
        <w:rPr>
          <w:b/>
          <w:bCs/>
        </w:rPr>
        <w:t>Manhattan</w:t>
      </w:r>
      <w:r>
        <w:t xml:space="preserve"> sur (a) ;</w:t>
      </w:r>
    </w:p>
    <w:p w:rsidR="00415B06" w:rsidRDefault="00BC59FE">
      <w:pPr>
        <w:pStyle w:val="Paragraphedeliste"/>
        <w:numPr>
          <w:ilvl w:val="0"/>
          <w:numId w:val="2"/>
        </w:numPr>
        <w:spacing w:after="60" w:line="276" w:lineRule="auto"/>
      </w:pPr>
      <w:r>
        <w:rPr>
          <w:b/>
          <w:bCs/>
        </w:rPr>
        <w:t>Gower</w:t>
      </w:r>
      <w:r>
        <w:t xml:space="preserve"> sur (b) : </w:t>
      </w:r>
      <w:proofErr w:type="gramStart"/>
      <w:r>
        <w:t>d(</w:t>
      </w:r>
      <w:proofErr w:type="gramEnd"/>
      <w:r>
        <w:t>x, y) = (1/p) Σⱼ dⱼ, avec dⱼ = |xⱼ − yⱼ| / Rⱼ pour une variable numérique et dⱼ = 1[xⱼ ≠ yⱼ] pour une variable qualitative ;</w:t>
      </w:r>
    </w:p>
    <w:p w:rsidR="00415B06" w:rsidRDefault="00BC59FE">
      <w:pPr>
        <w:pStyle w:val="Paragraphedeliste"/>
        <w:numPr>
          <w:ilvl w:val="0"/>
          <w:numId w:val="2"/>
        </w:numPr>
        <w:spacing w:after="60" w:line="276" w:lineRule="auto"/>
      </w:pPr>
      <w:proofErr w:type="spellStart"/>
      <w:r>
        <w:rPr>
          <w:b/>
          <w:bCs/>
        </w:rPr>
        <w:t>Hamming</w:t>
      </w:r>
      <w:proofErr w:type="spellEnd"/>
      <w:r>
        <w:t xml:space="preserve"> et </w:t>
      </w:r>
      <w:r>
        <w:rPr>
          <w:b/>
          <w:bCs/>
        </w:rPr>
        <w:t>Jaccard</w:t>
      </w:r>
      <w:r>
        <w:t xml:space="preserve"> sur le bloc binaire de 21 colonnes.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1406"/>
        <w:gridCol w:w="1406"/>
        <w:gridCol w:w="1406"/>
        <w:gridCol w:w="1406"/>
        <w:gridCol w:w="1408"/>
      </w:tblGrid>
      <w:tr w:rsidR="00415B06">
        <w:tblPrEx>
          <w:tblCellMar>
            <w:top w:w="0" w:type="dxa"/>
            <w:bottom w:w="0" w:type="dxa"/>
          </w:tblCellMar>
        </w:tblPrEx>
        <w:trPr>
          <w:tblHeader/>
        </w:trPr>
        <w:tc>
          <w:tcPr>
            <w:tcW w:w="2380"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415B06"/>
        </w:tc>
        <w:tc>
          <w:tcPr>
            <w:tcW w:w="1406"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Euclid.</w:t>
            </w:r>
          </w:p>
        </w:tc>
        <w:tc>
          <w:tcPr>
            <w:tcW w:w="1406"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Manhattan</w:t>
            </w:r>
          </w:p>
        </w:tc>
        <w:tc>
          <w:tcPr>
            <w:tcW w:w="1406"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Gower</w:t>
            </w:r>
          </w:p>
        </w:tc>
        <w:tc>
          <w:tcPr>
            <w:tcW w:w="1406"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proofErr w:type="spellStart"/>
            <w:r>
              <w:rPr>
                <w:b/>
                <w:bCs/>
                <w:color w:val="FFFFFF"/>
                <w:sz w:val="19"/>
                <w:szCs w:val="19"/>
              </w:rPr>
              <w:t>Hamming</w:t>
            </w:r>
            <w:proofErr w:type="spellEnd"/>
          </w:p>
        </w:tc>
        <w:tc>
          <w:tcPr>
            <w:tcW w:w="1408"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Jaccard</w:t>
            </w:r>
          </w:p>
        </w:tc>
      </w:tr>
      <w:tr w:rsidR="00415B06">
        <w:tblPrEx>
          <w:tblCellMar>
            <w:top w:w="0" w:type="dxa"/>
            <w:bottom w:w="0" w:type="dxa"/>
          </w:tblCellMar>
        </w:tblPrEx>
        <w:tc>
          <w:tcPr>
            <w:tcW w:w="23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Euclidienne</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0,93</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0,71</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0,48</w:t>
            </w:r>
          </w:p>
        </w:tc>
        <w:tc>
          <w:tcPr>
            <w:tcW w:w="140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0,44</w:t>
            </w:r>
          </w:p>
        </w:tc>
      </w:tr>
      <w:tr w:rsidR="00415B06">
        <w:tblPrEx>
          <w:tblCellMar>
            <w:top w:w="0" w:type="dxa"/>
            <w:bottom w:w="0" w:type="dxa"/>
          </w:tblCellMar>
        </w:tblPrEx>
        <w:tc>
          <w:tcPr>
            <w:tcW w:w="23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Manhattan</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415B06">
            <w:pPr>
              <w:jc w:val="center"/>
            </w:pP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0,86</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0,70</w:t>
            </w:r>
          </w:p>
        </w:tc>
        <w:tc>
          <w:tcPr>
            <w:tcW w:w="140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0,65</w:t>
            </w:r>
          </w:p>
        </w:tc>
      </w:tr>
      <w:tr w:rsidR="00415B06">
        <w:tblPrEx>
          <w:tblCellMar>
            <w:top w:w="0" w:type="dxa"/>
            <w:bottom w:w="0" w:type="dxa"/>
          </w:tblCellMar>
        </w:tblPrEx>
        <w:tc>
          <w:tcPr>
            <w:tcW w:w="23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Gower</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415B06">
            <w:pPr>
              <w:jc w:val="center"/>
            </w:pP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415B06">
            <w:pPr>
              <w:jc w:val="center"/>
            </w:pP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w:t>
            </w: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0,86</w:t>
            </w:r>
          </w:p>
        </w:tc>
        <w:tc>
          <w:tcPr>
            <w:tcW w:w="140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0,80</w:t>
            </w:r>
          </w:p>
        </w:tc>
      </w:tr>
      <w:tr w:rsidR="00415B06">
        <w:tblPrEx>
          <w:tblCellMar>
            <w:top w:w="0" w:type="dxa"/>
            <w:bottom w:w="0" w:type="dxa"/>
          </w:tblCellMar>
        </w:tblPrEx>
        <w:tc>
          <w:tcPr>
            <w:tcW w:w="23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color w:val="1A1F2B"/>
                <w:sz w:val="19"/>
                <w:szCs w:val="19"/>
              </w:rPr>
              <w:t>Hamming</w:t>
            </w:r>
            <w:proofErr w:type="spellEnd"/>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415B06">
            <w:pPr>
              <w:jc w:val="center"/>
            </w:pP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415B06">
            <w:pPr>
              <w:jc w:val="center"/>
            </w:pP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415B06">
            <w:pPr>
              <w:jc w:val="center"/>
            </w:pPr>
          </w:p>
        </w:tc>
        <w:tc>
          <w:tcPr>
            <w:tcW w:w="14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w:t>
            </w:r>
          </w:p>
        </w:tc>
        <w:tc>
          <w:tcPr>
            <w:tcW w:w="140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0,94</w:t>
            </w:r>
          </w:p>
        </w:tc>
      </w:tr>
    </w:tbl>
    <w:p w:rsidR="00415B06" w:rsidRDefault="00BC59FE">
      <w:pPr>
        <w:spacing w:before="60" w:after="200"/>
        <w:jc w:val="center"/>
      </w:pPr>
      <w:r>
        <w:rPr>
          <w:b/>
          <w:bCs/>
          <w:color w:val="5F6B7A"/>
          <w:sz w:val="19"/>
          <w:szCs w:val="19"/>
        </w:rPr>
        <w:t xml:space="preserve">Tableau 2 – </w:t>
      </w:r>
      <w:r>
        <w:rPr>
          <w:color w:val="5F6B7A"/>
          <w:sz w:val="19"/>
          <w:szCs w:val="19"/>
        </w:rPr>
        <w:t xml:space="preserve">Corrélations de Spearman entre </w:t>
      </w:r>
      <w:proofErr w:type="spellStart"/>
      <w:r>
        <w:rPr>
          <w:color w:val="5F6B7A"/>
          <w:sz w:val="19"/>
          <w:szCs w:val="19"/>
        </w:rPr>
        <w:t>dissimilarités</w:t>
      </w:r>
      <w:proofErr w:type="spellEnd"/>
      <w:r>
        <w:rPr>
          <w:color w:val="5F6B7A"/>
          <w:sz w:val="19"/>
          <w:szCs w:val="19"/>
        </w:rPr>
        <w:t xml:space="preserve"> (200 000 paires).</w:t>
      </w:r>
    </w:p>
    <w:p w:rsidR="00415B06" w:rsidRDefault="00BC59FE">
      <w:pPr>
        <w:spacing w:after="120" w:line="288" w:lineRule="auto"/>
        <w:jc w:val="both"/>
      </w:pPr>
      <w:r>
        <w:t>Euclidienne et Manhattan ordonnent les paires de façon proche. Gower est plus liée à Manhattan, dont elle est une moyenne normalisée, et aux mesures binaires, car 7 de ses 13 variables sont qualitatives. Elle diffère de l'euclidienne sur (a), où une variab</w:t>
      </w:r>
      <w:r>
        <w:t xml:space="preserve">le à m modalités pèse plus lourd (un changement de métier modifie deux indicatrices). Jaccard ignore les </w:t>
      </w:r>
      <w:proofErr w:type="spellStart"/>
      <w:r>
        <w:t>co</w:t>
      </w:r>
      <w:proofErr w:type="spellEnd"/>
      <w:r>
        <w:t xml:space="preserve">-absences 0–0, ce qui est pertinent pour des indicatrices </w:t>
      </w:r>
      <w:r>
        <w:rPr>
          <w:i/>
          <w:iCs/>
        </w:rPr>
        <w:t>one-hot</w:t>
      </w:r>
      <w:r>
        <w:t xml:space="preserve"> majoritairement nulles.</w:t>
      </w:r>
    </w:p>
    <w:p w:rsidR="00415B06" w:rsidRDefault="00BC59FE">
      <w:pPr>
        <w:spacing w:after="120" w:line="288" w:lineRule="auto"/>
        <w:jc w:val="both"/>
      </w:pPr>
      <w:r>
        <w:rPr>
          <w:b/>
          <w:bCs/>
          <w:color w:val="1F3A5F"/>
        </w:rPr>
        <w:t xml:space="preserve">Effet de la standardisation. </w:t>
      </w:r>
      <w:r>
        <w:t xml:space="preserve">Sans standardisation, </w:t>
      </w:r>
      <w:proofErr w:type="spellStart"/>
      <w:r>
        <w:rPr>
          <w:rFonts w:ascii="Consolas" w:eastAsia="Consolas" w:hAnsi="Consolas" w:cs="Consolas"/>
          <w:sz w:val="20"/>
          <w:szCs w:val="20"/>
        </w:rPr>
        <w:t>age</w:t>
      </w:r>
      <w:proofErr w:type="spellEnd"/>
      <w:r>
        <w:t xml:space="preserve"> repr</w:t>
      </w:r>
      <w:r>
        <w:t xml:space="preserve">ésente </w:t>
      </w:r>
      <w:r>
        <w:rPr>
          <w:b/>
          <w:bCs/>
        </w:rPr>
        <w:t>80 %</w:t>
      </w:r>
      <w:r>
        <w:t xml:space="preserve"> de la distance euclidienne au carré et </w:t>
      </w:r>
      <w:proofErr w:type="spellStart"/>
      <w:r>
        <w:rPr>
          <w:rFonts w:ascii="Consolas" w:eastAsia="Consolas" w:hAnsi="Consolas" w:cs="Consolas"/>
          <w:sz w:val="20"/>
          <w:szCs w:val="20"/>
        </w:rPr>
        <w:t>cons.conf.idx</w:t>
      </w:r>
      <w:proofErr w:type="spellEnd"/>
      <w:r>
        <w:t xml:space="preserve"> 15 %. </w:t>
      </w:r>
      <w:proofErr w:type="gramStart"/>
      <w:r>
        <w:rPr>
          <w:rFonts w:ascii="Consolas" w:eastAsia="Consolas" w:hAnsi="Consolas" w:cs="Consolas"/>
          <w:sz w:val="20"/>
          <w:szCs w:val="20"/>
        </w:rPr>
        <w:t>euribor</w:t>
      </w:r>
      <w:proofErr w:type="gramEnd"/>
      <w:r>
        <w:rPr>
          <w:rFonts w:ascii="Consolas" w:eastAsia="Consolas" w:hAnsi="Consolas" w:cs="Consolas"/>
          <w:sz w:val="20"/>
          <w:szCs w:val="20"/>
        </w:rPr>
        <w:t>3m</w:t>
      </w:r>
      <w:r>
        <w:t xml:space="preserve">, </w:t>
      </w:r>
      <w:proofErr w:type="spellStart"/>
      <w:r>
        <w:rPr>
          <w:rFonts w:ascii="Consolas" w:eastAsia="Consolas" w:hAnsi="Consolas" w:cs="Consolas"/>
          <w:sz w:val="20"/>
          <w:szCs w:val="20"/>
        </w:rPr>
        <w:t>previous</w:t>
      </w:r>
      <w:proofErr w:type="spellEnd"/>
      <w:r>
        <w:t xml:space="preserve"> et </w:t>
      </w:r>
      <w:proofErr w:type="spellStart"/>
      <w:r>
        <w:rPr>
          <w:rFonts w:ascii="Consolas" w:eastAsia="Consolas" w:hAnsi="Consolas" w:cs="Consolas"/>
          <w:sz w:val="20"/>
          <w:szCs w:val="20"/>
        </w:rPr>
        <w:t>campaign_log</w:t>
      </w:r>
      <w:proofErr w:type="spellEnd"/>
      <w:r>
        <w:t xml:space="preserve"> pèsent alors moins de 3 %. La corrélation de rang entre distances brute et standardisée n'est que de 0,55, et seuls </w:t>
      </w:r>
      <w:r>
        <w:rPr>
          <w:b/>
          <w:bCs/>
        </w:rPr>
        <w:t>32 %</w:t>
      </w:r>
      <w:r>
        <w:t xml:space="preserve"> des 10 plus proches voisins </w:t>
      </w:r>
      <w:r>
        <w:t>sont conservés. Après z-score, chaque variable contribue à environ 16,7 %. La standardisation est donc indispensable pour toute méthode euclidienne ; Gower obtient un effet équivalent par l'étendue Rⱼ.</w:t>
      </w:r>
    </w:p>
    <w:p w:rsidR="00415B06" w:rsidRDefault="00BC59FE">
      <w:pPr>
        <w:keepNext/>
        <w:spacing w:before="120" w:after="60"/>
        <w:jc w:val="center"/>
      </w:pPr>
      <w:r>
        <w:rPr>
          <w:noProof/>
        </w:rPr>
        <w:lastRenderedPageBreak/>
        <w:drawing>
          <wp:inline distT="0" distB="0" distL="0" distR="0">
            <wp:extent cx="4181475" cy="1885950"/>
            <wp:effectExtent l="0" t="0" r="0" b="0"/>
            <wp:docPr id="3" name="j2_effet_standardisation.png" descr="Contribution des variables à la distance euclidienne, avec et sans standardisation." title="Contribution des variables à la distance euclidienne, avec et sans standard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81475" cy="1885950"/>
                    </a:xfrm>
                    <a:prstGeom prst="rect">
                      <a:avLst/>
                    </a:prstGeom>
                  </pic:spPr>
                </pic:pic>
              </a:graphicData>
            </a:graphic>
          </wp:inline>
        </w:drawing>
      </w:r>
    </w:p>
    <w:p w:rsidR="00415B06" w:rsidRDefault="00BC59FE">
      <w:pPr>
        <w:spacing w:after="200"/>
        <w:jc w:val="center"/>
      </w:pPr>
      <w:r>
        <w:rPr>
          <w:b/>
          <w:bCs/>
          <w:color w:val="5F6B7A"/>
          <w:sz w:val="19"/>
          <w:szCs w:val="19"/>
        </w:rPr>
        <w:t xml:space="preserve">Figure 3 – </w:t>
      </w:r>
      <w:r>
        <w:rPr>
          <w:color w:val="5F6B7A"/>
          <w:sz w:val="19"/>
          <w:szCs w:val="19"/>
        </w:rPr>
        <w:t>Contribution des variables à la distance euclidienne, avec et sans standardisation.</w:t>
      </w:r>
    </w:p>
    <w:p w:rsidR="00415B06" w:rsidRDefault="00BC59FE">
      <w:pPr>
        <w:pStyle w:val="Titre1"/>
      </w:pPr>
      <w:bookmarkStart w:id="8" w:name="_Toc242219248"/>
      <w:r>
        <w:t>4. Méthodes de partitionnement</w:t>
      </w:r>
      <w:bookmarkEnd w:id="8"/>
    </w:p>
    <w:p w:rsidR="00415B06" w:rsidRDefault="00BC59FE">
      <w:pPr>
        <w:pStyle w:val="Paragraphedeliste"/>
        <w:numPr>
          <w:ilvl w:val="0"/>
          <w:numId w:val="2"/>
        </w:numPr>
        <w:spacing w:after="60" w:line="276" w:lineRule="auto"/>
      </w:pPr>
      <w:r>
        <w:rPr>
          <w:b/>
          <w:bCs/>
        </w:rPr>
        <w:t>K-</w:t>
      </w:r>
      <w:proofErr w:type="spellStart"/>
      <w:r>
        <w:rPr>
          <w:b/>
          <w:bCs/>
        </w:rPr>
        <w:t>means</w:t>
      </w:r>
      <w:proofErr w:type="spellEnd"/>
      <w:r>
        <w:t xml:space="preserve"> (sur (a), population complète) : le coude de l'inertie (distance maximale à la corde) donne </w:t>
      </w:r>
      <w:r>
        <w:rPr>
          <w:b/>
          <w:bCs/>
        </w:rPr>
        <w:t>k = 5</w:t>
      </w:r>
      <w:r>
        <w:t>.</w:t>
      </w:r>
    </w:p>
    <w:p w:rsidR="00415B06" w:rsidRDefault="00BC59FE">
      <w:pPr>
        <w:pStyle w:val="Paragraphedeliste"/>
        <w:numPr>
          <w:ilvl w:val="0"/>
          <w:numId w:val="2"/>
        </w:numPr>
        <w:spacing w:after="60" w:line="276" w:lineRule="auto"/>
      </w:pPr>
      <w:r>
        <w:rPr>
          <w:b/>
          <w:bCs/>
        </w:rPr>
        <w:t>K-</w:t>
      </w:r>
      <w:proofErr w:type="spellStart"/>
      <w:r>
        <w:rPr>
          <w:b/>
          <w:bCs/>
        </w:rPr>
        <w:t>medoids</w:t>
      </w:r>
      <w:proofErr w:type="spellEnd"/>
      <w:r>
        <w:t xml:space="preserve"> (PAM, initialisation k-</w:t>
      </w:r>
      <w:proofErr w:type="spellStart"/>
      <w:r>
        <w:t>m</w:t>
      </w:r>
      <w:r>
        <w:t>edoids</w:t>
      </w:r>
      <w:proofErr w:type="spellEnd"/>
      <w:r>
        <w:t xml:space="preserve">++, sur Gower) : le coût décroît sans coude marqué et la silhouette Gower est maximale à </w:t>
      </w:r>
      <w:r>
        <w:rPr>
          <w:b/>
          <w:bCs/>
        </w:rPr>
        <w:t>k = 3</w:t>
      </w:r>
      <w:r>
        <w:t xml:space="preserve"> (0,158). Les </w:t>
      </w:r>
      <w:proofErr w:type="spellStart"/>
      <w:r>
        <w:t>médoïdes</w:t>
      </w:r>
      <w:proofErr w:type="spellEnd"/>
      <w:r>
        <w:t xml:space="preserve"> sont de vrais clients.</w:t>
      </w:r>
    </w:p>
    <w:p w:rsidR="00415B06" w:rsidRDefault="00BC59FE">
      <w:pPr>
        <w:pStyle w:val="Paragraphedeliste"/>
        <w:numPr>
          <w:ilvl w:val="0"/>
          <w:numId w:val="2"/>
        </w:numPr>
        <w:spacing w:after="60" w:line="276" w:lineRule="auto"/>
      </w:pPr>
      <w:r>
        <w:rPr>
          <w:b/>
          <w:bCs/>
        </w:rPr>
        <w:t>K-prototypes</w:t>
      </w:r>
      <w:r>
        <w:t xml:space="preserve"> (coût de Huang, numériques standardisées, γ = 0,5) : coude à </w:t>
      </w:r>
      <w:r>
        <w:rPr>
          <w:b/>
          <w:bCs/>
        </w:rPr>
        <w:t>k = 5</w:t>
      </w:r>
      <w:r>
        <w:t>.</w:t>
      </w:r>
    </w:p>
    <w:p w:rsidR="00415B06" w:rsidRDefault="00BC59FE">
      <w:pPr>
        <w:pStyle w:val="Paragraphedeliste"/>
        <w:numPr>
          <w:ilvl w:val="0"/>
          <w:numId w:val="2"/>
        </w:numPr>
        <w:spacing w:after="60" w:line="276" w:lineRule="auto"/>
      </w:pPr>
      <w:r>
        <w:rPr>
          <w:b/>
          <w:bCs/>
        </w:rPr>
        <w:t>GMM</w:t>
      </w:r>
      <w:r>
        <w:t xml:space="preserve"> dans l'espace PCA à 80 % </w:t>
      </w:r>
      <w:r>
        <w:t>: un GMM à covariance pleine sur 27 colonnes majoritairement binaires serait dégénéré. Le BIC et l'AIC décroissent jusqu'à k = 10 pour les quatre types de covariance, car les variables discrètes violent l'hypothèse gaussienne. On prend donc le coude du BIC</w:t>
      </w:r>
      <w:r>
        <w:t xml:space="preserve">, </w:t>
      </w:r>
      <w:r>
        <w:rPr>
          <w:b/>
          <w:bCs/>
        </w:rPr>
        <w:t>k = 6</w:t>
      </w:r>
      <w:r>
        <w:t>.</w:t>
      </w:r>
    </w:p>
    <w:p w:rsidR="00415B06" w:rsidRDefault="00BC59FE">
      <w:pPr>
        <w:keepNext/>
        <w:spacing w:before="120" w:after="60"/>
        <w:jc w:val="center"/>
      </w:pPr>
      <w:r>
        <w:rPr>
          <w:noProof/>
        </w:rPr>
        <w:drawing>
          <wp:inline distT="0" distB="0" distL="0" distR="0">
            <wp:extent cx="3705225" cy="1676400"/>
            <wp:effectExtent l="0" t="0" r="0" b="0"/>
            <wp:docPr id="4" name="j2_kmeans_coude.png" descr="Méthode du coude pour K-means (inertie et silhouette)." title="Méthode du coude pour K-means (inertie et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05225" cy="1676400"/>
                    </a:xfrm>
                    <a:prstGeom prst="rect">
                      <a:avLst/>
                    </a:prstGeom>
                  </pic:spPr>
                </pic:pic>
              </a:graphicData>
            </a:graphic>
          </wp:inline>
        </w:drawing>
      </w:r>
    </w:p>
    <w:p w:rsidR="00415B06" w:rsidRDefault="00BC59FE">
      <w:pPr>
        <w:spacing w:after="200"/>
        <w:jc w:val="center"/>
      </w:pPr>
      <w:r>
        <w:rPr>
          <w:b/>
          <w:bCs/>
          <w:color w:val="5F6B7A"/>
          <w:sz w:val="19"/>
          <w:szCs w:val="19"/>
        </w:rPr>
        <w:t xml:space="preserve">Figure 4 – </w:t>
      </w:r>
      <w:r>
        <w:rPr>
          <w:color w:val="5F6B7A"/>
          <w:sz w:val="19"/>
          <w:szCs w:val="19"/>
        </w:rPr>
        <w:t>Méthode du coude pour K-</w:t>
      </w:r>
      <w:proofErr w:type="spellStart"/>
      <w:r>
        <w:rPr>
          <w:color w:val="5F6B7A"/>
          <w:sz w:val="19"/>
          <w:szCs w:val="19"/>
        </w:rPr>
        <w:t>means</w:t>
      </w:r>
      <w:proofErr w:type="spellEnd"/>
      <w:r>
        <w:rPr>
          <w:color w:val="5F6B7A"/>
          <w:sz w:val="19"/>
          <w:szCs w:val="19"/>
        </w:rPr>
        <w:t xml:space="preserve"> (inertie et silhouette).</w:t>
      </w:r>
    </w:p>
    <w:p w:rsidR="00415B06" w:rsidRDefault="00BC59FE">
      <w:pPr>
        <w:keepNext/>
        <w:spacing w:before="120" w:after="60"/>
        <w:jc w:val="center"/>
      </w:pPr>
      <w:r>
        <w:rPr>
          <w:noProof/>
        </w:rPr>
        <w:drawing>
          <wp:inline distT="0" distB="0" distL="0" distR="0">
            <wp:extent cx="5676900" cy="1571625"/>
            <wp:effectExtent l="0" t="0" r="0" b="0"/>
            <wp:docPr id="5" name="j2_gmm_bic_aic.png" descr="Critères BIC et AIC du GMM selon le type de covariance." title="Critères BIC et AIC du GMM selon le type de co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76900" cy="1571625"/>
                    </a:xfrm>
                    <a:prstGeom prst="rect">
                      <a:avLst/>
                    </a:prstGeom>
                  </pic:spPr>
                </pic:pic>
              </a:graphicData>
            </a:graphic>
          </wp:inline>
        </w:drawing>
      </w:r>
    </w:p>
    <w:p w:rsidR="00415B06" w:rsidRDefault="00BC59FE">
      <w:pPr>
        <w:spacing w:after="200"/>
        <w:jc w:val="center"/>
      </w:pPr>
      <w:r>
        <w:rPr>
          <w:b/>
          <w:bCs/>
          <w:color w:val="5F6B7A"/>
          <w:sz w:val="19"/>
          <w:szCs w:val="19"/>
        </w:rPr>
        <w:t xml:space="preserve">Figure 5 – </w:t>
      </w:r>
      <w:r>
        <w:rPr>
          <w:color w:val="5F6B7A"/>
          <w:sz w:val="19"/>
          <w:szCs w:val="19"/>
        </w:rPr>
        <w:t>Critères BIC et AIC du GMM selon le type de covariance.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1432"/>
        <w:gridCol w:w="2148"/>
        <w:gridCol w:w="614"/>
        <w:gridCol w:w="1125"/>
        <w:gridCol w:w="1023"/>
        <w:gridCol w:w="1229"/>
      </w:tblGrid>
      <w:tr w:rsidR="00415B06">
        <w:tblPrEx>
          <w:tblCellMar>
            <w:top w:w="0" w:type="dxa"/>
            <w:bottom w:w="0" w:type="dxa"/>
          </w:tblCellMar>
        </w:tblPrEx>
        <w:trPr>
          <w:tblHeader/>
        </w:trPr>
        <w:tc>
          <w:tcPr>
            <w:tcW w:w="1841"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r>
              <w:rPr>
                <w:b/>
                <w:bCs/>
                <w:color w:val="FFFFFF"/>
                <w:sz w:val="19"/>
                <w:szCs w:val="19"/>
              </w:rPr>
              <w:t>Méthode</w:t>
            </w:r>
          </w:p>
        </w:tc>
        <w:tc>
          <w:tcPr>
            <w:tcW w:w="1432"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Représentation</w:t>
            </w:r>
          </w:p>
        </w:tc>
        <w:tc>
          <w:tcPr>
            <w:tcW w:w="2148"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Distance</w:t>
            </w:r>
          </w:p>
        </w:tc>
        <w:tc>
          <w:tcPr>
            <w:tcW w:w="61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k</w:t>
            </w:r>
          </w:p>
        </w:tc>
        <w:tc>
          <w:tcPr>
            <w:tcW w:w="1125"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proofErr w:type="spellStart"/>
            <w:r>
              <w:rPr>
                <w:b/>
                <w:bCs/>
                <w:color w:val="FFFFFF"/>
                <w:sz w:val="19"/>
                <w:szCs w:val="19"/>
              </w:rPr>
              <w:t>Silh</w:t>
            </w:r>
            <w:proofErr w:type="spellEnd"/>
            <w:r>
              <w:rPr>
                <w:b/>
                <w:bCs/>
                <w:color w:val="FFFFFF"/>
                <w:sz w:val="19"/>
                <w:szCs w:val="19"/>
              </w:rPr>
              <w:t>. (a)</w:t>
            </w:r>
          </w:p>
        </w:tc>
        <w:tc>
          <w:tcPr>
            <w:tcW w:w="102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DB (a)</w:t>
            </w:r>
          </w:p>
        </w:tc>
        <w:tc>
          <w:tcPr>
            <w:tcW w:w="1229"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proofErr w:type="spellStart"/>
            <w:r>
              <w:rPr>
                <w:b/>
                <w:bCs/>
                <w:color w:val="FFFFFF"/>
                <w:sz w:val="19"/>
                <w:szCs w:val="19"/>
              </w:rPr>
              <w:t>Silh</w:t>
            </w:r>
            <w:proofErr w:type="spellEnd"/>
            <w:r>
              <w:rPr>
                <w:b/>
                <w:bCs/>
                <w:color w:val="FFFFFF"/>
                <w:sz w:val="19"/>
                <w:szCs w:val="19"/>
              </w:rPr>
              <w:t>. native</w:t>
            </w:r>
          </w:p>
        </w:tc>
      </w:tr>
      <w:tr w:rsidR="00415B06">
        <w:tblPrEx>
          <w:tblCellMar>
            <w:top w:w="0" w:type="dxa"/>
            <w:bottom w:w="0" w:type="dxa"/>
          </w:tblCellMar>
        </w:tblPrEx>
        <w:tc>
          <w:tcPr>
            <w:tcW w:w="1841"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K-</w:t>
            </w:r>
            <w:proofErr w:type="spellStart"/>
            <w:r>
              <w:rPr>
                <w:color w:val="1A1F2B"/>
                <w:sz w:val="19"/>
                <w:szCs w:val="19"/>
              </w:rPr>
              <w:t>means</w:t>
            </w:r>
            <w:proofErr w:type="spellEnd"/>
          </w:p>
        </w:tc>
        <w:tc>
          <w:tcPr>
            <w:tcW w:w="143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(a)</w:t>
            </w:r>
          </w:p>
        </w:tc>
        <w:tc>
          <w:tcPr>
            <w:tcW w:w="214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euclidienne</w:t>
            </w:r>
          </w:p>
        </w:tc>
        <w:tc>
          <w:tcPr>
            <w:tcW w:w="6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5</w:t>
            </w:r>
          </w:p>
        </w:tc>
        <w:tc>
          <w:tcPr>
            <w:tcW w:w="112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0,142</w:t>
            </w:r>
          </w:p>
        </w:tc>
        <w:tc>
          <w:tcPr>
            <w:tcW w:w="102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1,85</w:t>
            </w:r>
          </w:p>
        </w:tc>
        <w:tc>
          <w:tcPr>
            <w:tcW w:w="1229"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0,142</w:t>
            </w:r>
          </w:p>
        </w:tc>
      </w:tr>
      <w:tr w:rsidR="00415B06">
        <w:tblPrEx>
          <w:tblCellMar>
            <w:top w:w="0" w:type="dxa"/>
            <w:bottom w:w="0" w:type="dxa"/>
          </w:tblCellMar>
        </w:tblPrEx>
        <w:tc>
          <w:tcPr>
            <w:tcW w:w="1841"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lastRenderedPageBreak/>
              <w:t>K-</w:t>
            </w:r>
            <w:proofErr w:type="spellStart"/>
            <w:r>
              <w:rPr>
                <w:color w:val="1A1F2B"/>
                <w:sz w:val="19"/>
                <w:szCs w:val="19"/>
              </w:rPr>
              <w:t>medoids</w:t>
            </w:r>
            <w:proofErr w:type="spellEnd"/>
          </w:p>
        </w:tc>
        <w:tc>
          <w:tcPr>
            <w:tcW w:w="143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(b)</w:t>
            </w:r>
          </w:p>
        </w:tc>
        <w:tc>
          <w:tcPr>
            <w:tcW w:w="214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Gower</w:t>
            </w:r>
          </w:p>
        </w:tc>
        <w:tc>
          <w:tcPr>
            <w:tcW w:w="6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w:t>
            </w:r>
          </w:p>
        </w:tc>
        <w:tc>
          <w:tcPr>
            <w:tcW w:w="112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0,059</w:t>
            </w:r>
          </w:p>
        </w:tc>
        <w:tc>
          <w:tcPr>
            <w:tcW w:w="102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2,89</w:t>
            </w:r>
          </w:p>
        </w:tc>
        <w:tc>
          <w:tcPr>
            <w:tcW w:w="1229"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0,158</w:t>
            </w:r>
          </w:p>
        </w:tc>
      </w:tr>
      <w:tr w:rsidR="00415B06">
        <w:tblPrEx>
          <w:tblCellMar>
            <w:top w:w="0" w:type="dxa"/>
            <w:bottom w:w="0" w:type="dxa"/>
          </w:tblCellMar>
        </w:tblPrEx>
        <w:tc>
          <w:tcPr>
            <w:tcW w:w="1841"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K-prototypes</w:t>
            </w:r>
          </w:p>
        </w:tc>
        <w:tc>
          <w:tcPr>
            <w:tcW w:w="143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(b)</w:t>
            </w:r>
          </w:p>
        </w:tc>
        <w:tc>
          <w:tcPr>
            <w:tcW w:w="214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proofErr w:type="spellStart"/>
            <w:proofErr w:type="gramStart"/>
            <w:r>
              <w:rPr>
                <w:color w:val="1A1F2B"/>
                <w:sz w:val="19"/>
                <w:szCs w:val="19"/>
              </w:rPr>
              <w:t>euclid</w:t>
            </w:r>
            <w:proofErr w:type="spellEnd"/>
            <w:proofErr w:type="gramEnd"/>
            <w:r>
              <w:rPr>
                <w:color w:val="1A1F2B"/>
                <w:sz w:val="19"/>
                <w:szCs w:val="19"/>
              </w:rPr>
              <w:t xml:space="preserve">. + </w:t>
            </w:r>
            <w:proofErr w:type="spellStart"/>
            <w:r>
              <w:rPr>
                <w:color w:val="1A1F2B"/>
                <w:sz w:val="19"/>
                <w:szCs w:val="19"/>
              </w:rPr>
              <w:t>γ·désaccord</w:t>
            </w:r>
            <w:proofErr w:type="spellEnd"/>
          </w:p>
        </w:tc>
        <w:tc>
          <w:tcPr>
            <w:tcW w:w="6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5</w:t>
            </w:r>
          </w:p>
        </w:tc>
        <w:tc>
          <w:tcPr>
            <w:tcW w:w="112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0,139</w:t>
            </w:r>
          </w:p>
        </w:tc>
        <w:tc>
          <w:tcPr>
            <w:tcW w:w="102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1,88</w:t>
            </w:r>
          </w:p>
        </w:tc>
        <w:tc>
          <w:tcPr>
            <w:tcW w:w="1229"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0,102</w:t>
            </w:r>
          </w:p>
        </w:tc>
      </w:tr>
      <w:tr w:rsidR="00415B06">
        <w:tblPrEx>
          <w:tblCellMar>
            <w:top w:w="0" w:type="dxa"/>
            <w:bottom w:w="0" w:type="dxa"/>
          </w:tblCellMar>
        </w:tblPrEx>
        <w:tc>
          <w:tcPr>
            <w:tcW w:w="1841"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GMM (full)</w:t>
            </w:r>
          </w:p>
        </w:tc>
        <w:tc>
          <w:tcPr>
            <w:tcW w:w="143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PCA 80 %</w:t>
            </w:r>
          </w:p>
        </w:tc>
        <w:tc>
          <w:tcPr>
            <w:tcW w:w="2148"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probabiliste</w:t>
            </w:r>
          </w:p>
        </w:tc>
        <w:tc>
          <w:tcPr>
            <w:tcW w:w="6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6</w:t>
            </w:r>
          </w:p>
        </w:tc>
        <w:tc>
          <w:tcPr>
            <w:tcW w:w="112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0,047</w:t>
            </w:r>
          </w:p>
        </w:tc>
        <w:tc>
          <w:tcPr>
            <w:tcW w:w="102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2,79</w:t>
            </w:r>
          </w:p>
        </w:tc>
        <w:tc>
          <w:tcPr>
            <w:tcW w:w="1229"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w:t>
            </w:r>
          </w:p>
        </w:tc>
      </w:tr>
    </w:tbl>
    <w:p w:rsidR="00415B06" w:rsidRDefault="00BC59FE">
      <w:pPr>
        <w:spacing w:before="60" w:after="200"/>
        <w:jc w:val="center"/>
      </w:pPr>
      <w:r>
        <w:rPr>
          <w:b/>
          <w:bCs/>
          <w:color w:val="5F6B7A"/>
          <w:sz w:val="19"/>
          <w:szCs w:val="19"/>
        </w:rPr>
        <w:t xml:space="preserve">Tableau 3 – </w:t>
      </w:r>
      <w:r>
        <w:rPr>
          <w:color w:val="5F6B7A"/>
          <w:sz w:val="19"/>
          <w:szCs w:val="19"/>
        </w:rPr>
        <w:t>Tableau comparatif du Jour 2 (indices calculés dans l'espace commun (a)).</w:t>
      </w:r>
    </w:p>
    <w:p w:rsidR="00415B06" w:rsidRDefault="00BC59FE">
      <w:pPr>
        <w:spacing w:after="120" w:line="288" w:lineRule="auto"/>
        <w:jc w:val="both"/>
      </w:pPr>
      <w:r>
        <w:t>K-</w:t>
      </w:r>
      <w:proofErr w:type="spellStart"/>
      <w:r>
        <w:t>means</w:t>
      </w:r>
      <w:proofErr w:type="spellEnd"/>
      <w:r>
        <w:t xml:space="preserve"> et K-prototypes dominent dans l'espace commun. K-</w:t>
      </w:r>
      <w:proofErr w:type="spellStart"/>
      <w:r>
        <w:t>medoids</w:t>
      </w:r>
      <w:proofErr w:type="spellEnd"/>
      <w:r>
        <w:t xml:space="preserve">/Gower a la meilleure silhouette </w:t>
      </w:r>
      <w:r>
        <w:rPr>
          <w:i/>
          <w:iCs/>
        </w:rPr>
        <w:t>native</w:t>
      </w:r>
      <w:r>
        <w:t xml:space="preserve"> mais une mauvaise silhouette vue depuis (a) : les deux géométries ne racontent pas la même histoire, d'où l'importance du choix de la distance.</w:t>
      </w:r>
    </w:p>
    <w:p w:rsidR="00415B06" w:rsidRDefault="00BC59FE">
      <w:pPr>
        <w:pStyle w:val="Titre1"/>
      </w:pPr>
      <w:bookmarkStart w:id="9" w:name="_Toc242219249"/>
      <w:r>
        <w:t xml:space="preserve">5. </w:t>
      </w:r>
      <w:proofErr w:type="spellStart"/>
      <w:r>
        <w:t>Clust</w:t>
      </w:r>
      <w:r>
        <w:t>ering</w:t>
      </w:r>
      <w:proofErr w:type="spellEnd"/>
      <w:r>
        <w:t xml:space="preserve"> hiérarchique et par densité</w:t>
      </w:r>
      <w:bookmarkEnd w:id="9"/>
    </w:p>
    <w:p w:rsidR="00415B06" w:rsidRDefault="00BC59FE">
      <w:pPr>
        <w:pStyle w:val="Titre2"/>
      </w:pPr>
      <w:bookmarkStart w:id="10" w:name="_Toc242219250"/>
      <w:r>
        <w:t>5.1 Classification ascendante hiérarchique</w:t>
      </w:r>
      <w:bookmarkEnd w:id="10"/>
    </w:p>
    <w:p w:rsidR="00415B06" w:rsidRDefault="00BC59FE">
      <w:pPr>
        <w:spacing w:after="120" w:line="288" w:lineRule="auto"/>
        <w:jc w:val="both"/>
      </w:pPr>
      <w:r>
        <w:t xml:space="preserve">Quatre liens ont été testés en euclidienne (single, </w:t>
      </w:r>
      <w:proofErr w:type="spellStart"/>
      <w:r>
        <w:t>complete</w:t>
      </w:r>
      <w:proofErr w:type="spellEnd"/>
      <w:r>
        <w:t xml:space="preserve">, </w:t>
      </w:r>
      <w:proofErr w:type="spellStart"/>
      <w:r>
        <w:t>average</w:t>
      </w:r>
      <w:proofErr w:type="spellEnd"/>
      <w:r>
        <w:t>, Ward) et trois sur Gower.</w:t>
      </w:r>
    </w:p>
    <w:p w:rsidR="00415B06" w:rsidRDefault="00BC59FE">
      <w:pPr>
        <w:keepNext/>
        <w:spacing w:before="120" w:after="60"/>
        <w:jc w:val="center"/>
      </w:pPr>
      <w:r>
        <w:rPr>
          <w:noProof/>
        </w:rPr>
        <w:drawing>
          <wp:inline distT="0" distB="0" distL="0" distR="0">
            <wp:extent cx="5676900" cy="3162300"/>
            <wp:effectExtent l="0" t="0" r="0" b="0"/>
            <wp:docPr id="6" name="j3_dendrogrammes.png" descr="Dendrogrammes tronqués (30 derniers regroupements) pour les quatre liens." title="Dendrogrammes tronqués (30 derniers regroupements) pour les quatre 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76900" cy="3162300"/>
                    </a:xfrm>
                    <a:prstGeom prst="rect">
                      <a:avLst/>
                    </a:prstGeom>
                  </pic:spPr>
                </pic:pic>
              </a:graphicData>
            </a:graphic>
          </wp:inline>
        </w:drawing>
      </w:r>
    </w:p>
    <w:p w:rsidR="00415B06" w:rsidRDefault="00BC59FE">
      <w:pPr>
        <w:spacing w:after="200"/>
        <w:jc w:val="center"/>
      </w:pPr>
      <w:r>
        <w:rPr>
          <w:b/>
          <w:bCs/>
          <w:color w:val="5F6B7A"/>
          <w:sz w:val="19"/>
          <w:szCs w:val="19"/>
        </w:rPr>
        <w:t xml:space="preserve">Figure 6 – </w:t>
      </w:r>
      <w:r>
        <w:rPr>
          <w:color w:val="5F6B7A"/>
          <w:sz w:val="19"/>
          <w:szCs w:val="19"/>
        </w:rPr>
        <w:t>Dendrogrammes tronqués (30 derniers regroupements) pour les quatre liens.</w:t>
      </w:r>
    </w:p>
    <w:p w:rsidR="00415B06" w:rsidRDefault="00BC59FE">
      <w:pPr>
        <w:pStyle w:val="Paragraphedeliste"/>
        <w:numPr>
          <w:ilvl w:val="0"/>
          <w:numId w:val="2"/>
        </w:numPr>
        <w:spacing w:after="60" w:line="276" w:lineRule="auto"/>
      </w:pPr>
      <w:r>
        <w:rPr>
          <w:b/>
          <w:bCs/>
        </w:rPr>
        <w:t>Single</w:t>
      </w:r>
      <w:r>
        <w:t xml:space="preserve"> : silhouette la plus haute (0,68 à k = 2) mais trompeuse. Le plus gros cluster regroupe 99,6 à 100 % des clients : c'est l'</w:t>
      </w:r>
      <w:r>
        <w:rPr>
          <w:i/>
          <w:iCs/>
        </w:rPr>
        <w:t>effet de chaîne</w:t>
      </w:r>
      <w:r>
        <w:t>.</w:t>
      </w:r>
    </w:p>
    <w:p w:rsidR="00415B06" w:rsidRDefault="00BC59FE">
      <w:pPr>
        <w:pStyle w:val="Paragraphedeliste"/>
        <w:numPr>
          <w:ilvl w:val="0"/>
          <w:numId w:val="2"/>
        </w:numPr>
        <w:spacing w:after="60" w:line="276" w:lineRule="auto"/>
      </w:pPr>
      <w:proofErr w:type="spellStart"/>
      <w:r>
        <w:rPr>
          <w:b/>
          <w:bCs/>
        </w:rPr>
        <w:t>Average</w:t>
      </w:r>
      <w:proofErr w:type="spellEnd"/>
      <w:r>
        <w:rPr>
          <w:b/>
          <w:bCs/>
        </w:rPr>
        <w:t xml:space="preserve"> / </w:t>
      </w:r>
      <w:proofErr w:type="spellStart"/>
      <w:r>
        <w:rPr>
          <w:b/>
          <w:bCs/>
        </w:rPr>
        <w:t>complete</w:t>
      </w:r>
      <w:proofErr w:type="spellEnd"/>
      <w:r>
        <w:t xml:space="preserve"> : meilleure fidélité aux distances (corrélation </w:t>
      </w:r>
      <w:proofErr w:type="spellStart"/>
      <w:r>
        <w:t>cophénétique</w:t>
      </w:r>
      <w:proofErr w:type="spellEnd"/>
      <w:r>
        <w:t xml:space="preserve"> 0,78 et 0,74), mais un groupe dominant (&gt; 95 % jusqu'à k = 7). Ces liens isolent surtout des atypiques.</w:t>
      </w:r>
    </w:p>
    <w:p w:rsidR="00415B06" w:rsidRDefault="00BC59FE">
      <w:pPr>
        <w:pStyle w:val="Paragraphedeliste"/>
        <w:numPr>
          <w:ilvl w:val="0"/>
          <w:numId w:val="2"/>
        </w:numPr>
        <w:spacing w:after="60" w:line="276" w:lineRule="auto"/>
      </w:pPr>
      <w:r>
        <w:rPr>
          <w:b/>
          <w:bCs/>
        </w:rPr>
        <w:t>Ward</w:t>
      </w:r>
      <w:r>
        <w:t xml:space="preserve"> : </w:t>
      </w:r>
      <w:proofErr w:type="spellStart"/>
      <w:r>
        <w:t>cophénétique</w:t>
      </w:r>
      <w:proofErr w:type="spellEnd"/>
      <w:r>
        <w:t xml:space="preserve"> plus faible (0,53), mais des groupes de tailles comparables. Le plus g</w:t>
      </w:r>
      <w:r>
        <w:t xml:space="preserve">rand saut de hauteur suggère 5 groupes et la silhouette, pour k ≥ 3, culmine à </w:t>
      </w:r>
      <w:r>
        <w:rPr>
          <w:b/>
          <w:bCs/>
        </w:rPr>
        <w:t>k = 4</w:t>
      </w:r>
      <w:r>
        <w:t xml:space="preserve"> (0,189 ; tailles 2 616 / 603 / 325 / 456).</w:t>
      </w:r>
    </w:p>
    <w:p w:rsidR="00415B06" w:rsidRDefault="00BC59FE">
      <w:pPr>
        <w:pStyle w:val="Titre2"/>
      </w:pPr>
      <w:bookmarkStart w:id="11" w:name="_Toc242219251"/>
      <w:r>
        <w:t>5.2 DBSCAN</w:t>
      </w:r>
      <w:bookmarkEnd w:id="11"/>
    </w:p>
    <w:p w:rsidR="00415B06" w:rsidRDefault="00BC59FE">
      <w:pPr>
        <w:spacing w:after="120" w:line="288" w:lineRule="auto"/>
        <w:jc w:val="both"/>
      </w:pPr>
      <w:proofErr w:type="spellStart"/>
      <w:proofErr w:type="gramStart"/>
      <w:r>
        <w:rPr>
          <w:rFonts w:ascii="Consolas" w:eastAsia="Consolas" w:hAnsi="Consolas" w:cs="Consolas"/>
          <w:sz w:val="20"/>
          <w:szCs w:val="20"/>
        </w:rPr>
        <w:t>min</w:t>
      </w:r>
      <w:proofErr w:type="gramEnd"/>
      <w:r>
        <w:rPr>
          <w:rFonts w:ascii="Consolas" w:eastAsia="Consolas" w:hAnsi="Consolas" w:cs="Consolas"/>
          <w:sz w:val="20"/>
          <w:szCs w:val="20"/>
        </w:rPr>
        <w:t>_samples</w:t>
      </w:r>
      <w:proofErr w:type="spellEnd"/>
      <w:r>
        <w:t xml:space="preserve"> (e</w:t>
      </w:r>
      <w:r>
        <w:rPr>
          <w:i/>
          <w:iCs/>
        </w:rPr>
        <w:t>) est fixé, puis ε (d</w:t>
      </w:r>
      <w:r>
        <w:t>) est lu au coude du graphique des e*-distances triées (figure 7).</w:t>
      </w:r>
    </w:p>
    <w:p w:rsidR="00415B06" w:rsidRDefault="00BC59FE">
      <w:pPr>
        <w:pStyle w:val="Paragraphedeliste"/>
        <w:numPr>
          <w:ilvl w:val="0"/>
          <w:numId w:val="2"/>
        </w:numPr>
        <w:spacing w:after="60" w:line="276" w:lineRule="auto"/>
      </w:pPr>
      <w:r>
        <w:t>Sur UMAP avec e</w:t>
      </w:r>
      <w:r>
        <w:rPr>
          <w:i/>
          <w:iCs/>
        </w:rPr>
        <w:t xml:space="preserve"> = 10 (règle 2 × </w:t>
      </w:r>
      <w:proofErr w:type="spellStart"/>
      <w:r>
        <w:rPr>
          <w:i/>
          <w:iCs/>
        </w:rPr>
        <w:t>dim</w:t>
      </w:r>
      <w:proofErr w:type="spellEnd"/>
      <w:r>
        <w:rPr>
          <w:i/>
          <w:iCs/>
        </w:rPr>
        <w:t>), ε</w:t>
      </w:r>
      <w:r>
        <w:t xml:space="preserve"> = 0,23 produit 17 micro-clusters.</w:t>
      </w:r>
    </w:p>
    <w:p w:rsidR="00415B06" w:rsidRDefault="00BC59FE">
      <w:pPr>
        <w:pStyle w:val="Paragraphedeliste"/>
        <w:numPr>
          <w:ilvl w:val="0"/>
          <w:numId w:val="2"/>
        </w:numPr>
        <w:spacing w:after="60" w:line="276" w:lineRule="auto"/>
      </w:pPr>
      <w:r>
        <w:t>Avec e</w:t>
      </w:r>
      <w:r>
        <w:rPr>
          <w:i/>
          <w:iCs/>
        </w:rPr>
        <w:t xml:space="preserve"> = 50, ε</w:t>
      </w:r>
      <w:r>
        <w:t xml:space="preserve"> = 0,52 donne </w:t>
      </w:r>
      <w:r>
        <w:rPr>
          <w:b/>
          <w:bCs/>
        </w:rPr>
        <w:t>6 clusters, 3 579 points cœur, 410 de bordure et 11 de bruit</w:t>
      </w:r>
      <w:r>
        <w:t>.</w:t>
      </w:r>
    </w:p>
    <w:p w:rsidR="00415B06" w:rsidRDefault="00BC59FE">
      <w:pPr>
        <w:pStyle w:val="Paragraphedeliste"/>
        <w:numPr>
          <w:ilvl w:val="0"/>
          <w:numId w:val="2"/>
        </w:numPr>
        <w:spacing w:after="60" w:line="276" w:lineRule="auto"/>
      </w:pPr>
      <w:r>
        <w:lastRenderedPageBreak/>
        <w:t>La sensibilité est forte : avec ε × 0,75 on obtient 20 clusters et 314 bruits.</w:t>
      </w:r>
    </w:p>
    <w:p w:rsidR="00415B06" w:rsidRDefault="00BC59FE">
      <w:pPr>
        <w:pStyle w:val="Paragraphedeliste"/>
        <w:numPr>
          <w:ilvl w:val="0"/>
          <w:numId w:val="2"/>
        </w:numPr>
        <w:spacing w:after="60" w:line="276" w:lineRule="auto"/>
      </w:pPr>
      <w:r>
        <w:t>En PCA 7D, la densité est pl</w:t>
      </w:r>
      <w:r>
        <w:t>us diffuse (3 clusters, 4 % de bruit).</w:t>
      </w:r>
    </w:p>
    <w:p w:rsidR="00415B06" w:rsidRDefault="00BC59FE">
      <w:pPr>
        <w:spacing w:before="120" w:after="120" w:line="288" w:lineRule="auto"/>
        <w:jc w:val="both"/>
      </w:pPr>
      <w:r>
        <w:t>Les clusters obtenus croisent période de taux (élevés ou bas) et historique de contact.</w:t>
      </w:r>
    </w:p>
    <w:p w:rsidR="00415B06" w:rsidRDefault="00BC59FE">
      <w:pPr>
        <w:keepNext/>
        <w:spacing w:before="120" w:after="60"/>
        <w:jc w:val="center"/>
      </w:pPr>
      <w:r>
        <w:rPr>
          <w:noProof/>
        </w:rPr>
        <w:drawing>
          <wp:inline distT="0" distB="0" distL="0" distR="0">
            <wp:extent cx="5676900" cy="2038350"/>
            <wp:effectExtent l="0" t="0" r="0" b="0"/>
            <wp:docPr id="7" name="j3_dbscan_umap.png" descr="DBSCAN sur UMAP : clusters, points cœur, de bordure et bruit." title="DBSCAN sur UMAP : clusters, points cœur, de bordure et b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76900" cy="2038350"/>
                    </a:xfrm>
                    <a:prstGeom prst="rect">
                      <a:avLst/>
                    </a:prstGeom>
                  </pic:spPr>
                </pic:pic>
              </a:graphicData>
            </a:graphic>
          </wp:inline>
        </w:drawing>
      </w:r>
    </w:p>
    <w:p w:rsidR="00415B06" w:rsidRDefault="00BC59FE">
      <w:pPr>
        <w:spacing w:after="200"/>
        <w:jc w:val="center"/>
      </w:pPr>
      <w:r>
        <w:rPr>
          <w:b/>
          <w:bCs/>
          <w:color w:val="5F6B7A"/>
          <w:sz w:val="19"/>
          <w:szCs w:val="19"/>
        </w:rPr>
        <w:t xml:space="preserve">Figure 7 – </w:t>
      </w:r>
      <w:r>
        <w:rPr>
          <w:color w:val="5F6B7A"/>
          <w:sz w:val="19"/>
          <w:szCs w:val="19"/>
        </w:rPr>
        <w:t>DBSCAN sur UMAP : clusters, points cœur, de bordure et bruit.</w:t>
      </w:r>
    </w:p>
    <w:p w:rsidR="00415B06" w:rsidRDefault="00BC59FE">
      <w:pPr>
        <w:pStyle w:val="Titre2"/>
      </w:pPr>
      <w:bookmarkStart w:id="12" w:name="_Toc242219252"/>
      <w:r>
        <w:t>5.3 Limites de K-</w:t>
      </w:r>
      <w:proofErr w:type="spellStart"/>
      <w:r>
        <w:t>means</w:t>
      </w:r>
      <w:bookmarkEnd w:id="12"/>
      <w:proofErr w:type="spellEnd"/>
    </w:p>
    <w:p w:rsidR="00415B06" w:rsidRDefault="00BC59FE">
      <w:pPr>
        <w:spacing w:after="120" w:line="288" w:lineRule="auto"/>
        <w:jc w:val="both"/>
      </w:pPr>
      <w:r>
        <w:t>Sur un jeu contrôlé (deux lunes</w:t>
      </w:r>
      <w:r>
        <w:t xml:space="preserve"> et 25 points isolés), K-</w:t>
      </w:r>
      <w:proofErr w:type="spellStart"/>
      <w:r>
        <w:t>means</w:t>
      </w:r>
      <w:proofErr w:type="spellEnd"/>
      <w:r>
        <w:t xml:space="preserve"> coupe linéairement les lunes et absorbe les isolés, alors que DBSCAN suit les formes non convexes et étiquette le bruit. Sur UMAP, K-</w:t>
      </w:r>
      <w:proofErr w:type="spellStart"/>
      <w:r>
        <w:t>means</w:t>
      </w:r>
      <w:proofErr w:type="spellEnd"/>
      <w:r>
        <w:t xml:space="preserve"> scinde ou fusionne arbitrairement les îlots.</w:t>
      </w:r>
    </w:p>
    <w:p w:rsidR="00415B06" w:rsidRDefault="00BC59FE">
      <w:pPr>
        <w:keepNext/>
        <w:spacing w:before="120" w:after="60"/>
        <w:jc w:val="center"/>
      </w:pPr>
      <w:r>
        <w:rPr>
          <w:noProof/>
        </w:rPr>
        <w:drawing>
          <wp:inline distT="0" distB="0" distL="0" distR="0">
            <wp:extent cx="5076825" cy="1714500"/>
            <wp:effectExtent l="0" t="0" r="0" b="0"/>
            <wp:docPr id="8" name="j3_kmeans_vs_dbscan_moons.png" descr="K-means contre DBSCAN sur des formes non convexes avec points isolés." title="K-means contre DBSCAN sur des formes non convexes avec points iso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76825" cy="1714500"/>
                    </a:xfrm>
                    <a:prstGeom prst="rect">
                      <a:avLst/>
                    </a:prstGeom>
                  </pic:spPr>
                </pic:pic>
              </a:graphicData>
            </a:graphic>
          </wp:inline>
        </w:drawing>
      </w:r>
    </w:p>
    <w:p w:rsidR="00415B06" w:rsidRDefault="00BC59FE">
      <w:pPr>
        <w:spacing w:after="200"/>
        <w:jc w:val="center"/>
      </w:pPr>
      <w:r>
        <w:rPr>
          <w:b/>
          <w:bCs/>
          <w:color w:val="5F6B7A"/>
          <w:sz w:val="19"/>
          <w:szCs w:val="19"/>
        </w:rPr>
        <w:t xml:space="preserve">Figure 8 – </w:t>
      </w:r>
      <w:r>
        <w:rPr>
          <w:color w:val="5F6B7A"/>
          <w:sz w:val="19"/>
          <w:szCs w:val="19"/>
        </w:rPr>
        <w:t>K-</w:t>
      </w:r>
      <w:proofErr w:type="spellStart"/>
      <w:r>
        <w:rPr>
          <w:color w:val="5F6B7A"/>
          <w:sz w:val="19"/>
          <w:szCs w:val="19"/>
        </w:rPr>
        <w:t>means</w:t>
      </w:r>
      <w:proofErr w:type="spellEnd"/>
      <w:r>
        <w:rPr>
          <w:color w:val="5F6B7A"/>
          <w:sz w:val="19"/>
          <w:szCs w:val="19"/>
        </w:rPr>
        <w:t xml:space="preserve"> contre DBSCAN sur de</w:t>
      </w:r>
      <w:r>
        <w:rPr>
          <w:color w:val="5F6B7A"/>
          <w:sz w:val="19"/>
          <w:szCs w:val="19"/>
        </w:rPr>
        <w:t>s formes non convexes avec points isolés.</w:t>
      </w:r>
    </w:p>
    <w:p w:rsidR="00415B06" w:rsidRDefault="00BC59FE">
      <w:pPr>
        <w:spacing w:after="120" w:line="288" w:lineRule="auto"/>
        <w:jc w:val="both"/>
      </w:pPr>
      <w:r>
        <w:t>DBSCAN a cependant ses propres limites : il dépend d'un seul ε, ce qui pose problème si les densités sont hétérogènes ; il se dégrade en grande dimension ; il n'affecte pas nativement un nouveau client. C'est un ex</w:t>
      </w:r>
      <w:r>
        <w:t>cellent outil exploratoire et de détection d'atypiques, moins un outil de segmentation opérationnelle.</w:t>
      </w:r>
    </w:p>
    <w:p w:rsidR="00415B06" w:rsidRDefault="00BC59FE">
      <w:pPr>
        <w:pStyle w:val="Titre1"/>
      </w:pPr>
      <w:bookmarkStart w:id="13" w:name="_Toc242219253"/>
      <w:r>
        <w:t>6. Validation</w:t>
      </w:r>
      <w:bookmarkEnd w:id="13"/>
    </w:p>
    <w:p w:rsidR="00415B06" w:rsidRDefault="00BC59FE">
      <w:pPr>
        <w:pStyle w:val="Titre2"/>
      </w:pPr>
      <w:bookmarkStart w:id="14" w:name="_Toc242219254"/>
      <w:r>
        <w:t>6.1 Indices internes et externes</w:t>
      </w:r>
      <w:bookmarkEnd w:id="14"/>
    </w:p>
    <w:p w:rsidR="00415B06" w:rsidRDefault="00BC59FE">
      <w:pPr>
        <w:spacing w:after="120" w:line="288" w:lineRule="auto"/>
        <w:jc w:val="both"/>
      </w:pPr>
      <w:r>
        <w:t>Pour 6 familles × 9 valeurs de k ainsi que DBSCAN, nous avons calculé :</w:t>
      </w:r>
    </w:p>
    <w:p w:rsidR="00415B06" w:rsidRDefault="00BC59FE">
      <w:pPr>
        <w:pStyle w:val="Paragraphedeliste"/>
        <w:numPr>
          <w:ilvl w:val="0"/>
          <w:numId w:val="2"/>
        </w:numPr>
        <w:spacing w:after="60" w:line="276" w:lineRule="auto"/>
      </w:pPr>
      <w:proofErr w:type="gramStart"/>
      <w:r>
        <w:t>les</w:t>
      </w:r>
      <w:proofErr w:type="gramEnd"/>
      <w:r>
        <w:t xml:space="preserve"> indices internes dans l'espace</w:t>
      </w:r>
      <w:r>
        <w:t xml:space="preserve"> commun (a) : silhouette, Davies-</w:t>
      </w:r>
      <w:proofErr w:type="spellStart"/>
      <w:r>
        <w:t>Bouldin</w:t>
      </w:r>
      <w:proofErr w:type="spellEnd"/>
      <w:r>
        <w:t xml:space="preserve"> et Dunn (implémentation personnelle), plus la silhouette Gower ;</w:t>
      </w:r>
    </w:p>
    <w:p w:rsidR="00415B06" w:rsidRDefault="00BC59FE">
      <w:pPr>
        <w:pStyle w:val="Paragraphedeliste"/>
        <w:numPr>
          <w:ilvl w:val="0"/>
          <w:numId w:val="2"/>
        </w:numPr>
        <w:spacing w:after="60" w:line="276" w:lineRule="auto"/>
      </w:pPr>
      <w:proofErr w:type="gramStart"/>
      <w:r>
        <w:t>les</w:t>
      </w:r>
      <w:proofErr w:type="gramEnd"/>
      <w:r>
        <w:t xml:space="preserve"> indices externes par rapport à </w:t>
      </w:r>
      <w:r>
        <w:rPr>
          <w:rFonts w:ascii="Consolas" w:eastAsia="Consolas" w:hAnsi="Consolas" w:cs="Consolas"/>
          <w:sz w:val="20"/>
          <w:szCs w:val="20"/>
        </w:rPr>
        <w:t>y</w:t>
      </w:r>
      <w:r>
        <w:t xml:space="preserve"> : ARI, NMI, homogénéité, complétude, V-mesure.</w:t>
      </w:r>
    </w:p>
    <w:p w:rsidR="00415B06" w:rsidRDefault="00BC59FE">
      <w:pPr>
        <w:keepNext/>
        <w:spacing w:before="120" w:after="60"/>
        <w:jc w:val="center"/>
      </w:pPr>
      <w:r>
        <w:rPr>
          <w:noProof/>
        </w:rPr>
        <w:lastRenderedPageBreak/>
        <w:drawing>
          <wp:inline distT="0" distB="0" distL="0" distR="0">
            <wp:extent cx="5972175" cy="2952750"/>
            <wp:effectExtent l="0" t="0" r="0" b="0"/>
            <wp:docPr id="9" name="j4_indices_par_k.png" descr="Indices internes et externes en fonction de k." title="Indices internes et externes en fonction de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952750"/>
                    </a:xfrm>
                    <a:prstGeom prst="rect">
                      <a:avLst/>
                    </a:prstGeom>
                  </pic:spPr>
                </pic:pic>
              </a:graphicData>
            </a:graphic>
          </wp:inline>
        </w:drawing>
      </w:r>
    </w:p>
    <w:p w:rsidR="00415B06" w:rsidRDefault="00BC59FE">
      <w:pPr>
        <w:spacing w:after="200"/>
        <w:jc w:val="center"/>
      </w:pPr>
      <w:r>
        <w:rPr>
          <w:b/>
          <w:bCs/>
          <w:color w:val="5F6B7A"/>
          <w:sz w:val="19"/>
          <w:szCs w:val="19"/>
        </w:rPr>
        <w:t xml:space="preserve">Figure 9 – </w:t>
      </w:r>
      <w:r>
        <w:rPr>
          <w:color w:val="5F6B7A"/>
          <w:sz w:val="19"/>
          <w:szCs w:val="19"/>
        </w:rPr>
        <w:t>Indices internes et externes en fonction de k.</w:t>
      </w:r>
    </w:p>
    <w:p w:rsidR="00415B06" w:rsidRDefault="00BC59FE">
      <w:pPr>
        <w:spacing w:after="120" w:line="288" w:lineRule="auto"/>
        <w:jc w:val="both"/>
      </w:pPr>
      <w:r>
        <w:t xml:space="preserve">La silhouette décroît avec k (structure grossière dominante) et reste modeste (&lt; 0,25), ce qui est attendu pour des données mixtes aux groupes </w:t>
      </w:r>
      <w:proofErr w:type="spellStart"/>
      <w:r>
        <w:t>recouvrants</w:t>
      </w:r>
      <w:proofErr w:type="spellEnd"/>
      <w:r>
        <w:t>. L'indice de Dunn est très faible partout : il dépend d'un seul couple min/max et est très sensible a</w:t>
      </w:r>
      <w:r>
        <w:t>ux atypiques. Davies-</w:t>
      </w:r>
      <w:proofErr w:type="spellStart"/>
      <w:r>
        <w:t>Bouldin</w:t>
      </w:r>
      <w:proofErr w:type="spellEnd"/>
      <w:r>
        <w:t xml:space="preserve"> est le plus discriminant.</w:t>
      </w:r>
    </w:p>
    <w:p w:rsidR="00415B06" w:rsidRDefault="00BC59FE">
      <w:pPr>
        <w:spacing w:after="120" w:line="288" w:lineRule="auto"/>
        <w:jc w:val="both"/>
      </w:pPr>
      <w:r>
        <w:t xml:space="preserve">Les indices externes sont faibles (ARI &lt; 0,16), ce qui est </w:t>
      </w:r>
      <w:r>
        <w:rPr>
          <w:b/>
          <w:bCs/>
        </w:rPr>
        <w:t>souhaitable</w:t>
      </w:r>
      <w:r>
        <w:t xml:space="preserve"> : une segmentation décrit des profils et ne cherche pas à reproduire une décision binaire déséquilibrée. On s'intéresse plutôt à l</w:t>
      </w:r>
      <w:r>
        <w:t>'</w:t>
      </w:r>
      <w:r>
        <w:rPr>
          <w:i/>
          <w:iCs/>
        </w:rPr>
        <w:t>homogénéité</w:t>
      </w:r>
      <w:r>
        <w:t>, qui traduit des segments aux taux de souscription contrastés.</w:t>
      </w:r>
    </w:p>
    <w:p w:rsidR="00415B06" w:rsidRDefault="00BC59FE">
      <w:pPr>
        <w:pStyle w:val="Titre2"/>
      </w:pPr>
      <w:bookmarkStart w:id="15" w:name="_Toc242219255"/>
      <w:r>
        <w:t>6.2 Stabilité</w:t>
      </w:r>
      <w:bookmarkEnd w:id="15"/>
    </w:p>
    <w:p w:rsidR="00415B06" w:rsidRDefault="00BC59FE">
      <w:pPr>
        <w:spacing w:after="120" w:line="288" w:lineRule="auto"/>
        <w:jc w:val="both"/>
      </w:pPr>
      <w:r>
        <w:t>K-</w:t>
      </w:r>
      <w:proofErr w:type="spellStart"/>
      <w:r>
        <w:t>means</w:t>
      </w:r>
      <w:proofErr w:type="spellEnd"/>
      <w:r>
        <w:t xml:space="preserve"> a été relancé avec 20 graines (</w:t>
      </w:r>
      <w:proofErr w:type="spellStart"/>
      <w:r>
        <w:rPr>
          <w:rFonts w:ascii="Consolas" w:eastAsia="Consolas" w:hAnsi="Consolas" w:cs="Consolas"/>
          <w:sz w:val="20"/>
          <w:szCs w:val="20"/>
        </w:rPr>
        <w:t>n_init</w:t>
      </w:r>
      <w:proofErr w:type="spellEnd"/>
      <w:r>
        <w:t xml:space="preserve"> = 1, 190 paires) et sur 20 </w:t>
      </w:r>
      <w:proofErr w:type="spellStart"/>
      <w:r>
        <w:t>rééchantillonnages</w:t>
      </w:r>
      <w:proofErr w:type="spellEnd"/>
      <w:r>
        <w:t xml:space="preserve"> </w:t>
      </w:r>
      <w:proofErr w:type="spellStart"/>
      <w:r>
        <w:t>bootstrap</w:t>
      </w:r>
      <w:proofErr w:type="spellEnd"/>
      <w:r>
        <w:t xml:space="preserve"> de la population, chaque modèle affectant ensuite toute la population.</w:t>
      </w:r>
    </w:p>
    <w:p w:rsidR="00415B06" w:rsidRDefault="00BC59FE">
      <w:pPr>
        <w:pStyle w:val="Paragraphedeliste"/>
        <w:numPr>
          <w:ilvl w:val="0"/>
          <w:numId w:val="2"/>
        </w:numPr>
        <w:spacing w:after="60" w:line="276" w:lineRule="auto"/>
      </w:pPr>
      <w:r>
        <w:t xml:space="preserve">La sensibilité à l'initialisation est réelle (ARI moyen 0,60–0,93), d'où </w:t>
      </w:r>
      <w:proofErr w:type="spellStart"/>
      <w:r>
        <w:rPr>
          <w:rFonts w:ascii="Consolas" w:eastAsia="Consolas" w:hAnsi="Consolas" w:cs="Consolas"/>
          <w:sz w:val="20"/>
          <w:szCs w:val="20"/>
        </w:rPr>
        <w:t>n_init</w:t>
      </w:r>
      <w:proofErr w:type="spellEnd"/>
      <w:r>
        <w:t xml:space="preserve"> ≥ 10.</w:t>
      </w:r>
    </w:p>
    <w:p w:rsidR="00415B06" w:rsidRDefault="00BC59FE">
      <w:pPr>
        <w:pStyle w:val="Paragraphedeliste"/>
        <w:numPr>
          <w:ilvl w:val="0"/>
          <w:numId w:val="2"/>
        </w:numPr>
        <w:spacing w:after="60" w:line="276" w:lineRule="auto"/>
      </w:pPr>
      <w:r>
        <w:t xml:space="preserve">En </w:t>
      </w:r>
      <w:proofErr w:type="spellStart"/>
      <w:r>
        <w:t>bootstrap</w:t>
      </w:r>
      <w:proofErr w:type="spellEnd"/>
      <w:r>
        <w:t>, k = 2, 4 et 5 sont stables (</w:t>
      </w:r>
      <w:r>
        <w:t>ARI ≥ 0,94) ; k = 3 (0,72 ± 0,28) et k ≥ 9 le sont moins.</w:t>
      </w:r>
    </w:p>
    <w:p w:rsidR="00415B06" w:rsidRDefault="00BC59FE">
      <w:pPr>
        <w:keepNext/>
        <w:spacing w:before="120" w:after="60"/>
        <w:jc w:val="center"/>
      </w:pPr>
      <w:r>
        <w:rPr>
          <w:noProof/>
        </w:rPr>
        <w:drawing>
          <wp:inline distT="0" distB="0" distL="0" distR="0">
            <wp:extent cx="3705225" cy="1905000"/>
            <wp:effectExtent l="0" t="0" r="0" b="0"/>
            <wp:docPr id="10" name="j4_stabilite.png" descr="Stabilité de K-means selon k (graines et bootstrap)." title="Stabilité de K-means selon k (graines et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05225" cy="1905000"/>
                    </a:xfrm>
                    <a:prstGeom prst="rect">
                      <a:avLst/>
                    </a:prstGeom>
                  </pic:spPr>
                </pic:pic>
              </a:graphicData>
            </a:graphic>
          </wp:inline>
        </w:drawing>
      </w:r>
    </w:p>
    <w:p w:rsidR="00415B06" w:rsidRDefault="00BC59FE">
      <w:pPr>
        <w:spacing w:after="200"/>
        <w:jc w:val="center"/>
      </w:pPr>
      <w:r>
        <w:rPr>
          <w:b/>
          <w:bCs/>
          <w:color w:val="5F6B7A"/>
          <w:sz w:val="19"/>
          <w:szCs w:val="19"/>
        </w:rPr>
        <w:t xml:space="preserve">Figure 10 – </w:t>
      </w:r>
      <w:r>
        <w:rPr>
          <w:color w:val="5F6B7A"/>
          <w:sz w:val="19"/>
          <w:szCs w:val="19"/>
        </w:rPr>
        <w:t>Stabilité de K-</w:t>
      </w:r>
      <w:proofErr w:type="spellStart"/>
      <w:r>
        <w:rPr>
          <w:color w:val="5F6B7A"/>
          <w:sz w:val="19"/>
          <w:szCs w:val="19"/>
        </w:rPr>
        <w:t>means</w:t>
      </w:r>
      <w:proofErr w:type="spellEnd"/>
      <w:r>
        <w:rPr>
          <w:color w:val="5F6B7A"/>
          <w:sz w:val="19"/>
          <w:szCs w:val="19"/>
        </w:rPr>
        <w:t xml:space="preserve"> selon k (graines et </w:t>
      </w:r>
      <w:proofErr w:type="spellStart"/>
      <w:r>
        <w:rPr>
          <w:color w:val="5F6B7A"/>
          <w:sz w:val="19"/>
          <w:szCs w:val="19"/>
        </w:rPr>
        <w:t>bootstrap</w:t>
      </w:r>
      <w:proofErr w:type="spellEnd"/>
      <w:r>
        <w:rPr>
          <w:color w:val="5F6B7A"/>
          <w:sz w:val="19"/>
          <w:szCs w:val="19"/>
        </w:rPr>
        <w:t>).</w:t>
      </w:r>
    </w:p>
    <w:p w:rsidR="00415B06" w:rsidRDefault="00BC59FE">
      <w:pPr>
        <w:pStyle w:val="Titre2"/>
      </w:pPr>
      <w:bookmarkStart w:id="16" w:name="_Toc242219256"/>
      <w:r>
        <w:t>6.3 Sélection de la solution</w:t>
      </w:r>
      <w:bookmarkEnd w:id="16"/>
    </w:p>
    <w:p w:rsidR="00415B06" w:rsidRDefault="00BC59FE">
      <w:pPr>
        <w:spacing w:after="120" w:line="288" w:lineRule="auto"/>
        <w:jc w:val="both"/>
      </w:pPr>
      <w:r>
        <w:t xml:space="preserve">Nous avons retenu cinq critères : </w:t>
      </w:r>
      <w:proofErr w:type="spellStart"/>
      <w:r>
        <w:t>actionnabilité</w:t>
      </w:r>
      <w:proofErr w:type="spellEnd"/>
      <w:r>
        <w:t xml:space="preserve"> (3 à 6 segments, aucun &lt; 5 %), qualité interne, stabi</w:t>
      </w:r>
      <w:r>
        <w:t xml:space="preserve">lité, homogénéité vis-à-vis de </w:t>
      </w:r>
      <w:r>
        <w:rPr>
          <w:rFonts w:ascii="Consolas" w:eastAsia="Consolas" w:hAnsi="Consolas" w:cs="Consolas"/>
          <w:sz w:val="20"/>
          <w:szCs w:val="20"/>
        </w:rPr>
        <w:t>y</w:t>
      </w:r>
      <w:r>
        <w:t xml:space="preserve"> et </w:t>
      </w:r>
      <w:proofErr w:type="spellStart"/>
      <w:r>
        <w:t>déployabilité</w:t>
      </w:r>
      <w:proofErr w:type="spellEnd"/>
      <w:r>
        <w:t>. Un score par rangs (silhouette, Davies-</w:t>
      </w:r>
      <w:proofErr w:type="spellStart"/>
      <w:r>
        <w:t>Bouldin</w:t>
      </w:r>
      <w:proofErr w:type="spellEnd"/>
      <w:r>
        <w:t xml:space="preserve">, V-mesure) place la </w:t>
      </w:r>
      <w:r>
        <w:rPr>
          <w:b/>
          <w:bCs/>
        </w:rPr>
        <w:t>CAH Ward à k = 4 en tête sur les trois critères</w:t>
      </w:r>
      <w:r>
        <w:t xml:space="preserve">. Comme la CAH ne sait ni affecter un nouveau client </w:t>
      </w:r>
      <w:r>
        <w:lastRenderedPageBreak/>
        <w:t>ni passer à l'échelle, nous avons adop</w:t>
      </w:r>
      <w:r>
        <w:t xml:space="preserve">té une </w:t>
      </w:r>
      <w:r>
        <w:rPr>
          <w:b/>
          <w:bCs/>
        </w:rPr>
        <w:t>classification mixte</w:t>
      </w:r>
      <w:r>
        <w:t xml:space="preserve"> : les 4 barycentres Ward initialisent un K-</w:t>
      </w:r>
      <w:proofErr w:type="spellStart"/>
      <w:r>
        <w:t>means</w:t>
      </w:r>
      <w:proofErr w:type="spellEnd"/>
      <w:r>
        <w:t xml:space="preserve"> sur les 41 176 clients.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4"/>
        <w:gridCol w:w="657"/>
        <w:gridCol w:w="1204"/>
        <w:gridCol w:w="985"/>
        <w:gridCol w:w="1313"/>
        <w:gridCol w:w="985"/>
        <w:gridCol w:w="1204"/>
      </w:tblGrid>
      <w:tr w:rsidR="00415B06">
        <w:tblPrEx>
          <w:tblCellMar>
            <w:top w:w="0" w:type="dxa"/>
            <w:bottom w:w="0" w:type="dxa"/>
          </w:tblCellMar>
        </w:tblPrEx>
        <w:trPr>
          <w:tblHeader/>
        </w:trPr>
        <w:tc>
          <w:tcPr>
            <w:tcW w:w="306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r>
              <w:rPr>
                <w:b/>
                <w:bCs/>
                <w:color w:val="FFFFFF"/>
                <w:sz w:val="19"/>
                <w:szCs w:val="19"/>
              </w:rPr>
              <w:t>Méthode</w:t>
            </w:r>
          </w:p>
        </w:tc>
        <w:tc>
          <w:tcPr>
            <w:tcW w:w="657"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k</w:t>
            </w:r>
          </w:p>
        </w:tc>
        <w:tc>
          <w:tcPr>
            <w:tcW w:w="120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proofErr w:type="spellStart"/>
            <w:r>
              <w:rPr>
                <w:b/>
                <w:bCs/>
                <w:color w:val="FFFFFF"/>
                <w:sz w:val="19"/>
                <w:szCs w:val="19"/>
              </w:rPr>
              <w:t>Silh</w:t>
            </w:r>
            <w:proofErr w:type="spellEnd"/>
            <w:r>
              <w:rPr>
                <w:b/>
                <w:bCs/>
                <w:color w:val="FFFFFF"/>
                <w:sz w:val="19"/>
                <w:szCs w:val="19"/>
              </w:rPr>
              <w:t>. (a)</w:t>
            </w:r>
          </w:p>
        </w:tc>
        <w:tc>
          <w:tcPr>
            <w:tcW w:w="985"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DB</w:t>
            </w:r>
          </w:p>
        </w:tc>
        <w:tc>
          <w:tcPr>
            <w:tcW w:w="131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proofErr w:type="spellStart"/>
            <w:r>
              <w:rPr>
                <w:b/>
                <w:bCs/>
                <w:color w:val="FFFFFF"/>
                <w:sz w:val="19"/>
                <w:szCs w:val="19"/>
              </w:rPr>
              <w:t>Silh</w:t>
            </w:r>
            <w:proofErr w:type="spellEnd"/>
            <w:r>
              <w:rPr>
                <w:b/>
                <w:bCs/>
                <w:color w:val="FFFFFF"/>
                <w:sz w:val="19"/>
                <w:szCs w:val="19"/>
              </w:rPr>
              <w:t>. Gower</w:t>
            </w:r>
          </w:p>
        </w:tc>
        <w:tc>
          <w:tcPr>
            <w:tcW w:w="985"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ARI</w:t>
            </w:r>
          </w:p>
        </w:tc>
        <w:tc>
          <w:tcPr>
            <w:tcW w:w="120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V-mesure</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CAH Ward</w:t>
            </w:r>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0,189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1,76</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0,168</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0,153</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0,066</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K-</w:t>
            </w:r>
            <w:proofErr w:type="spellStart"/>
            <w:r>
              <w:rPr>
                <w:color w:val="1A1F2B"/>
                <w:sz w:val="19"/>
                <w:szCs w:val="19"/>
              </w:rPr>
              <w:t>means</w:t>
            </w:r>
            <w:proofErr w:type="spellEnd"/>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6</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0,151</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1,77</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0,119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0,034</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0,041</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K-prototypes</w:t>
            </w:r>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5</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0,139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1,88</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0,102</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0,037</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0,051</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GMM</w:t>
            </w:r>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0,099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2,53</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0,169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0,049</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0,045</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K-</w:t>
            </w:r>
            <w:proofErr w:type="spellStart"/>
            <w:r>
              <w:rPr>
                <w:color w:val="1A1F2B"/>
                <w:sz w:val="19"/>
                <w:szCs w:val="19"/>
              </w:rPr>
              <w:t>medoids</w:t>
            </w:r>
            <w:proofErr w:type="spellEnd"/>
            <w:r>
              <w:rPr>
                <w:color w:val="1A1F2B"/>
                <w:sz w:val="19"/>
                <w:szCs w:val="19"/>
              </w:rPr>
              <w:t xml:space="preserve"> (Gower)</w:t>
            </w:r>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0,059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2,89</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0,158</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0,011</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0,021</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DBSCAN (UMAP)</w:t>
            </w:r>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6</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0,104</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2,25</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0,158</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0,072</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0,051</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DBSCAN (PCA)</w:t>
            </w:r>
          </w:p>
        </w:tc>
        <w:tc>
          <w:tcPr>
            <w:tcW w:w="65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0,121</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2,22</w:t>
            </w:r>
          </w:p>
        </w:tc>
        <w:tc>
          <w:tcPr>
            <w:tcW w:w="131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0,149</w:t>
            </w:r>
          </w:p>
        </w:tc>
        <w:tc>
          <w:tcPr>
            <w:tcW w:w="985"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0,160</w:t>
            </w:r>
          </w:p>
        </w:tc>
        <w:tc>
          <w:tcPr>
            <w:tcW w:w="120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0,055</w:t>
            </w:r>
          </w:p>
        </w:tc>
      </w:tr>
      <w:tr w:rsidR="00415B06">
        <w:tblPrEx>
          <w:tblCellMar>
            <w:top w:w="0" w:type="dxa"/>
            <w:bottom w:w="0" w:type="dxa"/>
          </w:tblCellMar>
        </w:tblPrEx>
        <w:tc>
          <w:tcPr>
            <w:tcW w:w="3064"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r>
              <w:rPr>
                <w:b/>
                <w:bCs/>
                <w:color w:val="1A1F2B"/>
                <w:sz w:val="19"/>
                <w:szCs w:val="19"/>
              </w:rPr>
              <w:t>Ward + K-</w:t>
            </w:r>
            <w:proofErr w:type="spellStart"/>
            <w:r>
              <w:rPr>
                <w:b/>
                <w:bCs/>
                <w:color w:val="1A1F2B"/>
                <w:sz w:val="19"/>
                <w:szCs w:val="19"/>
              </w:rPr>
              <w:t>means</w:t>
            </w:r>
            <w:proofErr w:type="spellEnd"/>
            <w:r>
              <w:rPr>
                <w:b/>
                <w:bCs/>
                <w:color w:val="1A1F2B"/>
                <w:sz w:val="19"/>
                <w:szCs w:val="19"/>
              </w:rPr>
              <w:t xml:space="preserve"> (retenue)</w:t>
            </w:r>
          </w:p>
        </w:tc>
        <w:tc>
          <w:tcPr>
            <w:tcW w:w="657"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pPr>
              <w:jc w:val="center"/>
            </w:pPr>
            <w:r>
              <w:rPr>
                <w:b/>
                <w:bCs/>
                <w:color w:val="1A1F2B"/>
                <w:sz w:val="19"/>
                <w:szCs w:val="19"/>
              </w:rPr>
              <w:t>4</w:t>
            </w:r>
          </w:p>
        </w:tc>
        <w:tc>
          <w:tcPr>
            <w:tcW w:w="1204"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pPr>
              <w:jc w:val="center"/>
            </w:pPr>
            <w:r>
              <w:rPr>
                <w:b/>
                <w:bCs/>
                <w:color w:val="1A1F2B"/>
                <w:sz w:val="19"/>
                <w:szCs w:val="19"/>
              </w:rPr>
              <w:t>0,192</w:t>
            </w:r>
          </w:p>
        </w:tc>
        <w:tc>
          <w:tcPr>
            <w:tcW w:w="985"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pPr>
              <w:jc w:val="center"/>
            </w:pPr>
            <w:r>
              <w:rPr>
                <w:b/>
                <w:bCs/>
                <w:color w:val="1A1F2B"/>
                <w:sz w:val="19"/>
                <w:szCs w:val="19"/>
              </w:rPr>
              <w:t>1,69</w:t>
            </w:r>
          </w:p>
        </w:tc>
        <w:tc>
          <w:tcPr>
            <w:tcW w:w="1313"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pPr>
              <w:jc w:val="center"/>
            </w:pPr>
            <w:r>
              <w:rPr>
                <w:b/>
                <w:bCs/>
                <w:color w:val="1A1F2B"/>
                <w:sz w:val="19"/>
                <w:szCs w:val="19"/>
              </w:rPr>
              <w:t>0,174</w:t>
            </w:r>
          </w:p>
        </w:tc>
        <w:tc>
          <w:tcPr>
            <w:tcW w:w="985"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pPr>
              <w:jc w:val="center"/>
            </w:pPr>
            <w:r>
              <w:rPr>
                <w:b/>
                <w:bCs/>
                <w:color w:val="1A1F2B"/>
                <w:sz w:val="19"/>
                <w:szCs w:val="19"/>
              </w:rPr>
              <w:t>0,151</w:t>
            </w:r>
          </w:p>
        </w:tc>
        <w:tc>
          <w:tcPr>
            <w:tcW w:w="1204" w:type="dxa"/>
            <w:tcBorders>
              <w:top w:val="single" w:sz="4" w:space="0" w:color="C9D1DC"/>
              <w:left w:val="single" w:sz="4" w:space="0" w:color="C9D1DC"/>
              <w:bottom w:val="single" w:sz="4" w:space="0" w:color="C9D1DC"/>
              <w:right w:val="single" w:sz="4" w:space="0" w:color="C9D1DC"/>
            </w:tcBorders>
            <w:shd w:val="clear" w:color="auto" w:fill="FBE3E0"/>
            <w:tcMar>
              <w:top w:w="60" w:type="dxa"/>
              <w:left w:w="90" w:type="dxa"/>
              <w:bottom w:w="60" w:type="dxa"/>
              <w:right w:w="90" w:type="dxa"/>
            </w:tcMar>
            <w:vAlign w:val="center"/>
          </w:tcPr>
          <w:p w:rsidR="00415B06" w:rsidRDefault="00BC59FE">
            <w:pPr>
              <w:jc w:val="center"/>
            </w:pPr>
            <w:r>
              <w:rPr>
                <w:b/>
                <w:bCs/>
                <w:color w:val="1A1F2B"/>
                <w:sz w:val="19"/>
                <w:szCs w:val="19"/>
              </w:rPr>
              <w:t>0,062</w:t>
            </w:r>
          </w:p>
        </w:tc>
      </w:tr>
    </w:tbl>
    <w:p w:rsidR="00415B06" w:rsidRDefault="00BC59FE">
      <w:pPr>
        <w:spacing w:before="60" w:after="200"/>
        <w:jc w:val="center"/>
      </w:pPr>
      <w:r>
        <w:rPr>
          <w:b/>
          <w:bCs/>
          <w:color w:val="5F6B7A"/>
          <w:sz w:val="19"/>
          <w:szCs w:val="19"/>
        </w:rPr>
        <w:t xml:space="preserve">Tableau 4 – </w:t>
      </w:r>
      <w:r>
        <w:rPr>
          <w:color w:val="5F6B7A"/>
          <w:sz w:val="19"/>
          <w:szCs w:val="19"/>
        </w:rPr>
        <w:t>Synthèse des indices (meilleure solution admissible par famille, échantillon n = 4 000).</w:t>
      </w:r>
    </w:p>
    <w:p w:rsidR="00415B06" w:rsidRDefault="00BC59FE">
      <w:pPr>
        <w:spacing w:after="120" w:line="288" w:lineRule="auto"/>
        <w:jc w:val="both"/>
      </w:pPr>
      <w:r>
        <w:t>La consolidation reproduit fidèlement Ward (ARI 0,98 sur l'échantillon) et améliore silhouette et Davies-</w:t>
      </w:r>
      <w:proofErr w:type="spellStart"/>
      <w:r>
        <w:t>Bouldin</w:t>
      </w:r>
      <w:proofErr w:type="spellEnd"/>
      <w:r>
        <w:t xml:space="preserve">. Elle est </w:t>
      </w:r>
      <w:r>
        <w:rPr>
          <w:b/>
          <w:bCs/>
        </w:rPr>
        <w:t>extrêmement stable</w:t>
      </w:r>
      <w:r>
        <w:t xml:space="preserve"> au </w:t>
      </w:r>
      <w:proofErr w:type="spellStart"/>
      <w:r>
        <w:t>rééchantillonnage</w:t>
      </w:r>
      <w:proofErr w:type="spellEnd"/>
      <w:r>
        <w:t xml:space="preserve"> une fois les centres fixés (ARI </w:t>
      </w:r>
      <w:proofErr w:type="spellStart"/>
      <w:r>
        <w:t>bootstrap</w:t>
      </w:r>
      <w:proofErr w:type="spellEnd"/>
      <w:r>
        <w:t xml:space="preserve"> 0,999).</w:t>
      </w:r>
    </w:p>
    <w:p w:rsidR="00415B06" w:rsidRDefault="00BC59FE">
      <w:pPr>
        <w:spacing w:after="120" w:line="288" w:lineRule="auto"/>
        <w:jc w:val="both"/>
      </w:pPr>
      <w:r>
        <w:rPr>
          <w:i/>
          <w:iCs/>
        </w:rPr>
        <w:t>Limite</w:t>
      </w:r>
      <w:r>
        <w:t xml:space="preserve"> : la chaîne complète, avec une CAH refaite sur chaque </w:t>
      </w:r>
      <w:proofErr w:type="spellStart"/>
      <w:r>
        <w:t>bootstrap</w:t>
      </w:r>
      <w:proofErr w:type="spellEnd"/>
      <w:r>
        <w:t>, est moins stable (ARI 0,72 ± 0,23), car la CAH coupe parfois différemment les petits groupes. Il faut donc figer</w:t>
      </w:r>
      <w:r>
        <w:t xml:space="preserve"> les centres de référence et les ré-estimer périodiquement. Enfin, K-</w:t>
      </w:r>
      <w:proofErr w:type="spellStart"/>
      <w:r>
        <w:t>means</w:t>
      </w:r>
      <w:proofErr w:type="spellEnd"/>
      <w:r>
        <w:t xml:space="preserve"> standard à k = 4 atteint une inertie plus faible (234 094 contre 243 332), mais avec une moins bonne séparation (silhouette 0,148).</w:t>
      </w:r>
    </w:p>
    <w:p w:rsidR="00415B06" w:rsidRDefault="00BC59FE">
      <w:pPr>
        <w:pStyle w:val="Titre1"/>
      </w:pPr>
      <w:bookmarkStart w:id="17" w:name="_Toc242219257"/>
      <w:r>
        <w:t>7. Interprétation et recommandations</w:t>
      </w:r>
      <w:bookmarkEnd w:id="1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1233"/>
        <w:gridCol w:w="1233"/>
        <w:gridCol w:w="1233"/>
        <w:gridCol w:w="1233"/>
        <w:gridCol w:w="1343"/>
      </w:tblGrid>
      <w:tr w:rsidR="00415B06">
        <w:tblPrEx>
          <w:tblCellMar>
            <w:top w:w="0" w:type="dxa"/>
            <w:bottom w:w="0" w:type="dxa"/>
          </w:tblCellMar>
        </w:tblPrEx>
        <w:trPr>
          <w:tblHeader/>
        </w:trPr>
        <w:tc>
          <w:tcPr>
            <w:tcW w:w="3137"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415B06"/>
        </w:tc>
        <w:tc>
          <w:tcPr>
            <w:tcW w:w="123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S1</w:t>
            </w:r>
          </w:p>
        </w:tc>
        <w:tc>
          <w:tcPr>
            <w:tcW w:w="123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S2</w:t>
            </w:r>
          </w:p>
        </w:tc>
        <w:tc>
          <w:tcPr>
            <w:tcW w:w="123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S3</w:t>
            </w:r>
          </w:p>
        </w:tc>
        <w:tc>
          <w:tcPr>
            <w:tcW w:w="123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S4</w:t>
            </w:r>
          </w:p>
        </w:tc>
        <w:tc>
          <w:tcPr>
            <w:tcW w:w="134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Ensemble</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Clients (%)</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65,4</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17,0</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6,2</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11,4</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100</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Âge moyen</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40,2</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37,7</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47,0</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38,9</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40,0</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Appels (</w:t>
            </w:r>
            <w:proofErr w:type="spellStart"/>
            <w:r>
              <w:rPr>
                <w:color w:val="1A1F2B"/>
                <w:sz w:val="19"/>
                <w:szCs w:val="19"/>
              </w:rPr>
              <w:t>campaign</w:t>
            </w:r>
            <w:proofErr w:type="spellEnd"/>
            <w:r>
              <w:rPr>
                <w:color w:val="1A1F2B"/>
                <w:sz w:val="19"/>
                <w:szCs w:val="19"/>
              </w:rPr>
              <w:t>)</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2,83</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2,23</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1,82</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2,00</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2,57</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Contacts antérieurs</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0,00</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0,00</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0,41</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1,30</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0,17</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Euribor 3 mois</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4,84</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1,30</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0,79</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1,64</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3,62</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Confiance des ménages</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w:t>
            </w:r>
            <w:r>
              <w:rPr>
                <w:color w:val="1A1F2B"/>
                <w:sz w:val="19"/>
                <w:szCs w:val="19"/>
              </w:rPr>
              <w:t>39,4</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w:t>
            </w:r>
            <w:r>
              <w:rPr>
                <w:color w:val="1A1F2B"/>
                <w:sz w:val="19"/>
                <w:szCs w:val="19"/>
              </w:rPr>
              <w:t>45,9</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w:t>
            </w:r>
            <w:r>
              <w:rPr>
                <w:color w:val="1A1F2B"/>
                <w:sz w:val="19"/>
                <w:szCs w:val="19"/>
              </w:rPr>
              <w:t>31,5</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w:t>
            </w:r>
            <w:r>
              <w:rPr>
                <w:color w:val="1A1F2B"/>
                <w:sz w:val="19"/>
                <w:szCs w:val="19"/>
              </w:rPr>
              <w:t>43,8</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w:t>
            </w:r>
            <w:r>
              <w:rPr>
                <w:color w:val="1A1F2B"/>
                <w:sz w:val="19"/>
                <w:szCs w:val="19"/>
              </w:rPr>
              <w:t>40,5</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Mobile (%)</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49</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90</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87</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93</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63</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Défaut non déclaré (%)</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26</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13</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12</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21</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Taux de souscription (%)</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4,9</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17,3</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42,5</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22,0</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11,3</w:t>
            </w:r>
          </w:p>
        </w:tc>
      </w:tr>
      <w:tr w:rsidR="00415B06">
        <w:tblPrEx>
          <w:tblCellMar>
            <w:top w:w="0" w:type="dxa"/>
            <w:bottom w:w="0" w:type="dxa"/>
          </w:tblCellMar>
        </w:tblPrEx>
        <w:tc>
          <w:tcPr>
            <w:tcW w:w="313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Lift</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×0,43</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×1,54</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×3,77</w:t>
            </w:r>
          </w:p>
        </w:tc>
        <w:tc>
          <w:tcPr>
            <w:tcW w:w="123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×1,95</w:t>
            </w:r>
          </w:p>
        </w:tc>
        <w:tc>
          <w:tcPr>
            <w:tcW w:w="134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1</w:t>
            </w:r>
          </w:p>
        </w:tc>
      </w:tr>
    </w:tbl>
    <w:p w:rsidR="00415B06" w:rsidRDefault="00BC59FE">
      <w:pPr>
        <w:spacing w:before="60" w:after="200"/>
        <w:jc w:val="center"/>
      </w:pPr>
      <w:r>
        <w:rPr>
          <w:b/>
          <w:bCs/>
          <w:color w:val="5F6B7A"/>
          <w:sz w:val="19"/>
          <w:szCs w:val="19"/>
        </w:rPr>
        <w:t xml:space="preserve">Tableau 5 – </w:t>
      </w:r>
      <w:r>
        <w:rPr>
          <w:color w:val="5F6B7A"/>
          <w:sz w:val="19"/>
          <w:szCs w:val="19"/>
        </w:rPr>
        <w:t>Profils moyens des quatre segments (population complète).</w:t>
      </w:r>
    </w:p>
    <w:p w:rsidR="00415B06" w:rsidRDefault="00BC59FE">
      <w:pPr>
        <w:keepNext/>
        <w:spacing w:before="120" w:after="60"/>
        <w:jc w:val="center"/>
      </w:pPr>
      <w:r>
        <w:rPr>
          <w:noProof/>
        </w:rPr>
        <w:lastRenderedPageBreak/>
        <w:drawing>
          <wp:inline distT="0" distB="0" distL="0" distR="0">
            <wp:extent cx="5972175" cy="1571625"/>
            <wp:effectExtent l="0" t="0" r="0" b="0"/>
            <wp:docPr id="11" name="j5_radars.png" descr="Radar charts (moyennes ramenées entre le segment le plus bas et le plus haut)." title="Radar charts (moyennes ramenées entre le segment le plus bas et le plus h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1571625"/>
                    </a:xfrm>
                    <a:prstGeom prst="rect">
                      <a:avLst/>
                    </a:prstGeom>
                  </pic:spPr>
                </pic:pic>
              </a:graphicData>
            </a:graphic>
          </wp:inline>
        </w:drawing>
      </w:r>
    </w:p>
    <w:p w:rsidR="00415B06" w:rsidRDefault="00BC59FE">
      <w:pPr>
        <w:spacing w:after="200"/>
        <w:jc w:val="center"/>
      </w:pPr>
      <w:r>
        <w:rPr>
          <w:b/>
          <w:bCs/>
          <w:color w:val="5F6B7A"/>
          <w:sz w:val="19"/>
          <w:szCs w:val="19"/>
        </w:rPr>
        <w:t xml:space="preserve">Figure 11 – </w:t>
      </w:r>
      <w:r>
        <w:rPr>
          <w:color w:val="5F6B7A"/>
          <w:sz w:val="19"/>
          <w:szCs w:val="19"/>
        </w:rPr>
        <w:t>Radar charts (moyennes ramenées entre le segment le plus bas et le plus haut).</w:t>
      </w:r>
    </w:p>
    <w:p w:rsidR="00415B06" w:rsidRDefault="00BC59FE">
      <w:pPr>
        <w:keepNext/>
        <w:spacing w:before="120" w:after="60"/>
        <w:jc w:val="center"/>
      </w:pPr>
      <w:r>
        <w:rPr>
          <w:noProof/>
        </w:rPr>
        <w:drawing>
          <wp:inline distT="0" distB="0" distL="0" distR="0">
            <wp:extent cx="4781550" cy="1762125"/>
            <wp:effectExtent l="0" t="0" r="0" b="0"/>
            <wp:docPr id="12" name="j5_taux_souscription.png" descr="Taux de souscription par segment (la cible n'intervient qu'a posteriori)." title="Taux de souscription par segment (la cible n'intervient qu'a post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81550" cy="1762125"/>
                    </a:xfrm>
                    <a:prstGeom prst="rect">
                      <a:avLst/>
                    </a:prstGeom>
                  </pic:spPr>
                </pic:pic>
              </a:graphicData>
            </a:graphic>
          </wp:inline>
        </w:drawing>
      </w:r>
    </w:p>
    <w:p w:rsidR="00415B06" w:rsidRDefault="00BC59FE">
      <w:pPr>
        <w:spacing w:after="200"/>
        <w:jc w:val="center"/>
      </w:pPr>
      <w:r>
        <w:rPr>
          <w:b/>
          <w:bCs/>
          <w:color w:val="5F6B7A"/>
          <w:sz w:val="19"/>
          <w:szCs w:val="19"/>
        </w:rPr>
        <w:t xml:space="preserve">Figure 12 – </w:t>
      </w:r>
      <w:r>
        <w:rPr>
          <w:color w:val="5F6B7A"/>
          <w:sz w:val="19"/>
          <w:szCs w:val="19"/>
        </w:rPr>
        <w:t>Taux de souscription par segment (la cible n'intervient qu'a posteriori).</w:t>
      </w:r>
    </w:p>
    <w:p w:rsidR="00415B06" w:rsidRDefault="00BC59FE">
      <w:pPr>
        <w:spacing w:after="140" w:line="288" w:lineRule="auto"/>
        <w:jc w:val="both"/>
      </w:pPr>
      <w:r>
        <w:rPr>
          <w:b/>
          <w:bCs/>
          <w:color w:val="7F8C8D"/>
        </w:rPr>
        <w:t xml:space="preserve">S1 — Masse froide (fixe, taux élevés), 65 %. </w:t>
      </w:r>
      <w:r>
        <w:t xml:space="preserve">Ces clients n'ont jamais été contactés auparavant et ont été joints pour moitié sur ligne fixe, en période de taux élevés. Ils subissent la plus forte pression d'appel (2,8 appels) pour seulement 4,9 % de souscription. </w:t>
      </w:r>
      <w:r>
        <w:rPr>
          <w:b/>
          <w:bCs/>
        </w:rPr>
        <w:t>Recommandation</w:t>
      </w:r>
      <w:r>
        <w:t xml:space="preserve"> : plafonner à 2 appels</w:t>
      </w:r>
      <w:r>
        <w:t xml:space="preserve"> et basculer sur des canaux à bas coût (SMS, e-mail, application). L'appel conseiller ne se déclenche qu'après un signal d'intérêt (clic, simulation). Il faut aussi compléter les données manquantes.</w:t>
      </w:r>
    </w:p>
    <w:p w:rsidR="00415B06" w:rsidRDefault="00BC59FE">
      <w:pPr>
        <w:spacing w:after="140" w:line="288" w:lineRule="auto"/>
        <w:jc w:val="both"/>
      </w:pPr>
      <w:r>
        <w:rPr>
          <w:b/>
          <w:bCs/>
          <w:color w:val="2E86C1"/>
        </w:rPr>
        <w:t xml:space="preserve">S2 — Jeunes actifs mobiles, 17 %. </w:t>
      </w:r>
      <w:r>
        <w:t xml:space="preserve">38 ans en moyenne, 36 % de célibataires, joignables sur mobile, contactés en période de taux bas et de forte inquiétude économique (17,3 %). </w:t>
      </w:r>
      <w:r>
        <w:rPr>
          <w:b/>
          <w:bCs/>
        </w:rPr>
        <w:t>Recommandation</w:t>
      </w:r>
      <w:r>
        <w:t xml:space="preserve"> : campagne </w:t>
      </w:r>
      <w:r>
        <w:rPr>
          <w:i/>
          <w:iCs/>
        </w:rPr>
        <w:t>mobile-first</w:t>
      </w:r>
      <w:r>
        <w:t xml:space="preserve"> (SMS + rappel) proposant un dépôt à terme court et accessible (petit ticket,</w:t>
      </w:r>
      <w:r>
        <w:t xml:space="preserve"> sortie anticipée). L'argumentaire porte sur l'épargne de précaution, avec un parcours de souscription 100 % digital.</w:t>
      </w:r>
    </w:p>
    <w:p w:rsidR="00415B06" w:rsidRDefault="00BC59FE">
      <w:pPr>
        <w:spacing w:after="140" w:line="288" w:lineRule="auto"/>
        <w:jc w:val="both"/>
      </w:pPr>
      <w:r>
        <w:rPr>
          <w:b/>
          <w:bCs/>
          <w:color w:val="C0392B"/>
        </w:rPr>
        <w:t xml:space="preserve">S3 — Seniors et retraités épargnants, 6 %. </w:t>
      </w:r>
      <w:r>
        <w:t>47 ans, 21 % de retraités, presque aucun défaut non déclaré, une partie déjà convertie par le p</w:t>
      </w:r>
      <w:r>
        <w:t xml:space="preserve">assé : 42,5 % de souscription (lift ×3,8). </w:t>
      </w:r>
      <w:r>
        <w:rPr>
          <w:b/>
          <w:bCs/>
        </w:rPr>
        <w:t>Recommandation</w:t>
      </w:r>
      <w:r>
        <w:t xml:space="preserve"> : segment prioritaire, confié à des conseillers dédiés. On propose des dépôts longs à taux garanti mettant en avant la sécurité du capital, avec rendez-vous en agence ; un seul appel suffit.</w:t>
      </w:r>
    </w:p>
    <w:p w:rsidR="00415B06" w:rsidRDefault="00BC59FE">
      <w:pPr>
        <w:spacing w:after="140" w:line="288" w:lineRule="auto"/>
        <w:jc w:val="both"/>
      </w:pPr>
      <w:r>
        <w:rPr>
          <w:b/>
          <w:bCs/>
          <w:color w:val="E67E22"/>
        </w:rPr>
        <w:t>S4 — Cl</w:t>
      </w:r>
      <w:r>
        <w:rPr>
          <w:b/>
          <w:bCs/>
          <w:color w:val="E67E22"/>
        </w:rPr>
        <w:t xml:space="preserve">ients déjà sollicités, 11 %. </w:t>
      </w:r>
      <w:r>
        <w:t xml:space="preserve">Tous ont été contactés lors d'une campagne précédente (80 % d'échecs, 20 % de succès) ; 22 % souscrivent. </w:t>
      </w:r>
      <w:r>
        <w:rPr>
          <w:b/>
          <w:bCs/>
        </w:rPr>
        <w:t>Recommandation</w:t>
      </w:r>
      <w:r>
        <w:t xml:space="preserve"> : recontacter en priorité les anciens souscripteurs avec une offre de renouvellement. Pour les échecs, il </w:t>
      </w:r>
      <w:r>
        <w:t>faut changer d'offre et d'argumentaire plutôt que répéter le même appel, en espaçant les relances.</w:t>
      </w:r>
    </w:p>
    <w:p w:rsidR="00415B06" w:rsidRDefault="00BC59FE">
      <w:pPr>
        <w:spacing w:after="120" w:line="288" w:lineRule="auto"/>
        <w:jc w:val="both"/>
      </w:pPr>
      <w:r>
        <w:rPr>
          <w:b/>
          <w:bCs/>
          <w:color w:val="1F3A5F"/>
        </w:rPr>
        <w:t xml:space="preserve">Lecture transversale. </w:t>
      </w:r>
      <w:r>
        <w:t xml:space="preserve">S2, S3 et S4 représentent 35 % des clients mais </w:t>
      </w:r>
      <w:r>
        <w:rPr>
          <w:b/>
          <w:bCs/>
        </w:rPr>
        <w:t>72 % des souscripteurs</w:t>
      </w:r>
      <w:r>
        <w:t>. Concentrer les appels conseillers sur ces segments et traiter S</w:t>
      </w:r>
      <w:r>
        <w:t>1 par des canaux à bas coût réduirait fortement le volume d'appels pour un nombre de souscriptions comparable.</w:t>
      </w:r>
    </w:p>
    <w:p w:rsidR="00415B06" w:rsidRDefault="00BC59FE">
      <w:pPr>
        <w:spacing w:after="120" w:line="288" w:lineRule="auto"/>
        <w:jc w:val="both"/>
      </w:pPr>
      <w:r>
        <w:t xml:space="preserve">L'analyse temporelle </w:t>
      </w:r>
      <w:r>
        <w:rPr>
          <w:i/>
          <w:iCs/>
        </w:rPr>
        <w:t>a posteriori</w:t>
      </w:r>
      <w:r>
        <w:t xml:space="preserve"> (figure 13) montre un </w:t>
      </w:r>
      <w:r>
        <w:rPr>
          <w:b/>
          <w:bCs/>
        </w:rPr>
        <w:t>effet de période massif</w:t>
      </w:r>
      <w:r>
        <w:t xml:space="preserve"> : S1 regroupe la quasi-totalité des appels de 2008, et S3 n'émerg</w:t>
      </w:r>
      <w:r>
        <w:t xml:space="preserve">e qu'en 2010. Une partie de la segmentation reflète donc le </w:t>
      </w:r>
      <w:r>
        <w:lastRenderedPageBreak/>
        <w:t xml:space="preserve">contexte de taux autant que le client. C'est actionnable (choisir </w:t>
      </w:r>
      <w:r>
        <w:rPr>
          <w:i/>
          <w:iCs/>
        </w:rPr>
        <w:t>quand</w:t>
      </w:r>
      <w:r>
        <w:t xml:space="preserve"> appeler), mais cela impose une mise à jour régulière.</w:t>
      </w:r>
    </w:p>
    <w:p w:rsidR="00415B06" w:rsidRDefault="00BC59FE">
      <w:pPr>
        <w:keepNext/>
        <w:spacing w:before="120" w:after="60"/>
        <w:jc w:val="center"/>
      </w:pPr>
      <w:r>
        <w:rPr>
          <w:noProof/>
        </w:rPr>
        <w:drawing>
          <wp:inline distT="0" distB="0" distL="0" distR="0">
            <wp:extent cx="5381625" cy="1714500"/>
            <wp:effectExtent l="0" t="0" r="0" b="0"/>
            <wp:docPr id="13" name="j5_segments_temps.png" descr="Composition des segments selon les déciles chronologiques des appels." title="Composition des segments selon les déciles chronologiques des app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81625" cy="1714500"/>
                    </a:xfrm>
                    <a:prstGeom prst="rect">
                      <a:avLst/>
                    </a:prstGeom>
                  </pic:spPr>
                </pic:pic>
              </a:graphicData>
            </a:graphic>
          </wp:inline>
        </w:drawing>
      </w:r>
    </w:p>
    <w:p w:rsidR="00415B06" w:rsidRDefault="00BC59FE">
      <w:pPr>
        <w:spacing w:after="200"/>
        <w:jc w:val="center"/>
      </w:pPr>
      <w:r>
        <w:rPr>
          <w:b/>
          <w:bCs/>
          <w:color w:val="5F6B7A"/>
          <w:sz w:val="19"/>
          <w:szCs w:val="19"/>
        </w:rPr>
        <w:t xml:space="preserve">Figure 13 – </w:t>
      </w:r>
      <w:r>
        <w:rPr>
          <w:color w:val="5F6B7A"/>
          <w:sz w:val="19"/>
          <w:szCs w:val="19"/>
        </w:rPr>
        <w:t>Composition des segments selon les déciles chronologique</w:t>
      </w:r>
      <w:r>
        <w:rPr>
          <w:color w:val="5F6B7A"/>
          <w:sz w:val="19"/>
          <w:szCs w:val="19"/>
        </w:rPr>
        <w:t>s des appels.</w:t>
      </w:r>
    </w:p>
    <w:p w:rsidR="00415B06" w:rsidRDefault="00BC59FE">
      <w:pPr>
        <w:pStyle w:val="Titre1"/>
      </w:pPr>
      <w:bookmarkStart w:id="18" w:name="_Toc242219258"/>
      <w:r>
        <w:t>8. Extensions (bonus)</w:t>
      </w:r>
      <w:bookmarkEnd w:id="18"/>
    </w:p>
    <w:p w:rsidR="00415B06" w:rsidRDefault="00BC59FE">
      <w:pPr>
        <w:pStyle w:val="Titre2"/>
      </w:pPr>
      <w:bookmarkStart w:id="19" w:name="_Toc242219259"/>
      <w:r>
        <w:t>8.1 Détection d'anomalies</w:t>
      </w:r>
      <w:bookmarkEnd w:id="19"/>
    </w:p>
    <w:p w:rsidR="00415B06" w:rsidRDefault="00BC59FE">
      <w:pPr>
        <w:spacing w:after="120" w:line="288" w:lineRule="auto"/>
        <w:jc w:val="both"/>
      </w:pPr>
      <w:r>
        <w:t xml:space="preserve">Isolation Forest (300 arbres, contamination 1 %) isole </w:t>
      </w:r>
      <w:r>
        <w:rPr>
          <w:b/>
          <w:bCs/>
        </w:rPr>
        <w:t>411 clients atypiques</w:t>
      </w:r>
      <w:r>
        <w:t>. Ce sont des clients plus âgés (51 ans), au long historique (2 contacts antérieurs contre 0,15 ; 64 % d'anciens succè</w:t>
      </w:r>
      <w:r>
        <w:t xml:space="preserve">s), souvent retraités ou étudiants (47 % contre 6 %). Leur taux de souscription atteint </w:t>
      </w:r>
      <w:r>
        <w:rPr>
          <w:b/>
          <w:bCs/>
        </w:rPr>
        <w:t>54 %</w:t>
      </w:r>
      <w:r>
        <w:t>.</w:t>
      </w:r>
    </w:p>
    <w:p w:rsidR="00415B06" w:rsidRDefault="00BC59FE">
      <w:pPr>
        <w:spacing w:after="120" w:line="288" w:lineRule="auto"/>
        <w:jc w:val="both"/>
      </w:pPr>
      <w:r>
        <w:t>Ce ne sont donc pas des erreurs mais des niches à très forte valeur, logées dans S3 et S4, qui relèvent d'un suivi individuel. Le bruit DBSCAN en PCA a un score d</w:t>
      </w:r>
      <w:r>
        <w:t>'anomalie moyen supérieur à celui de l'échantillon (0,55 contre 0,46) et recouvre 21 % des atypiques Isolation Forest.</w:t>
      </w:r>
    </w:p>
    <w:p w:rsidR="00415B06" w:rsidRDefault="00BC59FE">
      <w:pPr>
        <w:keepNext/>
        <w:spacing w:before="120" w:after="60"/>
        <w:jc w:val="center"/>
      </w:pPr>
      <w:r>
        <w:rPr>
          <w:noProof/>
        </w:rPr>
        <w:drawing>
          <wp:inline distT="0" distB="0" distL="0" distR="0">
            <wp:extent cx="5676900" cy="1924050"/>
            <wp:effectExtent l="0" t="0" r="0" b="0"/>
            <wp:docPr id="14" name="b1_anomalies_umap.png" descr="Atypiques Isolation Forest et bruit DBSCAN projetés sur UMAP." title="Atypiques Isolation Forest et bruit DBSCAN projetés sur U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76900" cy="1924050"/>
                    </a:xfrm>
                    <a:prstGeom prst="rect">
                      <a:avLst/>
                    </a:prstGeom>
                  </pic:spPr>
                </pic:pic>
              </a:graphicData>
            </a:graphic>
          </wp:inline>
        </w:drawing>
      </w:r>
    </w:p>
    <w:p w:rsidR="00415B06" w:rsidRDefault="00BC59FE">
      <w:pPr>
        <w:spacing w:after="200"/>
        <w:jc w:val="center"/>
      </w:pPr>
      <w:r>
        <w:rPr>
          <w:b/>
          <w:bCs/>
          <w:color w:val="5F6B7A"/>
          <w:sz w:val="19"/>
          <w:szCs w:val="19"/>
        </w:rPr>
        <w:t xml:space="preserve">Figure 14 – </w:t>
      </w:r>
      <w:r>
        <w:rPr>
          <w:color w:val="5F6B7A"/>
          <w:sz w:val="19"/>
          <w:szCs w:val="19"/>
        </w:rPr>
        <w:t>Atypiques Isolation Forest et bruit DBSCAN projetés sur UMAP.</w:t>
      </w:r>
    </w:p>
    <w:p w:rsidR="00415B06" w:rsidRDefault="00BC59FE">
      <w:pPr>
        <w:pStyle w:val="Titre2"/>
      </w:pPr>
      <w:bookmarkStart w:id="20" w:name="_Toc242219260"/>
      <w:r>
        <w:t>8.2 Sélection de caractéristiques</w:t>
      </w:r>
      <w:bookmarkEnd w:id="20"/>
    </w:p>
    <w:p w:rsidR="00415B06" w:rsidRDefault="00BC59FE">
      <w:pPr>
        <w:spacing w:after="120" w:line="288" w:lineRule="auto"/>
        <w:jc w:val="both"/>
      </w:pPr>
      <w:r>
        <w:t>Quatre jeux de variables on</w:t>
      </w:r>
      <w:r>
        <w:t>t été comparés, chacun évalué par K-</w:t>
      </w:r>
      <w:proofErr w:type="spellStart"/>
      <w:r>
        <w:t>means</w:t>
      </w:r>
      <w:proofErr w:type="spellEnd"/>
      <w:r>
        <w:t xml:space="preserve"> à k = 4 sur l'échantillon (tableau 6) :</w:t>
      </w:r>
    </w:p>
    <w:p w:rsidR="00415B06" w:rsidRDefault="00BC59FE">
      <w:pPr>
        <w:pStyle w:val="Paragraphedeliste"/>
        <w:numPr>
          <w:ilvl w:val="0"/>
          <w:numId w:val="2"/>
        </w:numPr>
        <w:spacing w:after="60" w:line="276" w:lineRule="auto"/>
      </w:pPr>
      <w:proofErr w:type="gramStart"/>
      <w:r>
        <w:t>un</w:t>
      </w:r>
      <w:proofErr w:type="gramEnd"/>
      <w:r>
        <w:t xml:space="preserve"> filtre de variance sur les indicatrices (seuil 0,03), qui retire 3 petits métiers ;</w:t>
      </w:r>
    </w:p>
    <w:p w:rsidR="00415B06" w:rsidRDefault="00BC59FE">
      <w:pPr>
        <w:pStyle w:val="Paragraphedeliste"/>
        <w:numPr>
          <w:ilvl w:val="0"/>
          <w:numId w:val="2"/>
        </w:numPr>
        <w:spacing w:after="60" w:line="276" w:lineRule="auto"/>
      </w:pPr>
      <w:proofErr w:type="gramStart"/>
      <w:r>
        <w:t>un</w:t>
      </w:r>
      <w:proofErr w:type="gramEnd"/>
      <w:r>
        <w:t xml:space="preserve"> filtre de corrélation (|r| &gt; 0,7), qui retire 2 indicatrices redondantes ;</w:t>
      </w:r>
    </w:p>
    <w:p w:rsidR="00415B06" w:rsidRDefault="00BC59FE">
      <w:pPr>
        <w:pStyle w:val="Paragraphedeliste"/>
        <w:numPr>
          <w:ilvl w:val="0"/>
          <w:numId w:val="2"/>
        </w:numPr>
        <w:spacing w:after="60" w:line="276" w:lineRule="auto"/>
      </w:pPr>
      <w:proofErr w:type="gramStart"/>
      <w:r>
        <w:t>un</w:t>
      </w:r>
      <w:proofErr w:type="gramEnd"/>
      <w:r>
        <w:t xml:space="preserve"> </w:t>
      </w:r>
      <w:proofErr w:type="spellStart"/>
      <w:r>
        <w:rPr>
          <w:i/>
          <w:iCs/>
        </w:rPr>
        <w:t>wrappe</w:t>
      </w:r>
      <w:r>
        <w:rPr>
          <w:i/>
          <w:iCs/>
        </w:rPr>
        <w:t>r</w:t>
      </w:r>
      <w:proofErr w:type="spellEnd"/>
      <w:r>
        <w:t xml:space="preserve"> par sélection avant pas à pas maximisant la silhouette ;</w:t>
      </w:r>
    </w:p>
    <w:p w:rsidR="00415B06" w:rsidRDefault="00BC59FE">
      <w:pPr>
        <w:pStyle w:val="Paragraphedeliste"/>
        <w:numPr>
          <w:ilvl w:val="0"/>
          <w:numId w:val="2"/>
        </w:numPr>
        <w:spacing w:after="60" w:line="276" w:lineRule="auto"/>
      </w:pPr>
      <w:proofErr w:type="gramStart"/>
      <w:r>
        <w:t>une</w:t>
      </w:r>
      <w:proofErr w:type="gramEnd"/>
      <w:r>
        <w:t xml:space="preserve"> variante « profil pur » sans indicateurs macro-économiques.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1263"/>
        <w:gridCol w:w="1377"/>
        <w:gridCol w:w="1492"/>
        <w:gridCol w:w="2066"/>
      </w:tblGrid>
      <w:tr w:rsidR="00415B06">
        <w:tblPrEx>
          <w:tblCellMar>
            <w:top w:w="0" w:type="dxa"/>
            <w:bottom w:w="0" w:type="dxa"/>
          </w:tblCellMar>
        </w:tblPrEx>
        <w:trPr>
          <w:tblHeader/>
        </w:trPr>
        <w:tc>
          <w:tcPr>
            <w:tcW w:w="3214"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r>
              <w:rPr>
                <w:b/>
                <w:bCs/>
                <w:color w:val="FFFFFF"/>
                <w:sz w:val="19"/>
                <w:szCs w:val="19"/>
              </w:rPr>
              <w:t>Jeu de variables</w:t>
            </w:r>
          </w:p>
        </w:tc>
        <w:tc>
          <w:tcPr>
            <w:tcW w:w="1263"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Colonnes</w:t>
            </w:r>
          </w:p>
        </w:tc>
        <w:tc>
          <w:tcPr>
            <w:tcW w:w="1377"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Silhouette</w:t>
            </w:r>
          </w:p>
        </w:tc>
        <w:tc>
          <w:tcPr>
            <w:tcW w:w="1492"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V-mesure (y)</w:t>
            </w:r>
          </w:p>
        </w:tc>
        <w:tc>
          <w:tcPr>
            <w:tcW w:w="2066" w:type="dxa"/>
            <w:tcBorders>
              <w:top w:val="single" w:sz="4" w:space="0" w:color="C9D1DC"/>
              <w:left w:val="single" w:sz="4" w:space="0" w:color="C9D1DC"/>
              <w:bottom w:val="single" w:sz="4" w:space="0" w:color="C9D1DC"/>
              <w:right w:val="single" w:sz="4" w:space="0" w:color="C9D1DC"/>
            </w:tcBorders>
            <w:shd w:val="clear" w:color="auto" w:fill="1F3A5F"/>
            <w:tcMar>
              <w:top w:w="60" w:type="dxa"/>
              <w:left w:w="90" w:type="dxa"/>
              <w:bottom w:w="60" w:type="dxa"/>
              <w:right w:w="90" w:type="dxa"/>
            </w:tcMar>
            <w:vAlign w:val="center"/>
          </w:tcPr>
          <w:p w:rsidR="00415B06" w:rsidRDefault="00BC59FE">
            <w:pPr>
              <w:jc w:val="center"/>
            </w:pPr>
            <w:r>
              <w:rPr>
                <w:b/>
                <w:bCs/>
                <w:color w:val="FFFFFF"/>
                <w:sz w:val="19"/>
                <w:szCs w:val="19"/>
              </w:rPr>
              <w:t xml:space="preserve">V de </w:t>
            </w:r>
            <w:proofErr w:type="spellStart"/>
            <w:r>
              <w:rPr>
                <w:b/>
                <w:bCs/>
                <w:color w:val="FFFFFF"/>
                <w:sz w:val="19"/>
                <w:szCs w:val="19"/>
              </w:rPr>
              <w:t>Cramér</w:t>
            </w:r>
            <w:proofErr w:type="spellEnd"/>
            <w:r>
              <w:rPr>
                <w:b/>
                <w:bCs/>
                <w:color w:val="FFFFFF"/>
                <w:sz w:val="19"/>
                <w:szCs w:val="19"/>
              </w:rPr>
              <w:t xml:space="preserve"> (période)</w:t>
            </w:r>
          </w:p>
        </w:tc>
      </w:tr>
      <w:tr w:rsidR="00415B06">
        <w:tblPrEx>
          <w:tblCellMar>
            <w:top w:w="0" w:type="dxa"/>
            <w:bottom w:w="0" w:type="dxa"/>
          </w:tblCellMar>
        </w:tblPrEx>
        <w:tc>
          <w:tcPr>
            <w:tcW w:w="32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Toutes</w:t>
            </w:r>
          </w:p>
        </w:tc>
        <w:tc>
          <w:tcPr>
            <w:tcW w:w="126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27</w:t>
            </w:r>
          </w:p>
        </w:tc>
        <w:tc>
          <w:tcPr>
            <w:tcW w:w="137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0,148</w:t>
            </w:r>
          </w:p>
        </w:tc>
        <w:tc>
          <w:tcPr>
            <w:tcW w:w="149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0,024</w:t>
            </w:r>
          </w:p>
        </w:tc>
        <w:tc>
          <w:tcPr>
            <w:tcW w:w="206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0,54</w:t>
            </w:r>
          </w:p>
        </w:tc>
      </w:tr>
      <w:tr w:rsidR="00415B06">
        <w:tblPrEx>
          <w:tblCellMar>
            <w:top w:w="0" w:type="dxa"/>
            <w:bottom w:w="0" w:type="dxa"/>
          </w:tblCellMar>
        </w:tblPrEx>
        <w:tc>
          <w:tcPr>
            <w:tcW w:w="32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lastRenderedPageBreak/>
              <w:t>Filtre variance</w:t>
            </w:r>
          </w:p>
        </w:tc>
        <w:tc>
          <w:tcPr>
            <w:tcW w:w="126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24</w:t>
            </w:r>
          </w:p>
        </w:tc>
        <w:tc>
          <w:tcPr>
            <w:tcW w:w="137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0,150</w:t>
            </w:r>
          </w:p>
        </w:tc>
        <w:tc>
          <w:tcPr>
            <w:tcW w:w="149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0,024</w:t>
            </w:r>
          </w:p>
        </w:tc>
        <w:tc>
          <w:tcPr>
            <w:tcW w:w="206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0,54</w:t>
            </w:r>
          </w:p>
        </w:tc>
      </w:tr>
      <w:tr w:rsidR="00415B06">
        <w:tblPrEx>
          <w:tblCellMar>
            <w:top w:w="0" w:type="dxa"/>
            <w:bottom w:w="0" w:type="dxa"/>
          </w:tblCellMar>
        </w:tblPrEx>
        <w:tc>
          <w:tcPr>
            <w:tcW w:w="32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Filtre corrélation</w:t>
            </w:r>
          </w:p>
        </w:tc>
        <w:tc>
          <w:tcPr>
            <w:tcW w:w="126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25</w:t>
            </w:r>
          </w:p>
        </w:tc>
        <w:tc>
          <w:tcPr>
            <w:tcW w:w="137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0,149</w:t>
            </w:r>
          </w:p>
        </w:tc>
        <w:tc>
          <w:tcPr>
            <w:tcW w:w="149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0,024</w:t>
            </w:r>
          </w:p>
        </w:tc>
        <w:tc>
          <w:tcPr>
            <w:tcW w:w="206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0,54</w:t>
            </w:r>
          </w:p>
        </w:tc>
      </w:tr>
      <w:tr w:rsidR="00415B06">
        <w:tblPrEx>
          <w:tblCellMar>
            <w:top w:w="0" w:type="dxa"/>
            <w:bottom w:w="0" w:type="dxa"/>
          </w:tblCellMar>
        </w:tblPrEx>
        <w:tc>
          <w:tcPr>
            <w:tcW w:w="32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roofErr w:type="spellStart"/>
            <w:r>
              <w:rPr>
                <w:color w:val="1A1F2B"/>
                <w:sz w:val="19"/>
                <w:szCs w:val="19"/>
              </w:rPr>
              <w:t>Wrapper</w:t>
            </w:r>
            <w:proofErr w:type="spellEnd"/>
            <w:r>
              <w:rPr>
                <w:color w:val="1A1F2B"/>
                <w:sz w:val="19"/>
                <w:szCs w:val="19"/>
              </w:rPr>
              <w:t xml:space="preserve"> (6 variables)</w:t>
            </w:r>
          </w:p>
        </w:tc>
        <w:tc>
          <w:tcPr>
            <w:tcW w:w="126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8</w:t>
            </w:r>
          </w:p>
        </w:tc>
        <w:tc>
          <w:tcPr>
            <w:tcW w:w="137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0,561</w:t>
            </w:r>
          </w:p>
        </w:tc>
        <w:tc>
          <w:tcPr>
            <w:tcW w:w="149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0,060</w:t>
            </w:r>
          </w:p>
        </w:tc>
        <w:tc>
          <w:tcPr>
            <w:tcW w:w="206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0,57</w:t>
            </w:r>
          </w:p>
        </w:tc>
      </w:tr>
      <w:tr w:rsidR="00415B06">
        <w:tblPrEx>
          <w:tblCellMar>
            <w:top w:w="0" w:type="dxa"/>
            <w:bottom w:w="0" w:type="dxa"/>
          </w:tblCellMar>
        </w:tblPrEx>
        <w:tc>
          <w:tcPr>
            <w:tcW w:w="3214"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r>
              <w:rPr>
                <w:color w:val="1A1F2B"/>
                <w:sz w:val="19"/>
                <w:szCs w:val="19"/>
              </w:rPr>
              <w:t>Profil pur (sans macro)</w:t>
            </w:r>
          </w:p>
        </w:tc>
        <w:tc>
          <w:tcPr>
            <w:tcW w:w="1263"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25</w:t>
            </w:r>
          </w:p>
        </w:tc>
        <w:tc>
          <w:tcPr>
            <w:tcW w:w="1377"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0,156</w:t>
            </w:r>
          </w:p>
        </w:tc>
        <w:tc>
          <w:tcPr>
            <w:tcW w:w="1492"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0,015</w:t>
            </w:r>
          </w:p>
        </w:tc>
        <w:tc>
          <w:tcPr>
            <w:tcW w:w="206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rsidR="00415B06" w:rsidRDefault="00BC59FE">
            <w:pPr>
              <w:jc w:val="center"/>
            </w:pPr>
            <w:r>
              <w:rPr>
                <w:color w:val="1A1F2B"/>
                <w:sz w:val="19"/>
                <w:szCs w:val="19"/>
              </w:rPr>
              <w:t>0,31</w:t>
            </w:r>
          </w:p>
        </w:tc>
      </w:tr>
    </w:tbl>
    <w:p w:rsidR="00415B06" w:rsidRDefault="00BC59FE">
      <w:pPr>
        <w:spacing w:before="60" w:after="200"/>
        <w:jc w:val="center"/>
      </w:pPr>
      <w:r>
        <w:rPr>
          <w:b/>
          <w:bCs/>
          <w:color w:val="5F6B7A"/>
          <w:sz w:val="19"/>
          <w:szCs w:val="19"/>
        </w:rPr>
        <w:t xml:space="preserve">Tableau 6 – </w:t>
      </w:r>
      <w:r>
        <w:rPr>
          <w:color w:val="5F6B7A"/>
          <w:sz w:val="19"/>
          <w:szCs w:val="19"/>
        </w:rPr>
        <w:t>Comparaison des méthodes de sélection de variables.</w:t>
      </w:r>
    </w:p>
    <w:p w:rsidR="00415B06" w:rsidRDefault="00BC59FE">
      <w:pPr>
        <w:spacing w:after="120" w:line="288" w:lineRule="auto"/>
        <w:jc w:val="both"/>
      </w:pPr>
      <w:r>
        <w:t xml:space="preserve">Le </w:t>
      </w:r>
      <w:proofErr w:type="spellStart"/>
      <w:r>
        <w:t>wrapper</w:t>
      </w:r>
      <w:proofErr w:type="spellEnd"/>
      <w:r>
        <w:t xml:space="preserve"> illustre son biais : </w:t>
      </w:r>
      <w:proofErr w:type="spellStart"/>
      <w:r>
        <w:rPr>
          <w:rFonts w:ascii="Consolas" w:eastAsia="Consolas" w:hAnsi="Consolas" w:cs="Consolas"/>
          <w:sz w:val="20"/>
          <w:szCs w:val="20"/>
        </w:rPr>
        <w:t>housing</w:t>
      </w:r>
      <w:proofErr w:type="spellEnd"/>
      <w:r>
        <w:t xml:space="preserve"> + </w:t>
      </w:r>
      <w:proofErr w:type="spellStart"/>
      <w:r>
        <w:rPr>
          <w:rFonts w:ascii="Consolas" w:eastAsia="Consolas" w:hAnsi="Consolas" w:cs="Consolas"/>
          <w:sz w:val="20"/>
          <w:szCs w:val="20"/>
        </w:rPr>
        <w:t>loan</w:t>
      </w:r>
      <w:proofErr w:type="spellEnd"/>
      <w:r>
        <w:t xml:space="preserve"> seuls donnent une silhouette de 1,0, avec 4 combinaisons parfaites mais sans intérêt métier. Le critère s'auto-justifie et doit être validé par l'</w:t>
      </w:r>
      <w:proofErr w:type="spellStart"/>
      <w:r>
        <w:t>interprétabilité</w:t>
      </w:r>
      <w:proofErr w:type="spellEnd"/>
      <w:r>
        <w:t>.</w:t>
      </w:r>
    </w:p>
    <w:p w:rsidR="00415B06" w:rsidRDefault="00BC59FE">
      <w:pPr>
        <w:spacing w:after="120" w:line="288" w:lineRule="auto"/>
        <w:jc w:val="both"/>
      </w:pPr>
      <w:r>
        <w:t>La variante « profil pur » divise par près de deux la dépendance à la période, au prix d'un</w:t>
      </w:r>
      <w:r>
        <w:t xml:space="preserve"> pouvoir discriminant plus faible sur </w:t>
      </w:r>
      <w:r>
        <w:rPr>
          <w:rFonts w:ascii="Consolas" w:eastAsia="Consolas" w:hAnsi="Consolas" w:cs="Consolas"/>
          <w:sz w:val="20"/>
          <w:szCs w:val="20"/>
        </w:rPr>
        <w:t>y</w:t>
      </w:r>
      <w:r>
        <w:t>. C'est la preuve que le contexte de taux explique une large part de la souscription.</w:t>
      </w:r>
    </w:p>
    <w:p w:rsidR="00415B06" w:rsidRDefault="00BC59FE">
      <w:pPr>
        <w:pStyle w:val="Titre2"/>
      </w:pPr>
      <w:bookmarkStart w:id="21" w:name="_Toc242219261"/>
      <w:r>
        <w:t xml:space="preserve">8.3 Application </w:t>
      </w:r>
      <w:proofErr w:type="spellStart"/>
      <w:r>
        <w:t>Streamlit</w:t>
      </w:r>
      <w:bookmarkEnd w:id="21"/>
      <w:proofErr w:type="spellEnd"/>
    </w:p>
    <w:p w:rsidR="00415B06" w:rsidRDefault="00BC59FE">
      <w:pPr>
        <w:spacing w:after="120" w:line="288" w:lineRule="auto"/>
        <w:jc w:val="both"/>
      </w:pPr>
      <w:r>
        <w:rPr>
          <w:rFonts w:ascii="Consolas" w:eastAsia="Consolas" w:hAnsi="Consolas" w:cs="Consolas"/>
          <w:sz w:val="20"/>
          <w:szCs w:val="20"/>
        </w:rPr>
        <w:t>app/streamlit_app.py</w:t>
      </w:r>
      <w:r>
        <w:t xml:space="preserve"> affecte un nouveau client à un segment à partir d'un formulaire. L'application réuti</w:t>
      </w:r>
      <w:r>
        <w:t xml:space="preserve">lise exactement le pipeline de prétraitement et les </w:t>
      </w:r>
      <w:proofErr w:type="spellStart"/>
      <w:r>
        <w:t>centroïdes</w:t>
      </w:r>
      <w:proofErr w:type="spellEnd"/>
      <w:r>
        <w:t xml:space="preserve"> finaux ; son accord avec les étiquettes du modèle est de 100 % sur 300 clients tirés au hasard. Elle affiche la fiche du segment, la recommandation, les distances aux centres et la position du </w:t>
      </w:r>
      <w:r>
        <w:t>client en projection PCA. Elle permet aussi l'affectation par lot d'un fichier CSV avec téléchargement du résultat.</w:t>
      </w:r>
    </w:p>
    <w:p w:rsidR="00415B06" w:rsidRDefault="00BC59FE">
      <w:pPr>
        <w:keepNext/>
        <w:spacing w:before="120" w:after="60"/>
        <w:jc w:val="center"/>
      </w:pPr>
      <w:r>
        <w:rPr>
          <w:noProof/>
        </w:rPr>
        <w:drawing>
          <wp:inline distT="0" distB="0" distL="0" distR="0">
            <wp:extent cx="4486275" cy="3686175"/>
            <wp:effectExtent l="0" t="0" r="0" b="0"/>
            <wp:docPr id="15" name="app_streamlit_crop.png" descr="Interface de l'application Streamlit." title="Interface de l'application Stream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86275" cy="3686175"/>
                    </a:xfrm>
                    <a:prstGeom prst="rect">
                      <a:avLst/>
                    </a:prstGeom>
                  </pic:spPr>
                </pic:pic>
              </a:graphicData>
            </a:graphic>
          </wp:inline>
        </w:drawing>
      </w:r>
    </w:p>
    <w:p w:rsidR="00415B06" w:rsidRDefault="00BC59FE">
      <w:pPr>
        <w:spacing w:after="200"/>
        <w:jc w:val="center"/>
      </w:pPr>
      <w:r>
        <w:rPr>
          <w:b/>
          <w:bCs/>
          <w:color w:val="5F6B7A"/>
          <w:sz w:val="19"/>
          <w:szCs w:val="19"/>
        </w:rPr>
        <w:t xml:space="preserve">Figure 15 – </w:t>
      </w:r>
      <w:r>
        <w:rPr>
          <w:color w:val="5F6B7A"/>
          <w:sz w:val="19"/>
          <w:szCs w:val="19"/>
        </w:rPr>
        <w:t xml:space="preserve">Interface de l'application </w:t>
      </w:r>
      <w:proofErr w:type="spellStart"/>
      <w:r>
        <w:rPr>
          <w:color w:val="5F6B7A"/>
          <w:sz w:val="19"/>
          <w:szCs w:val="19"/>
        </w:rPr>
        <w:t>Streamlit</w:t>
      </w:r>
      <w:proofErr w:type="spellEnd"/>
      <w:r>
        <w:rPr>
          <w:color w:val="5F6B7A"/>
          <w:sz w:val="19"/>
          <w:szCs w:val="19"/>
        </w:rPr>
        <w:t>.</w:t>
      </w:r>
    </w:p>
    <w:p w:rsidR="00415B06" w:rsidRDefault="00BC59FE">
      <w:pPr>
        <w:pStyle w:val="Titre2"/>
      </w:pPr>
      <w:bookmarkStart w:id="22" w:name="_Toc242219262"/>
      <w:r>
        <w:t xml:space="preserve">8.4 Second jeu : Online </w:t>
      </w:r>
      <w:proofErr w:type="spellStart"/>
      <w:r>
        <w:t>Retail</w:t>
      </w:r>
      <w:proofErr w:type="spellEnd"/>
      <w:r>
        <w:t xml:space="preserve"> (RFM)</w:t>
      </w:r>
      <w:bookmarkEnd w:id="22"/>
    </w:p>
    <w:p w:rsidR="00415B06" w:rsidRDefault="00BC59FE">
      <w:pPr>
        <w:spacing w:after="120" w:line="288" w:lineRule="auto"/>
        <w:jc w:val="both"/>
      </w:pPr>
      <w:r>
        <w:t xml:space="preserve">Après nettoyage (suppression des clients anonymes, des factures d'annulation et des quantités ou prix négatifs), il reste 4 338 clients décrits par la récence, la fréquence et le montant (transformation log(1+x) </w:t>
      </w:r>
      <w:r>
        <w:lastRenderedPageBreak/>
        <w:t>puis z-score). K-</w:t>
      </w:r>
      <w:proofErr w:type="spellStart"/>
      <w:r>
        <w:t>means</w:t>
      </w:r>
      <w:proofErr w:type="spellEnd"/>
      <w:r>
        <w:t xml:space="preserve"> à k = 4 donne une sil</w:t>
      </w:r>
      <w:r>
        <w:t xml:space="preserve">houette de 0,34, bien plus nette que sur Bank Marketing, et une forte stabilité (ARI </w:t>
      </w:r>
      <w:proofErr w:type="spellStart"/>
      <w:r>
        <w:t>bootstrap</w:t>
      </w:r>
      <w:proofErr w:type="spellEnd"/>
      <w:r>
        <w:t xml:space="preserve"> 0,91).</w:t>
      </w:r>
    </w:p>
    <w:p w:rsidR="00415B06" w:rsidRDefault="00BC59FE">
      <w:pPr>
        <w:spacing w:after="120" w:line="288" w:lineRule="auto"/>
        <w:jc w:val="both"/>
      </w:pPr>
      <w:r>
        <w:t xml:space="preserve">Les </w:t>
      </w:r>
      <w:r>
        <w:rPr>
          <w:b/>
          <w:bCs/>
        </w:rPr>
        <w:t>Champions</w:t>
      </w:r>
      <w:r>
        <w:t xml:space="preserve"> (16 % des clients) génèrent </w:t>
      </w:r>
      <w:r>
        <w:rPr>
          <w:b/>
          <w:bCs/>
        </w:rPr>
        <w:t>65 % du chiffre d'affaires</w:t>
      </w:r>
      <w:r>
        <w:t xml:space="preserve"> ; viennent ensuite les Réguliers à relancer (27 % des clients, 24 % du CA), les Nouve</w:t>
      </w:r>
      <w:r>
        <w:t xml:space="preserve">aux clients et les Perdus (37 % des clients, 6 % du CA). La segmentation par quintiles RFM est cohérente mais différente (ARI 0,32) : ses seuils sont arbitraires, alors que le </w:t>
      </w:r>
      <w:proofErr w:type="spellStart"/>
      <w:r>
        <w:t>clustering</w:t>
      </w:r>
      <w:proofErr w:type="spellEnd"/>
      <w:r>
        <w:t xml:space="preserve"> découvre les frontières dans les données.</w:t>
      </w:r>
    </w:p>
    <w:p w:rsidR="00415B06" w:rsidRDefault="00BC59FE">
      <w:pPr>
        <w:keepNext/>
        <w:spacing w:before="120" w:after="60"/>
        <w:jc w:val="center"/>
      </w:pPr>
      <w:r>
        <w:rPr>
          <w:noProof/>
        </w:rPr>
        <w:drawing>
          <wp:inline distT="0" distB="0" distL="0" distR="0">
            <wp:extent cx="5972175" cy="1619250"/>
            <wp:effectExtent l="0" t="0" r="0" b="0"/>
            <wp:docPr id="16" name="b3_rfm_scatter.png" descr="Segments RFM du jeu Online Retail (échelles logarithmiques)." title="Segments RFM du jeu Online Retail (échelles logarithm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1619250"/>
                    </a:xfrm>
                    <a:prstGeom prst="rect">
                      <a:avLst/>
                    </a:prstGeom>
                  </pic:spPr>
                </pic:pic>
              </a:graphicData>
            </a:graphic>
          </wp:inline>
        </w:drawing>
      </w:r>
    </w:p>
    <w:p w:rsidR="00415B06" w:rsidRDefault="00BC59FE">
      <w:pPr>
        <w:spacing w:after="200"/>
        <w:jc w:val="center"/>
      </w:pPr>
      <w:r>
        <w:rPr>
          <w:b/>
          <w:bCs/>
          <w:color w:val="5F6B7A"/>
          <w:sz w:val="19"/>
          <w:szCs w:val="19"/>
        </w:rPr>
        <w:t xml:space="preserve">Figure 16 – </w:t>
      </w:r>
      <w:r>
        <w:rPr>
          <w:color w:val="5F6B7A"/>
          <w:sz w:val="19"/>
          <w:szCs w:val="19"/>
        </w:rPr>
        <w:t xml:space="preserve">Segments RFM </w:t>
      </w:r>
      <w:r>
        <w:rPr>
          <w:color w:val="5F6B7A"/>
          <w:sz w:val="19"/>
          <w:szCs w:val="19"/>
        </w:rPr>
        <w:t xml:space="preserve">du jeu Online </w:t>
      </w:r>
      <w:proofErr w:type="spellStart"/>
      <w:r>
        <w:rPr>
          <w:color w:val="5F6B7A"/>
          <w:sz w:val="19"/>
          <w:szCs w:val="19"/>
        </w:rPr>
        <w:t>Retail</w:t>
      </w:r>
      <w:proofErr w:type="spellEnd"/>
      <w:r>
        <w:rPr>
          <w:color w:val="5F6B7A"/>
          <w:sz w:val="19"/>
          <w:szCs w:val="19"/>
        </w:rPr>
        <w:t xml:space="preserve"> (échelles logarithmiques).</w:t>
      </w:r>
    </w:p>
    <w:p w:rsidR="00415B06" w:rsidRDefault="00BC59FE">
      <w:pPr>
        <w:pStyle w:val="Titre1"/>
      </w:pPr>
      <w:bookmarkStart w:id="23" w:name="_Toc242219263"/>
      <w:r>
        <w:t>9. Discussion et conclusion</w:t>
      </w:r>
      <w:bookmarkEnd w:id="23"/>
    </w:p>
    <w:p w:rsidR="00415B06" w:rsidRDefault="00BC59FE">
      <w:pPr>
        <w:spacing w:after="120" w:line="288" w:lineRule="auto"/>
        <w:jc w:val="both"/>
      </w:pPr>
      <w:r>
        <w:rPr>
          <w:b/>
          <w:bCs/>
          <w:color w:val="1F3A5F"/>
        </w:rPr>
        <w:t xml:space="preserve">Apports. </w:t>
      </w:r>
      <w:r>
        <w:t>La démarche complète montre trois points :</w:t>
      </w:r>
    </w:p>
    <w:p w:rsidR="00415B06" w:rsidRDefault="00BC59FE">
      <w:pPr>
        <w:pStyle w:val="Paragraphedeliste"/>
        <w:numPr>
          <w:ilvl w:val="0"/>
          <w:numId w:val="2"/>
        </w:numPr>
        <w:spacing w:after="60" w:line="276" w:lineRule="auto"/>
      </w:pPr>
      <w:r>
        <w:t xml:space="preserve">Le choix de la </w:t>
      </w:r>
      <w:r>
        <w:rPr>
          <w:i/>
          <w:iCs/>
        </w:rPr>
        <w:t>représentation</w:t>
      </w:r>
      <w:r>
        <w:t xml:space="preserve"> et de la </w:t>
      </w:r>
      <w:r>
        <w:rPr>
          <w:i/>
          <w:iCs/>
        </w:rPr>
        <w:t>distance</w:t>
      </w:r>
      <w:r>
        <w:t xml:space="preserve"> pèse autant que celui de l'algorithme : la standardisation change 68 % des plus </w:t>
      </w:r>
      <w:r>
        <w:t>proches voisins, et Gower et l'euclidienne aboutissent à des partitions différentes.</w:t>
      </w:r>
    </w:p>
    <w:p w:rsidR="00415B06" w:rsidRDefault="00BC59FE">
      <w:pPr>
        <w:pStyle w:val="Paragraphedeliste"/>
        <w:numPr>
          <w:ilvl w:val="0"/>
          <w:numId w:val="2"/>
        </w:numPr>
        <w:spacing w:after="60" w:line="276" w:lineRule="auto"/>
      </w:pPr>
      <w:r>
        <w:t>Les indices internes doivent être lus ensemble et avec des contraintes métier : la silhouette maximale (lien single, k = 2) correspond aux pires segmentations.</w:t>
      </w:r>
    </w:p>
    <w:p w:rsidR="00415B06" w:rsidRDefault="00BC59FE">
      <w:pPr>
        <w:pStyle w:val="Paragraphedeliste"/>
        <w:numPr>
          <w:ilvl w:val="0"/>
          <w:numId w:val="2"/>
        </w:numPr>
        <w:spacing w:after="60" w:line="276" w:lineRule="auto"/>
      </w:pPr>
      <w:r>
        <w:t>Une classif</w:t>
      </w:r>
      <w:r>
        <w:t>ication mixte Ward + K-</w:t>
      </w:r>
      <w:proofErr w:type="spellStart"/>
      <w:r>
        <w:t>means</w:t>
      </w:r>
      <w:proofErr w:type="spellEnd"/>
      <w:r>
        <w:t xml:space="preserve"> combine la qualité de la CAH et la </w:t>
      </w:r>
      <w:proofErr w:type="spellStart"/>
      <w:r>
        <w:t>déployabilité</w:t>
      </w:r>
      <w:proofErr w:type="spellEnd"/>
      <w:r>
        <w:t xml:space="preserve"> de K-</w:t>
      </w:r>
      <w:proofErr w:type="spellStart"/>
      <w:r>
        <w:t>means</w:t>
      </w:r>
      <w:proofErr w:type="spellEnd"/>
      <w:r>
        <w:t>.</w:t>
      </w:r>
    </w:p>
    <w:p w:rsidR="00415B06" w:rsidRDefault="00BC59FE">
      <w:pPr>
        <w:spacing w:after="120" w:line="288" w:lineRule="auto"/>
        <w:jc w:val="both"/>
      </w:pPr>
      <w:r>
        <w:rPr>
          <w:b/>
          <w:bCs/>
          <w:color w:val="1F3A5F"/>
        </w:rPr>
        <w:t xml:space="preserve">Limites. </w:t>
      </w:r>
    </w:p>
    <w:p w:rsidR="00415B06" w:rsidRDefault="00BC59FE">
      <w:pPr>
        <w:pStyle w:val="Paragraphedeliste"/>
        <w:numPr>
          <w:ilvl w:val="0"/>
          <w:numId w:val="2"/>
        </w:numPr>
        <w:spacing w:after="60" w:line="276" w:lineRule="auto"/>
      </w:pPr>
      <w:r>
        <w:t>Les silhouettes restent modestes : les groupes se recouvrent.</w:t>
      </w:r>
    </w:p>
    <w:p w:rsidR="00415B06" w:rsidRDefault="00BC59FE">
      <w:pPr>
        <w:pStyle w:val="Paragraphedeliste"/>
        <w:numPr>
          <w:ilvl w:val="0"/>
          <w:numId w:val="2"/>
        </w:numPr>
        <w:spacing w:after="60" w:line="276" w:lineRule="auto"/>
      </w:pPr>
      <w:r>
        <w:t xml:space="preserve">La segmentation est fortement liée à la période d'appel via </w:t>
      </w:r>
      <w:r>
        <w:rPr>
          <w:rFonts w:ascii="Consolas" w:eastAsia="Consolas" w:hAnsi="Consolas" w:cs="Consolas"/>
          <w:sz w:val="20"/>
          <w:szCs w:val="20"/>
        </w:rPr>
        <w:t>euribor3m</w:t>
      </w:r>
      <w:r>
        <w:t>.</w:t>
      </w:r>
    </w:p>
    <w:p w:rsidR="00415B06" w:rsidRDefault="00BC59FE">
      <w:pPr>
        <w:pStyle w:val="Paragraphedeliste"/>
        <w:numPr>
          <w:ilvl w:val="0"/>
          <w:numId w:val="2"/>
        </w:numPr>
        <w:spacing w:after="60" w:line="276" w:lineRule="auto"/>
      </w:pPr>
      <w:r>
        <w:t>La chaîne CAH → K-</w:t>
      </w:r>
      <w:proofErr w:type="spellStart"/>
      <w:r>
        <w:t>means</w:t>
      </w:r>
      <w:proofErr w:type="spellEnd"/>
      <w:r>
        <w:t xml:space="preserve"> est sensible au </w:t>
      </w:r>
      <w:proofErr w:type="spellStart"/>
      <w:r>
        <w:t>rééchantillonnage</w:t>
      </w:r>
      <w:proofErr w:type="spellEnd"/>
      <w:r>
        <w:t>.</w:t>
      </w:r>
    </w:p>
    <w:p w:rsidR="00415B06" w:rsidRDefault="00BC59FE">
      <w:pPr>
        <w:pStyle w:val="Paragraphedeliste"/>
        <w:numPr>
          <w:ilvl w:val="0"/>
          <w:numId w:val="2"/>
        </w:numPr>
        <w:spacing w:after="60" w:line="276" w:lineRule="auto"/>
      </w:pPr>
      <w:r>
        <w:t>Les données datent de 2008–2010 et concernent un seul établissement.</w:t>
      </w:r>
    </w:p>
    <w:p w:rsidR="00415B06" w:rsidRDefault="00BC59FE">
      <w:pPr>
        <w:spacing w:after="120" w:line="288" w:lineRule="auto"/>
        <w:jc w:val="both"/>
      </w:pPr>
      <w:r>
        <w:rPr>
          <w:b/>
          <w:bCs/>
          <w:color w:val="1F3A5F"/>
        </w:rPr>
        <w:t xml:space="preserve">Perspectives. </w:t>
      </w:r>
      <w:r>
        <w:t>Plusieurs pistes prolongent ce travail :</w:t>
      </w:r>
    </w:p>
    <w:p w:rsidR="00415B06" w:rsidRDefault="00BC59FE">
      <w:pPr>
        <w:pStyle w:val="Paragraphedeliste"/>
        <w:numPr>
          <w:ilvl w:val="0"/>
          <w:numId w:val="2"/>
        </w:numPr>
        <w:spacing w:after="60" w:line="276" w:lineRule="auto"/>
      </w:pPr>
      <w:proofErr w:type="gramStart"/>
      <w:r>
        <w:t>une</w:t>
      </w:r>
      <w:proofErr w:type="gramEnd"/>
      <w:r>
        <w:t xml:space="preserve"> double segmentation, avec un profil client pur pour le CRM et une segmentation enrichie du contexte pour le pilotage des campagnes ;</w:t>
      </w:r>
    </w:p>
    <w:p w:rsidR="00415B06" w:rsidRDefault="00BC59FE">
      <w:pPr>
        <w:pStyle w:val="Paragraphedeliste"/>
        <w:numPr>
          <w:ilvl w:val="0"/>
          <w:numId w:val="2"/>
        </w:numPr>
        <w:spacing w:after="60" w:line="276" w:lineRule="auto"/>
      </w:pPr>
      <w:proofErr w:type="gramStart"/>
      <w:r>
        <w:t>des</w:t>
      </w:r>
      <w:proofErr w:type="gramEnd"/>
      <w:r>
        <w:t xml:space="preserve"> distances apprises (encodage des métiers par similarité) ;</w:t>
      </w:r>
    </w:p>
    <w:p w:rsidR="00415B06" w:rsidRDefault="00BC59FE">
      <w:pPr>
        <w:pStyle w:val="Paragraphedeliste"/>
        <w:numPr>
          <w:ilvl w:val="0"/>
          <w:numId w:val="2"/>
        </w:numPr>
        <w:spacing w:after="60" w:line="276" w:lineRule="auto"/>
      </w:pPr>
      <w:proofErr w:type="gramStart"/>
      <w:r>
        <w:t>un</w:t>
      </w:r>
      <w:proofErr w:type="gramEnd"/>
      <w:r>
        <w:t xml:space="preserve"> suivi de la dérive des segments dans le temps ;</w:t>
      </w:r>
    </w:p>
    <w:p w:rsidR="00415B06" w:rsidRDefault="00BC59FE">
      <w:pPr>
        <w:pStyle w:val="Paragraphedeliste"/>
        <w:numPr>
          <w:ilvl w:val="0"/>
          <w:numId w:val="2"/>
        </w:numPr>
        <w:spacing w:after="60" w:line="276" w:lineRule="auto"/>
      </w:pPr>
      <w:proofErr w:type="gramStart"/>
      <w:r>
        <w:t>un</w:t>
      </w:r>
      <w:proofErr w:type="gramEnd"/>
      <w:r>
        <w:t xml:space="preserve"> te</w:t>
      </w:r>
      <w:r>
        <w:t>st A/B des recommandations sur une campagne réelle.</w:t>
      </w:r>
    </w:p>
    <w:p w:rsidR="00415B06" w:rsidRDefault="00BC59FE">
      <w:pPr>
        <w:spacing w:after="120" w:line="288" w:lineRule="auto"/>
        <w:jc w:val="both"/>
      </w:pPr>
      <w:r>
        <w:rPr>
          <w:b/>
          <w:bCs/>
          <w:color w:val="1F3A5F"/>
        </w:rPr>
        <w:t xml:space="preserve">Conclusion. </w:t>
      </w:r>
      <w:r>
        <w:t>Quatre segments interprétables et stables ont été identifiés, avec des taux de souscription allant de 4,9 % à 42,5 %. Ils débouchent sur des actions marketing concrètes et un outil d'affectati</w:t>
      </w:r>
      <w:r>
        <w:t>on opérationnel.</w:t>
      </w:r>
    </w:p>
    <w:p w:rsidR="00415B06" w:rsidRDefault="00BC59FE">
      <w:pPr>
        <w:pStyle w:val="Titre1"/>
      </w:pPr>
      <w:bookmarkStart w:id="24" w:name="_Toc242219264"/>
      <w:r>
        <w:lastRenderedPageBreak/>
        <w:t>Références</w:t>
      </w:r>
      <w:bookmarkEnd w:id="24"/>
    </w:p>
    <w:p w:rsidR="00415B06" w:rsidRDefault="00BC59FE">
      <w:pPr>
        <w:pStyle w:val="Paragraphedeliste"/>
        <w:numPr>
          <w:ilvl w:val="0"/>
          <w:numId w:val="4"/>
        </w:numPr>
        <w:spacing w:after="80"/>
      </w:pPr>
      <w:r w:rsidRPr="00EE4DB8">
        <w:rPr>
          <w:lang w:val="en-US"/>
        </w:rPr>
        <w:t xml:space="preserve">Moro S., Cortez P., Rita P. (2014). </w:t>
      </w:r>
      <w:r w:rsidRPr="00EE4DB8">
        <w:rPr>
          <w:i/>
          <w:iCs/>
          <w:lang w:val="en-US"/>
        </w:rPr>
        <w:t>A data-driven approach to predict the success of bank telemarketing</w:t>
      </w:r>
      <w:r w:rsidRPr="00EE4DB8">
        <w:rPr>
          <w:lang w:val="en-US"/>
        </w:rPr>
        <w:t xml:space="preserve">. </w:t>
      </w:r>
      <w:proofErr w:type="spellStart"/>
      <w:r>
        <w:t>Decision</w:t>
      </w:r>
      <w:proofErr w:type="spellEnd"/>
      <w:r>
        <w:t xml:space="preserve"> Support </w:t>
      </w:r>
      <w:proofErr w:type="spellStart"/>
      <w:r>
        <w:t>Systems</w:t>
      </w:r>
      <w:proofErr w:type="spellEnd"/>
      <w:r>
        <w:t>, 62, 22–31.</w:t>
      </w:r>
    </w:p>
    <w:p w:rsidR="00415B06" w:rsidRDefault="00BC59FE">
      <w:pPr>
        <w:pStyle w:val="Paragraphedeliste"/>
        <w:numPr>
          <w:ilvl w:val="0"/>
          <w:numId w:val="4"/>
        </w:numPr>
        <w:spacing w:after="80"/>
      </w:pPr>
      <w:r w:rsidRPr="00EE4DB8">
        <w:rPr>
          <w:lang w:val="en-US"/>
        </w:rPr>
        <w:t xml:space="preserve">Gower J.C. (1971). </w:t>
      </w:r>
      <w:r w:rsidRPr="00EE4DB8">
        <w:rPr>
          <w:i/>
          <w:iCs/>
          <w:lang w:val="en-US"/>
        </w:rPr>
        <w:t>A general coefficient of similarity and some of its properties</w:t>
      </w:r>
      <w:r w:rsidRPr="00EE4DB8">
        <w:rPr>
          <w:lang w:val="en-US"/>
        </w:rPr>
        <w:t xml:space="preserve">. </w:t>
      </w:r>
      <w:proofErr w:type="spellStart"/>
      <w:r>
        <w:t>Bio</w:t>
      </w:r>
      <w:r>
        <w:t>metrics</w:t>
      </w:r>
      <w:proofErr w:type="spellEnd"/>
      <w:r>
        <w:t>, 27(4).</w:t>
      </w:r>
    </w:p>
    <w:p w:rsidR="00415B06" w:rsidRDefault="00BC59FE">
      <w:pPr>
        <w:pStyle w:val="Paragraphedeliste"/>
        <w:numPr>
          <w:ilvl w:val="0"/>
          <w:numId w:val="4"/>
        </w:numPr>
        <w:spacing w:after="80"/>
      </w:pPr>
      <w:r w:rsidRPr="00EE4DB8">
        <w:rPr>
          <w:lang w:val="en-US"/>
        </w:rPr>
        <w:t xml:space="preserve">Huang Z. (1998). </w:t>
      </w:r>
      <w:r w:rsidRPr="00EE4DB8">
        <w:rPr>
          <w:i/>
          <w:iCs/>
          <w:lang w:val="en-US"/>
        </w:rPr>
        <w:t>Extensions to the k-means algorithm for clustering large data sets with categorical values</w:t>
      </w:r>
      <w:r w:rsidRPr="00EE4DB8">
        <w:rPr>
          <w:lang w:val="en-US"/>
        </w:rPr>
        <w:t xml:space="preserve">. </w:t>
      </w:r>
      <w:r>
        <w:t xml:space="preserve">Data Mining and </w:t>
      </w:r>
      <w:proofErr w:type="spellStart"/>
      <w:r>
        <w:t>Knowledge</w:t>
      </w:r>
      <w:proofErr w:type="spellEnd"/>
      <w:r>
        <w:t xml:space="preserve"> </w:t>
      </w:r>
      <w:proofErr w:type="spellStart"/>
      <w:r>
        <w:t>Discovery</w:t>
      </w:r>
      <w:proofErr w:type="spellEnd"/>
      <w:r>
        <w:t>, 2(3).</w:t>
      </w:r>
    </w:p>
    <w:p w:rsidR="00415B06" w:rsidRDefault="00BC59FE">
      <w:pPr>
        <w:pStyle w:val="Paragraphedeliste"/>
        <w:numPr>
          <w:ilvl w:val="0"/>
          <w:numId w:val="4"/>
        </w:numPr>
        <w:spacing w:after="80"/>
      </w:pPr>
      <w:r w:rsidRPr="00EE4DB8">
        <w:rPr>
          <w:lang w:val="en-US"/>
        </w:rPr>
        <w:t xml:space="preserve">Ester M., </w:t>
      </w:r>
      <w:proofErr w:type="spellStart"/>
      <w:r w:rsidRPr="00EE4DB8">
        <w:rPr>
          <w:lang w:val="en-US"/>
        </w:rPr>
        <w:t>Kriegel</w:t>
      </w:r>
      <w:proofErr w:type="spellEnd"/>
      <w:r w:rsidRPr="00EE4DB8">
        <w:rPr>
          <w:lang w:val="en-US"/>
        </w:rPr>
        <w:t xml:space="preserve"> H.-P., Sander J., Xu X. (1996). </w:t>
      </w:r>
      <w:r w:rsidRPr="00EE4DB8">
        <w:rPr>
          <w:i/>
          <w:iCs/>
          <w:lang w:val="en-US"/>
        </w:rPr>
        <w:t>A density-based algorithm for discovering clusters in large spatial databases with noise</w:t>
      </w:r>
      <w:r w:rsidRPr="00EE4DB8">
        <w:rPr>
          <w:lang w:val="en-US"/>
        </w:rPr>
        <w:t xml:space="preserve">. </w:t>
      </w:r>
      <w:r>
        <w:t>KDD.</w:t>
      </w:r>
    </w:p>
    <w:p w:rsidR="00415B06" w:rsidRDefault="00BC59FE">
      <w:pPr>
        <w:pStyle w:val="Paragraphedeliste"/>
        <w:numPr>
          <w:ilvl w:val="0"/>
          <w:numId w:val="4"/>
        </w:numPr>
        <w:spacing w:after="80"/>
      </w:pPr>
      <w:r w:rsidRPr="00EE4DB8">
        <w:rPr>
          <w:lang w:val="en-US"/>
        </w:rPr>
        <w:t xml:space="preserve">Liu F.T., Ting K.M., Zhou Z.-H. (2008). </w:t>
      </w:r>
      <w:r>
        <w:rPr>
          <w:i/>
          <w:iCs/>
        </w:rPr>
        <w:t>Isolation Forest</w:t>
      </w:r>
      <w:r>
        <w:t>. ICDM.</w:t>
      </w:r>
    </w:p>
    <w:p w:rsidR="00415B06" w:rsidRPr="00EE4DB8" w:rsidRDefault="00BC59FE">
      <w:pPr>
        <w:pStyle w:val="Paragraphedeliste"/>
        <w:numPr>
          <w:ilvl w:val="0"/>
          <w:numId w:val="4"/>
        </w:numPr>
        <w:spacing w:after="80"/>
        <w:rPr>
          <w:lang w:val="en-US"/>
        </w:rPr>
      </w:pPr>
      <w:proofErr w:type="spellStart"/>
      <w:r w:rsidRPr="00EE4DB8">
        <w:rPr>
          <w:lang w:val="en-US"/>
        </w:rPr>
        <w:t>McInnes</w:t>
      </w:r>
      <w:proofErr w:type="spellEnd"/>
      <w:r w:rsidRPr="00EE4DB8">
        <w:rPr>
          <w:lang w:val="en-US"/>
        </w:rPr>
        <w:t xml:space="preserve"> L., Healy J. (2018). </w:t>
      </w:r>
      <w:r w:rsidRPr="00EE4DB8">
        <w:rPr>
          <w:i/>
          <w:iCs/>
          <w:lang w:val="en-US"/>
        </w:rPr>
        <w:t>UMAP: Uniform Manifold Approximation and Projection</w:t>
      </w:r>
      <w:r w:rsidRPr="00EE4DB8">
        <w:rPr>
          <w:lang w:val="en-US"/>
        </w:rPr>
        <w:t xml:space="preserve">. </w:t>
      </w:r>
      <w:proofErr w:type="gramStart"/>
      <w:r w:rsidRPr="00EE4DB8">
        <w:rPr>
          <w:lang w:val="en-US"/>
        </w:rPr>
        <w:t>arXiv:</w:t>
      </w:r>
      <w:proofErr w:type="gramEnd"/>
      <w:r w:rsidRPr="00EE4DB8">
        <w:rPr>
          <w:lang w:val="en-US"/>
        </w:rPr>
        <w:t>1802.0342</w:t>
      </w:r>
      <w:r w:rsidRPr="00EE4DB8">
        <w:rPr>
          <w:lang w:val="en-US"/>
        </w:rPr>
        <w:t>6.</w:t>
      </w:r>
    </w:p>
    <w:p w:rsidR="00415B06" w:rsidRPr="00EE4DB8" w:rsidRDefault="00BC59FE">
      <w:pPr>
        <w:pStyle w:val="Paragraphedeliste"/>
        <w:numPr>
          <w:ilvl w:val="0"/>
          <w:numId w:val="4"/>
        </w:numPr>
        <w:spacing w:after="80"/>
        <w:rPr>
          <w:lang w:val="en-US"/>
        </w:rPr>
      </w:pPr>
      <w:r w:rsidRPr="00EE4DB8">
        <w:rPr>
          <w:lang w:val="en-US"/>
        </w:rPr>
        <w:t xml:space="preserve">Chen D., </w:t>
      </w:r>
      <w:proofErr w:type="spellStart"/>
      <w:r w:rsidRPr="00EE4DB8">
        <w:rPr>
          <w:lang w:val="en-US"/>
        </w:rPr>
        <w:t>Sain</w:t>
      </w:r>
      <w:proofErr w:type="spellEnd"/>
      <w:r w:rsidRPr="00EE4DB8">
        <w:rPr>
          <w:lang w:val="en-US"/>
        </w:rPr>
        <w:t xml:space="preserve"> S.L., </w:t>
      </w:r>
      <w:proofErr w:type="spellStart"/>
      <w:r w:rsidRPr="00EE4DB8">
        <w:rPr>
          <w:lang w:val="en-US"/>
        </w:rPr>
        <w:t>Guo</w:t>
      </w:r>
      <w:proofErr w:type="spellEnd"/>
      <w:r w:rsidRPr="00EE4DB8">
        <w:rPr>
          <w:lang w:val="en-US"/>
        </w:rPr>
        <w:t xml:space="preserve"> K. (2012). </w:t>
      </w:r>
      <w:r w:rsidRPr="00EE4DB8">
        <w:rPr>
          <w:i/>
          <w:iCs/>
          <w:lang w:val="en-US"/>
        </w:rPr>
        <w:t>Online Retail dataset</w:t>
      </w:r>
      <w:r w:rsidRPr="00EE4DB8">
        <w:rPr>
          <w:lang w:val="en-US"/>
        </w:rPr>
        <w:t>. UC</w:t>
      </w:r>
      <w:bookmarkStart w:id="25" w:name="_GoBack"/>
      <w:bookmarkEnd w:id="25"/>
      <w:r w:rsidRPr="00EE4DB8">
        <w:rPr>
          <w:lang w:val="en-US"/>
        </w:rPr>
        <w:t>I Machine Learning Repository.</w:t>
      </w:r>
    </w:p>
    <w:sectPr w:rsidR="00415B06" w:rsidRPr="00EE4DB8">
      <w:headerReference w:type="default" r:id="rId23"/>
      <w:footerReference w:type="default" r:id="rId24"/>
      <w:pgSz w:w="11906" w:h="16838"/>
      <w:pgMar w:top="1247" w:right="1247" w:bottom="1247" w:left="1247"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59FE" w:rsidRDefault="00BC59FE">
      <w:r>
        <w:separator/>
      </w:r>
    </w:p>
  </w:endnote>
  <w:endnote w:type="continuationSeparator" w:id="0">
    <w:p w:rsidR="00BC59FE" w:rsidRDefault="00BC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B06" w:rsidRDefault="00BC59FE">
    <w:pPr>
      <w:jc w:val="center"/>
    </w:pPr>
    <w:r>
      <w:rPr>
        <w:color w:val="5F6B7A"/>
        <w:sz w:val="18"/>
        <w:szCs w:val="18"/>
      </w:rPr>
      <w:fldChar w:fldCharType="begin"/>
    </w:r>
    <w:r>
      <w:rPr>
        <w:color w:val="5F6B7A"/>
        <w:sz w:val="18"/>
        <w:szCs w:val="18"/>
      </w:rPr>
      <w:instrText>PAGE</w:instrText>
    </w:r>
    <w:r w:rsidR="00EE4DB8">
      <w:rPr>
        <w:color w:val="5F6B7A"/>
        <w:sz w:val="18"/>
        <w:szCs w:val="18"/>
      </w:rPr>
      <w:fldChar w:fldCharType="separate"/>
    </w:r>
    <w:r w:rsidR="007C558A">
      <w:rPr>
        <w:noProof/>
        <w:color w:val="5F6B7A"/>
        <w:sz w:val="18"/>
        <w:szCs w:val="18"/>
      </w:rPr>
      <w:t>15</w:t>
    </w:r>
    <w:r>
      <w:rPr>
        <w:color w:val="5F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59FE" w:rsidRDefault="00BC59FE">
      <w:r>
        <w:separator/>
      </w:r>
    </w:p>
  </w:footnote>
  <w:footnote w:type="continuationSeparator" w:id="0">
    <w:p w:rsidR="00BC59FE" w:rsidRDefault="00BC5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B06" w:rsidRDefault="00BC59FE">
    <w:pPr>
      <w:pBdr>
        <w:bottom w:val="single" w:sz="4" w:space="4" w:color="C9D1DC"/>
      </w:pBdr>
    </w:pPr>
    <w:r>
      <w:rPr>
        <w:color w:val="5F6B7A"/>
        <w:sz w:val="18"/>
        <w:szCs w:val="18"/>
      </w:rPr>
      <w:t>Segmentation de clientèle bancaire — Master BDA/IA — Apprentissage non supervisé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30A32"/>
    <w:multiLevelType w:val="hybridMultilevel"/>
    <w:tmpl w:val="A2786CBC"/>
    <w:lvl w:ilvl="0" w:tplc="F4422526">
      <w:start w:val="1"/>
      <w:numFmt w:val="bullet"/>
      <w:lvlText w:val="•"/>
      <w:lvlJc w:val="left"/>
      <w:pPr>
        <w:ind w:left="640" w:hanging="320"/>
      </w:pPr>
    </w:lvl>
    <w:lvl w:ilvl="1" w:tplc="7DC8CF8E">
      <w:numFmt w:val="decimal"/>
      <w:lvlText w:val=""/>
      <w:lvlJc w:val="left"/>
    </w:lvl>
    <w:lvl w:ilvl="2" w:tplc="09A8DC22">
      <w:numFmt w:val="decimal"/>
      <w:lvlText w:val=""/>
      <w:lvlJc w:val="left"/>
    </w:lvl>
    <w:lvl w:ilvl="3" w:tplc="8BA4B6E2">
      <w:numFmt w:val="decimal"/>
      <w:lvlText w:val=""/>
      <w:lvlJc w:val="left"/>
    </w:lvl>
    <w:lvl w:ilvl="4" w:tplc="AC3AD48C">
      <w:numFmt w:val="decimal"/>
      <w:lvlText w:val=""/>
      <w:lvlJc w:val="left"/>
    </w:lvl>
    <w:lvl w:ilvl="5" w:tplc="77707148">
      <w:numFmt w:val="decimal"/>
      <w:lvlText w:val=""/>
      <w:lvlJc w:val="left"/>
    </w:lvl>
    <w:lvl w:ilvl="6" w:tplc="4670996C">
      <w:numFmt w:val="decimal"/>
      <w:lvlText w:val=""/>
      <w:lvlJc w:val="left"/>
    </w:lvl>
    <w:lvl w:ilvl="7" w:tplc="2E0CE596">
      <w:numFmt w:val="decimal"/>
      <w:lvlText w:val=""/>
      <w:lvlJc w:val="left"/>
    </w:lvl>
    <w:lvl w:ilvl="8" w:tplc="5D144A02">
      <w:numFmt w:val="decimal"/>
      <w:lvlText w:val=""/>
      <w:lvlJc w:val="left"/>
    </w:lvl>
  </w:abstractNum>
  <w:abstractNum w:abstractNumId="1" w15:restartNumberingAfterBreak="0">
    <w:nsid w:val="2BD42706"/>
    <w:multiLevelType w:val="hybridMultilevel"/>
    <w:tmpl w:val="B9C097E4"/>
    <w:lvl w:ilvl="0" w:tplc="7390E494">
      <w:start w:val="1"/>
      <w:numFmt w:val="bullet"/>
      <w:lvlText w:val="●"/>
      <w:lvlJc w:val="left"/>
      <w:pPr>
        <w:ind w:left="720" w:hanging="360"/>
      </w:pPr>
    </w:lvl>
    <w:lvl w:ilvl="1" w:tplc="7F28C41A">
      <w:start w:val="1"/>
      <w:numFmt w:val="bullet"/>
      <w:lvlText w:val="○"/>
      <w:lvlJc w:val="left"/>
      <w:pPr>
        <w:ind w:left="1440" w:hanging="360"/>
      </w:pPr>
    </w:lvl>
    <w:lvl w:ilvl="2" w:tplc="ACD02DE4">
      <w:start w:val="1"/>
      <w:numFmt w:val="bullet"/>
      <w:lvlText w:val="■"/>
      <w:lvlJc w:val="left"/>
      <w:pPr>
        <w:ind w:left="2160" w:hanging="360"/>
      </w:pPr>
    </w:lvl>
    <w:lvl w:ilvl="3" w:tplc="F38A7D64">
      <w:start w:val="1"/>
      <w:numFmt w:val="bullet"/>
      <w:lvlText w:val="●"/>
      <w:lvlJc w:val="left"/>
      <w:pPr>
        <w:ind w:left="2880" w:hanging="360"/>
      </w:pPr>
    </w:lvl>
    <w:lvl w:ilvl="4" w:tplc="E07C8A80">
      <w:start w:val="1"/>
      <w:numFmt w:val="bullet"/>
      <w:lvlText w:val="○"/>
      <w:lvlJc w:val="left"/>
      <w:pPr>
        <w:ind w:left="3600" w:hanging="360"/>
      </w:pPr>
    </w:lvl>
    <w:lvl w:ilvl="5" w:tplc="B81821B0">
      <w:start w:val="1"/>
      <w:numFmt w:val="bullet"/>
      <w:lvlText w:val="■"/>
      <w:lvlJc w:val="left"/>
      <w:pPr>
        <w:ind w:left="4320" w:hanging="360"/>
      </w:pPr>
    </w:lvl>
    <w:lvl w:ilvl="6" w:tplc="C652D5E6">
      <w:start w:val="1"/>
      <w:numFmt w:val="bullet"/>
      <w:lvlText w:val="●"/>
      <w:lvlJc w:val="left"/>
      <w:pPr>
        <w:ind w:left="5040" w:hanging="360"/>
      </w:pPr>
    </w:lvl>
    <w:lvl w:ilvl="7" w:tplc="889E9D7A">
      <w:start w:val="1"/>
      <w:numFmt w:val="bullet"/>
      <w:lvlText w:val="●"/>
      <w:lvlJc w:val="left"/>
      <w:pPr>
        <w:ind w:left="5760" w:hanging="360"/>
      </w:pPr>
    </w:lvl>
    <w:lvl w:ilvl="8" w:tplc="C16CF0BE">
      <w:start w:val="1"/>
      <w:numFmt w:val="bullet"/>
      <w:lvlText w:val="●"/>
      <w:lvlJc w:val="left"/>
      <w:pPr>
        <w:ind w:left="6480" w:hanging="360"/>
      </w:pPr>
    </w:lvl>
  </w:abstractNum>
  <w:abstractNum w:abstractNumId="2" w15:restartNumberingAfterBreak="0">
    <w:nsid w:val="2C9C08DF"/>
    <w:multiLevelType w:val="hybridMultilevel"/>
    <w:tmpl w:val="19ECF3E0"/>
    <w:lvl w:ilvl="0" w:tplc="72580DEC">
      <w:start w:val="1"/>
      <w:numFmt w:val="decimal"/>
      <w:lvlText w:val="[%1]"/>
      <w:lvlJc w:val="left"/>
      <w:pPr>
        <w:ind w:left="640" w:hanging="480"/>
      </w:pPr>
    </w:lvl>
    <w:lvl w:ilvl="1" w:tplc="78D63974">
      <w:numFmt w:val="decimal"/>
      <w:lvlText w:val=""/>
      <w:lvlJc w:val="left"/>
    </w:lvl>
    <w:lvl w:ilvl="2" w:tplc="805CE2FC">
      <w:numFmt w:val="decimal"/>
      <w:lvlText w:val=""/>
      <w:lvlJc w:val="left"/>
    </w:lvl>
    <w:lvl w:ilvl="3" w:tplc="9EBAF57A">
      <w:numFmt w:val="decimal"/>
      <w:lvlText w:val=""/>
      <w:lvlJc w:val="left"/>
    </w:lvl>
    <w:lvl w:ilvl="4" w:tplc="D234AB78">
      <w:numFmt w:val="decimal"/>
      <w:lvlText w:val=""/>
      <w:lvlJc w:val="left"/>
    </w:lvl>
    <w:lvl w:ilvl="5" w:tplc="9768DD0A">
      <w:numFmt w:val="decimal"/>
      <w:lvlText w:val=""/>
      <w:lvlJc w:val="left"/>
    </w:lvl>
    <w:lvl w:ilvl="6" w:tplc="4E34A1D4">
      <w:numFmt w:val="decimal"/>
      <w:lvlText w:val=""/>
      <w:lvlJc w:val="left"/>
    </w:lvl>
    <w:lvl w:ilvl="7" w:tplc="E9A61B48">
      <w:numFmt w:val="decimal"/>
      <w:lvlText w:val=""/>
      <w:lvlJc w:val="left"/>
    </w:lvl>
    <w:lvl w:ilvl="8" w:tplc="EF4024FC">
      <w:numFmt w:val="decimal"/>
      <w:lvlText w:val=""/>
      <w:lvlJc w:val="left"/>
    </w:lvl>
  </w:abstractNum>
  <w:abstractNum w:abstractNumId="3" w15:restartNumberingAfterBreak="0">
    <w:nsid w:val="570A5760"/>
    <w:multiLevelType w:val="hybridMultilevel"/>
    <w:tmpl w:val="6E72A47C"/>
    <w:lvl w:ilvl="0" w:tplc="A7645690">
      <w:start w:val="1"/>
      <w:numFmt w:val="decimal"/>
      <w:lvlText w:val="%1."/>
      <w:lvlJc w:val="left"/>
      <w:pPr>
        <w:ind w:left="640" w:hanging="320"/>
      </w:pPr>
    </w:lvl>
    <w:lvl w:ilvl="1" w:tplc="40BCF210">
      <w:numFmt w:val="decimal"/>
      <w:lvlText w:val=""/>
      <w:lvlJc w:val="left"/>
    </w:lvl>
    <w:lvl w:ilvl="2" w:tplc="D24890E2">
      <w:numFmt w:val="decimal"/>
      <w:lvlText w:val=""/>
      <w:lvlJc w:val="left"/>
    </w:lvl>
    <w:lvl w:ilvl="3" w:tplc="B46647BC">
      <w:numFmt w:val="decimal"/>
      <w:lvlText w:val=""/>
      <w:lvlJc w:val="left"/>
    </w:lvl>
    <w:lvl w:ilvl="4" w:tplc="84567C12">
      <w:numFmt w:val="decimal"/>
      <w:lvlText w:val=""/>
      <w:lvlJc w:val="left"/>
    </w:lvl>
    <w:lvl w:ilvl="5" w:tplc="4AA403A4">
      <w:numFmt w:val="decimal"/>
      <w:lvlText w:val=""/>
      <w:lvlJc w:val="left"/>
    </w:lvl>
    <w:lvl w:ilvl="6" w:tplc="073E3310">
      <w:numFmt w:val="decimal"/>
      <w:lvlText w:val=""/>
      <w:lvlJc w:val="left"/>
    </w:lvl>
    <w:lvl w:ilvl="7" w:tplc="5002AEBE">
      <w:numFmt w:val="decimal"/>
      <w:lvlText w:val=""/>
      <w:lvlJc w:val="left"/>
    </w:lvl>
    <w:lvl w:ilvl="8" w:tplc="2C8413F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B06"/>
    <w:rsid w:val="00415B06"/>
    <w:rsid w:val="006512FC"/>
    <w:rsid w:val="007C558A"/>
    <w:rsid w:val="009B45B8"/>
    <w:rsid w:val="00A35D6F"/>
    <w:rsid w:val="00BC59FE"/>
    <w:rsid w:val="00EE4DB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DFC8"/>
  <w15:docId w15:val="{D73A9A4F-BF41-41F7-871A-D4CF16A2F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SN" w:eastAsia="fr-S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keepNext/>
      <w:spacing w:before="360" w:after="160"/>
      <w:outlineLvl w:val="0"/>
    </w:pPr>
    <w:rPr>
      <w:rFonts w:ascii="Cambria" w:eastAsia="Cambria" w:hAnsi="Cambria" w:cs="Cambria"/>
      <w:b/>
      <w:bCs/>
      <w:color w:val="1F3A5F"/>
      <w:sz w:val="32"/>
      <w:szCs w:val="32"/>
    </w:rPr>
  </w:style>
  <w:style w:type="paragraph" w:styleId="Titre2">
    <w:name w:val="heading 2"/>
    <w:qFormat/>
    <w:pPr>
      <w:keepNext/>
      <w:spacing w:before="240" w:after="120"/>
      <w:outlineLvl w:val="1"/>
    </w:pPr>
    <w:rPr>
      <w:rFonts w:ascii="Cambria" w:eastAsia="Cambria" w:hAnsi="Cambria" w:cs="Cambria"/>
      <w:b/>
      <w:bCs/>
      <w:color w:val="1F3A5F"/>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E4DB8"/>
    <w:pPr>
      <w:spacing w:after="100"/>
    </w:pPr>
  </w:style>
  <w:style w:type="paragraph" w:styleId="TM2">
    <w:name w:val="toc 2"/>
    <w:basedOn w:val="Normal"/>
    <w:next w:val="Normal"/>
    <w:autoRedefine/>
    <w:uiPriority w:val="39"/>
    <w:unhideWhenUsed/>
    <w:rsid w:val="00EE4DB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3707</Words>
  <Characters>20390</Characters>
  <Application>Microsoft Office Word</Application>
  <DocSecurity>0</DocSecurity>
  <Lines>169</Lines>
  <Paragraphs>48</Paragraphs>
  <ScaleCrop>false</ScaleCrop>
  <HeadingPairs>
    <vt:vector size="2" baseType="variant">
      <vt:variant>
        <vt:lpstr>Titre</vt:lpstr>
      </vt:variant>
      <vt:variant>
        <vt:i4>1</vt:i4>
      </vt:variant>
    </vt:vector>
  </HeadingPairs>
  <TitlesOfParts>
    <vt:vector size="1" baseType="lpstr">
      <vt:lpstr>Segmentation de clientèle bancaire par apprentissage non supervisé</vt:lpstr>
    </vt:vector>
  </TitlesOfParts>
  <Company>HP</Company>
  <LinksUpToDate>false</LinksUpToDate>
  <CharactersWithSpaces>24049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de clientèle bancaire par apprentissage non supervisé</dc:title>
  <dc:creator>Papa Alassane SECK</dc:creator>
  <cp:lastModifiedBy>Papa Alassane SECK</cp:lastModifiedBy>
  <cp:revision>4</cp:revision>
  <cp:lastPrinted>2026-10-06T22:53:00Z</cp:lastPrinted>
  <dcterms:created xsi:type="dcterms:W3CDTF">2026-10-06T22:53:00Z</dcterms:created>
  <dcterms:modified xsi:type="dcterms:W3CDTF">2026-10-06T22:54:00Z</dcterms:modified>
</cp:coreProperties>
</file>