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Classification Policy — MedScribe-R-Us</w:t>
      </w:r>
    </w:p>
    <w:p/>
    <w:p>
      <w:r>
        <w:t>&gt; Owner: HIPAA Privacy Officer + AppSec · Status: Draft v1.0</w:t>
      </w:r>
    </w:p>
    <w:p/>
    <w:p>
      <w:r>
        <w:t>Every data element at MedScribe-R-Us is assigned one of four tiers. Handling,</w:t>
      </w:r>
    </w:p>
    <w:p>
      <w:r>
        <w:t>encryption, access, and retention requirements follow from the tier.</w:t>
      </w:r>
    </w:p>
    <w:p/>
    <w:p>
      <w:pPr>
        <w:pStyle w:val="Heading2"/>
      </w:pPr>
      <w:r>
        <w:t>Tiers</w:t>
      </w:r>
    </w:p>
    <w:p/>
    <w:p>
      <w:pPr>
        <w:pStyle w:val="Heading3"/>
      </w:pPr>
      <w:r>
        <w:t>Tier 1 — PHI / Restricted</w:t>
      </w:r>
    </w:p>
    <w:p>
      <w:r>
        <w:t>Protected Health Information: audio, raw transcripts, SOAP notes, token maps,</w:t>
      </w:r>
    </w:p>
    <w:p>
      <w:r>
        <w:t>MRNs, patient identifiers.</w:t>
      </w:r>
    </w:p>
    <w:p>
      <w:pPr>
        <w:pStyle w:val="ListBullet"/>
      </w:pPr>
      <w:r>
        <w:t>**Encryption:** AES-256 at rest; CMEK for audio; field-level for transcripts;</w:t>
      </w:r>
    </w:p>
    <w:p>
      <w:r>
        <w:t xml:space="preserve">  TLS 1.3 / mTLS in transit.</w:t>
      </w:r>
    </w:p>
    <w:p>
      <w:pPr>
        <w:pStyle w:val="ListBullet"/>
      </w:pPr>
      <w:r>
        <w:t>**Access:** least-privilege service accounts only; no human standing access;</w:t>
      </w:r>
    </w:p>
    <w:p>
      <w:r>
        <w:t xml:space="preserve">  break-glass with full audit.</w:t>
      </w:r>
    </w:p>
    <w:p>
      <w:pPr>
        <w:pStyle w:val="ListBullet"/>
      </w:pPr>
      <w:r>
        <w:t>**Logging:** content NEVER logged; identifiers logged hashed only.</w:t>
      </w:r>
    </w:p>
    <w:p>
      <w:pPr>
        <w:pStyle w:val="ListBullet"/>
      </w:pPr>
      <w:r>
        <w:t>**Retention:** per customer BAA, default 7 years; cryptographic erasure on delete.</w:t>
      </w:r>
    </w:p>
    <w:p>
      <w:pPr>
        <w:pStyle w:val="ListBullet"/>
      </w:pPr>
      <w:r>
        <w:t>**Cross-boundary:** never crosses to Vertex AI; only de-identified text does.</w:t>
      </w:r>
    </w:p>
    <w:p/>
    <w:p>
      <w:pPr>
        <w:pStyle w:val="Heading3"/>
      </w:pPr>
      <w:r>
        <w:t>Tier 2 — Confidential</w:t>
      </w:r>
    </w:p>
    <w:p>
      <w:r>
        <w:t>De-identified transcripts, aggregate analytics, internal architecture docs,</w:t>
      </w:r>
    </w:p>
    <w:p>
      <w:r>
        <w:t>security findings.</w:t>
      </w:r>
    </w:p>
    <w:p>
      <w:pPr>
        <w:pStyle w:val="ListBullet"/>
      </w:pPr>
      <w:r>
        <w:t>Encryption at rest + in transit; access limited to employees with need-to-know.</w:t>
      </w:r>
    </w:p>
    <w:p/>
    <w:p>
      <w:pPr>
        <w:pStyle w:val="Heading3"/>
      </w:pPr>
      <w:r>
        <w:t>Tier 3 — Internal</w:t>
      </w:r>
    </w:p>
    <w:p>
      <w:r>
        <w:t>Non-secret runtime config, CMDB, on-call schedules, runbooks.</w:t>
      </w:r>
    </w:p>
    <w:p>
      <w:pPr>
        <w:pStyle w:val="ListBullet"/>
      </w:pPr>
      <w:r>
        <w:t>Standard encryption; access limited to staff.</w:t>
      </w:r>
    </w:p>
    <w:p/>
    <w:p>
      <w:pPr>
        <w:pStyle w:val="Heading3"/>
      </w:pPr>
      <w:r>
        <w:t>Tier 4 — Public</w:t>
      </w:r>
    </w:p>
    <w:p>
      <w:r>
        <w:t>Marketing site, public API docs.</w:t>
      </w:r>
    </w:p>
    <w:p>
      <w:pPr>
        <w:pStyle w:val="ListBullet"/>
      </w:pPr>
      <w:r>
        <w:t>No special handling.</w:t>
      </w:r>
    </w:p>
    <w:p/>
    <w:p>
      <w:pPr>
        <w:pStyle w:val="Heading2"/>
      </w:pPr>
      <w:r>
        <w:t>Secrets handling</w:t>
      </w:r>
    </w:p>
    <w:p/>
    <w:p>
      <w:r>
        <w:t>Secrets (Vertex AI key, MongoDB connection string, FHIR OAuth client secret,</w:t>
      </w:r>
    </w:p>
    <w:p>
      <w:r>
        <w:t>Datadog API key, Auth0 client secret) are Tier 1 by blast radius. They live ONLY</w:t>
      </w:r>
    </w:p>
    <w:p>
      <w:r>
        <w:t>in GCP Secret Manager, are accessed via Workload Identity with per-secret</w:t>
      </w:r>
    </w:p>
    <w:p>
      <w:r>
        <w:t>conditions, rotate on schedule (90d API keys / 180d OAuth secrets), and must</w:t>
      </w:r>
    </w:p>
    <w:p>
      <w:r>
        <w:t>never appear in code, env files, logs, or tickets.</w:t>
      </w:r>
    </w:p>
    <w:p/>
    <w:p>
      <w:pPr>
        <w:pStyle w:val="Heading2"/>
      </w:pPr>
      <w:r>
        <w:t>De-identification standard</w:t>
      </w:r>
    </w:p>
    <w:p/>
    <w:p>
      <w:r>
        <w:t>PHI is de-identified per HIPAA Safe Harbor (45 CFR §164.514(b)) before any LLM</w:t>
      </w:r>
    </w:p>
    <w:p>
      <w:r>
        <w:t>processing. The scrubber must be validated against a labeled PHI corpus; any</w:t>
      </w:r>
    </w:p>
    <w:p>
      <w:r>
        <w:t>false negative is a reportable de-identification failure (see T-007).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