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jc w:val="center"/>
      </w:pPr>
      <w:r>
        <w:rPr>
          <w:rFonts w:ascii="Arial" w:hAnsi="Arial" w:eastAsia="Arial"/>
          <w:b/>
          <w:color w:val="17324D"/>
          <w:sz w:val="36"/>
        </w:rPr>
        <w:t>Analysis Report: Network Latency Impact on Distributed Transactions using Two-Phase Commit</w:t>
      </w:r>
    </w:p>
    <w:p>
      <w:pPr>
        <w:spacing w:after="120" w:line="259" w:lineRule="auto"/>
      </w:pPr>
      <w:r>
        <w:rPr>
          <w:rFonts w:ascii="Arial" w:hAnsi="Arial" w:eastAsia="Arial"/>
          <w:b/>
          <w:color w:val="1F4E79"/>
          <w:sz w:val="28"/>
        </w:rPr>
        <w:t>1. Mục Tiêu Phân Tích</w:t>
      </w:r>
    </w:p>
    <w:p>
      <w:pPr>
        <w:spacing w:after="120" w:line="259" w:lineRule="auto"/>
      </w:pPr>
      <w:r>
        <w:rPr>
          <w:rFonts w:ascii="Arial" w:hAnsi="Arial" w:eastAsia="Arial"/>
          <w:sz w:val="22"/>
        </w:rPr>
        <w:t>Mục tiêu của báo cáo là đánh giá tác động của Network Latency đến thời gian xử lý Distributed Transaction trong hệ cơ sở dữ liệu phân tán sử dụng giao thức Two-Phase Commit (2PC).</w:t>
      </w:r>
    </w:p>
    <w:p>
      <w:pPr>
        <w:spacing w:after="120" w:line="259" w:lineRule="auto"/>
      </w:pPr>
      <w:r>
        <w:rPr>
          <w:rFonts w:ascii="Arial" w:hAnsi="Arial" w:eastAsia="Arial"/>
          <w:sz w:val="22"/>
        </w:rPr>
        <w:t>Trong hệ thống này, Client gửi transaction đến Coordinator. Coordinator điều phối giao dịch đến ba Participant Node gồm Node A, Node B và Node C. Mỗi node lưu dữ liệu cục bộ bằng SQLite và giao tiếp với Coordinator thông qua REST API.</w:t>
      </w:r>
    </w:p>
    <w:p>
      <w:pPr>
        <w:spacing w:after="120" w:line="259" w:lineRule="auto"/>
      </w:pPr>
      <w:r>
        <w:rPr>
          <w:rFonts w:ascii="Arial" w:hAnsi="Arial" w:eastAsia="Arial"/>
          <w:sz w:val="22"/>
        </w:rPr>
        <w:t>Thí nghiệm thay đổi Network Latency ở ba mức:</w:t>
      </w:r>
    </w:p>
    <w:tbl>
      <w:tblPr>
        <w:tblStyle w:val="TableGrid"/>
        <w:tblW w:type="auto" w:w="0"/>
        <w:jc w:val="center"/>
        <w:tblLayout w:type="autofit"/>
        <w:tblLook w:firstColumn="1" w:firstRow="1" w:lastColumn="0" w:lastRow="0" w:noHBand="0" w:noVBand="1" w:val="04A0"/>
      </w:tblPr>
      <w:tblGrid>
        <w:gridCol w:w="7569"/>
        <w:gridCol w:w="7569"/>
      </w:tblGrid>
      <w:tr>
        <w:tc>
          <w:tcPr>
            <w:tcW w:type="dxa" w:w="7569"/>
            <w:vAlign w:val="top"/>
            <w:shd w:fill="1F4E79"/>
          </w:tcPr>
          <w:p>
            <w:pPr>
              <w:spacing w:after="0"/>
            </w:pPr>
            <w:r>
              <w:rPr>
                <w:rFonts w:ascii="Arial" w:hAnsi="Arial" w:eastAsia="Arial"/>
                <w:b/>
                <w:color w:val="FFFFFF"/>
                <w:sz w:val="16"/>
              </w:rPr>
            </w:r>
            <w:r>
              <w:rPr>
                <w:rFonts w:ascii="Arial" w:hAnsi="Arial" w:eastAsia="Arial"/>
                <w:b/>
                <w:color w:val="FFFFFF"/>
                <w:sz w:val="16"/>
              </w:rPr>
              <w:t>Latency</w:t>
            </w:r>
          </w:p>
        </w:tc>
        <w:tc>
          <w:tcPr>
            <w:tcW w:type="dxa" w:w="7569"/>
            <w:vAlign w:val="top"/>
            <w:shd w:fill="1F4E79"/>
          </w:tcPr>
          <w:p>
            <w:pPr>
              <w:spacing w:after="0"/>
            </w:pPr>
            <w:r>
              <w:rPr>
                <w:rFonts w:ascii="Arial" w:hAnsi="Arial" w:eastAsia="Arial"/>
                <w:b/>
                <w:color w:val="FFFFFF"/>
                <w:sz w:val="16"/>
              </w:rPr>
            </w:r>
            <w:r>
              <w:rPr>
                <w:rFonts w:ascii="Arial" w:hAnsi="Arial" w:eastAsia="Arial"/>
                <w:b/>
                <w:color w:val="FFFFFF"/>
                <w:sz w:val="16"/>
              </w:rPr>
              <w:t>Ý nghĩa</w:t>
            </w:r>
          </w:p>
        </w:tc>
      </w:tr>
      <w:tr>
        <w:tc>
          <w:tcPr>
            <w:tcW w:type="dxa" w:w="7569"/>
            <w:vAlign w:val="top"/>
          </w:tcPr>
          <w:p>
            <w:pPr>
              <w:spacing w:after="0"/>
            </w:pPr>
            <w:r>
              <w:rPr>
                <w:rFonts w:ascii="Arial" w:hAnsi="Arial" w:eastAsia="Arial"/>
                <w:sz w:val="16"/>
              </w:rPr>
            </w:r>
            <w:r>
              <w:rPr>
                <w:rFonts w:ascii="Arial" w:hAnsi="Arial" w:eastAsia="Arial"/>
                <w:sz w:val="16"/>
              </w:rPr>
              <w:t>1ms</w:t>
            </w:r>
          </w:p>
        </w:tc>
        <w:tc>
          <w:tcPr>
            <w:tcW w:type="dxa" w:w="7569"/>
            <w:vAlign w:val="top"/>
          </w:tcPr>
          <w:p>
            <w:pPr>
              <w:spacing w:after="0"/>
            </w:pPr>
            <w:r>
              <w:rPr>
                <w:rFonts w:ascii="Arial" w:hAnsi="Arial" w:eastAsia="Arial"/>
                <w:sz w:val="16"/>
              </w:rPr>
            </w:r>
            <w:r>
              <w:rPr>
                <w:rFonts w:ascii="Arial" w:hAnsi="Arial" w:eastAsia="Arial"/>
                <w:sz w:val="16"/>
              </w:rPr>
              <w:t>Local</w:t>
            </w:r>
          </w:p>
        </w:tc>
      </w:tr>
      <w:tr>
        <w:tc>
          <w:tcPr>
            <w:tcW w:type="dxa" w:w="7569"/>
            <w:vAlign w:val="top"/>
            <w:shd w:fill="F7FAFC"/>
          </w:tcPr>
          <w:p>
            <w:pPr>
              <w:spacing w:after="0"/>
            </w:pPr>
            <w:r>
              <w:rPr>
                <w:rFonts w:ascii="Arial" w:hAnsi="Arial" w:eastAsia="Arial"/>
                <w:sz w:val="16"/>
              </w:rPr>
            </w:r>
            <w:r>
              <w:rPr>
                <w:rFonts w:ascii="Arial" w:hAnsi="Arial" w:eastAsia="Arial"/>
                <w:sz w:val="16"/>
              </w:rPr>
              <w:t>50ms</w:t>
            </w:r>
          </w:p>
        </w:tc>
        <w:tc>
          <w:tcPr>
            <w:tcW w:type="dxa" w:w="7569"/>
            <w:vAlign w:val="top"/>
            <w:shd w:fill="F7FAFC"/>
          </w:tcPr>
          <w:p>
            <w:pPr>
              <w:spacing w:after="0"/>
            </w:pPr>
            <w:r>
              <w:rPr>
                <w:rFonts w:ascii="Arial" w:hAnsi="Arial" w:eastAsia="Arial"/>
                <w:sz w:val="16"/>
              </w:rPr>
            </w:r>
            <w:r>
              <w:rPr>
                <w:rFonts w:ascii="Arial" w:hAnsi="Arial" w:eastAsia="Arial"/>
                <w:sz w:val="16"/>
              </w:rPr>
              <w:t>Regional</w:t>
            </w:r>
          </w:p>
        </w:tc>
      </w:tr>
      <w:tr>
        <w:tc>
          <w:tcPr>
            <w:tcW w:type="dxa" w:w="7569"/>
            <w:vAlign w:val="top"/>
          </w:tcPr>
          <w:p>
            <w:pPr>
              <w:spacing w:after="0"/>
            </w:pPr>
            <w:r>
              <w:rPr>
                <w:rFonts w:ascii="Arial" w:hAnsi="Arial" w:eastAsia="Arial"/>
                <w:sz w:val="16"/>
              </w:rPr>
            </w:r>
            <w:r>
              <w:rPr>
                <w:rFonts w:ascii="Arial" w:hAnsi="Arial" w:eastAsia="Arial"/>
                <w:sz w:val="16"/>
              </w:rPr>
              <w:t>250ms</w:t>
            </w:r>
          </w:p>
        </w:tc>
        <w:tc>
          <w:tcPr>
            <w:tcW w:type="dxa" w:w="7569"/>
            <w:vAlign w:val="top"/>
          </w:tcPr>
          <w:p>
            <w:pPr>
              <w:spacing w:after="0"/>
            </w:pPr>
            <w:r>
              <w:rPr>
                <w:rFonts w:ascii="Arial" w:hAnsi="Arial" w:eastAsia="Arial"/>
                <w:sz w:val="16"/>
              </w:rPr>
            </w:r>
            <w:r>
              <w:rPr>
                <w:rFonts w:ascii="Arial" w:hAnsi="Arial" w:eastAsia="Arial"/>
                <w:sz w:val="16"/>
              </w:rPr>
              <w:t>Global / Trans-Atlantic</w:t>
            </w:r>
          </w:p>
        </w:tc>
      </w:tr>
    </w:tbl>
    <w:p/>
    <w:p>
      <w:pPr>
        <w:spacing w:after="120" w:line="259" w:lineRule="auto"/>
      </w:pPr>
      <w:r>
        <w:rPr>
          <w:rFonts w:ascii="Arial" w:hAnsi="Arial" w:eastAsia="Arial"/>
          <w:sz w:val="22"/>
        </w:rPr>
        <w:t>Mục tiêu chính là chứng minh rằng khi Network Latency tăng, Communication Cost trong Distributed Transaction cũng tăng, từ đó làm tăng tổng thời gian xử lý transaction.</w:t>
      </w:r>
    </w:p>
    <w:p>
      <w:pPr>
        <w:spacing w:after="120" w:line="259" w:lineRule="auto"/>
      </w:pPr>
      <w:r>
        <w:rPr>
          <w:rFonts w:ascii="Arial" w:hAnsi="Arial" w:eastAsia="Arial"/>
          <w:b/>
          <w:color w:val="1F4E79"/>
          <w:sz w:val="28"/>
        </w:rPr>
        <w:t>2. Cơ Sở Lý Thuyết</w:t>
      </w:r>
    </w:p>
    <w:p>
      <w:pPr>
        <w:spacing w:after="120" w:line="259" w:lineRule="auto"/>
      </w:pPr>
      <w:r>
        <w:rPr>
          <w:rFonts w:ascii="Arial" w:hAnsi="Arial" w:eastAsia="Arial"/>
          <w:sz w:val="22"/>
        </w:rPr>
        <w:t>Theo mô hình chi phí trong cơ sở dữ liệu phân tán của Özsu và Valduriez, chi phí xử lý một thao tác có thể được mô hình hóa như sau:</w:t>
      </w:r>
    </w:p>
    <w:p>
      <w:pPr>
        <w:spacing w:before="80" w:after="160"/>
        <w:ind w:left="227" w:right="113"/>
        <w:shd w:fill="F4F6F8"/>
      </w:pPr>
      <w:r>
        <w:rPr>
          <w:rFonts w:ascii="Consolas" w:hAnsi="Consolas" w:eastAsia="Consolas"/>
          <w:sz w:val="18"/>
        </w:rPr>
        <w:t>Cost = IO + CPU + Comm</w:t>
      </w:r>
    </w:p>
    <w:tbl>
      <w:tblPr>
        <w:tblStyle w:val="TableGrid"/>
        <w:tblW w:type="auto" w:w="0"/>
        <w:jc w:val="center"/>
        <w:tblLayout w:type="autofit"/>
        <w:tblLook w:firstColumn="1" w:firstRow="1" w:lastColumn="0" w:lastRow="0" w:noHBand="0" w:noVBand="1" w:val="04A0"/>
      </w:tblPr>
      <w:tblGrid>
        <w:gridCol w:w="7569"/>
        <w:gridCol w:w="7569"/>
      </w:tblGrid>
      <w:tr>
        <w:tc>
          <w:tcPr>
            <w:tcW w:type="dxa" w:w="7569"/>
            <w:vAlign w:val="top"/>
            <w:shd w:fill="1F4E79"/>
          </w:tcPr>
          <w:p>
            <w:pPr>
              <w:spacing w:after="0"/>
            </w:pPr>
            <w:r>
              <w:rPr>
                <w:rFonts w:ascii="Arial" w:hAnsi="Arial" w:eastAsia="Arial"/>
                <w:b/>
                <w:color w:val="FFFFFF"/>
                <w:sz w:val="16"/>
              </w:rPr>
            </w:r>
            <w:r>
              <w:rPr>
                <w:rFonts w:ascii="Arial" w:hAnsi="Arial" w:eastAsia="Arial"/>
                <w:b/>
                <w:color w:val="FFFFFF"/>
                <w:sz w:val="16"/>
              </w:rPr>
              <w:t>Thành phần</w:t>
            </w:r>
          </w:p>
        </w:tc>
        <w:tc>
          <w:tcPr>
            <w:tcW w:type="dxa" w:w="7569"/>
            <w:vAlign w:val="top"/>
            <w:shd w:fill="1F4E79"/>
          </w:tcPr>
          <w:p>
            <w:pPr>
              <w:spacing w:after="0"/>
            </w:pPr>
            <w:r>
              <w:rPr>
                <w:rFonts w:ascii="Arial" w:hAnsi="Arial" w:eastAsia="Arial"/>
                <w:b/>
                <w:color w:val="FFFFFF"/>
                <w:sz w:val="16"/>
              </w:rPr>
            </w:r>
            <w:r>
              <w:rPr>
                <w:rFonts w:ascii="Arial" w:hAnsi="Arial" w:eastAsia="Arial"/>
                <w:b/>
                <w:color w:val="FFFFFF"/>
                <w:sz w:val="16"/>
              </w:rPr>
              <w:t>Ý nghĩa trong đồ án</w:t>
            </w:r>
          </w:p>
        </w:tc>
      </w:tr>
      <w:tr>
        <w:tc>
          <w:tcPr>
            <w:tcW w:type="dxa" w:w="7569"/>
            <w:vAlign w:val="top"/>
          </w:tcPr>
          <w:p>
            <w:pPr>
              <w:spacing w:after="0"/>
            </w:pPr>
            <w:r>
              <w:rPr>
                <w:rFonts w:ascii="Arial" w:hAnsi="Arial" w:eastAsia="Arial"/>
                <w:sz w:val="16"/>
              </w:rPr>
            </w:r>
            <w:r>
              <w:rPr>
                <w:rFonts w:ascii="Arial" w:hAnsi="Arial" w:eastAsia="Arial"/>
                <w:sz w:val="16"/>
              </w:rPr>
              <w:t>IO</w:t>
            </w:r>
          </w:p>
        </w:tc>
        <w:tc>
          <w:tcPr>
            <w:tcW w:type="dxa" w:w="7569"/>
            <w:vAlign w:val="top"/>
          </w:tcPr>
          <w:p>
            <w:pPr>
              <w:spacing w:after="0"/>
            </w:pPr>
            <w:r>
              <w:rPr>
                <w:rFonts w:ascii="Arial" w:hAnsi="Arial" w:eastAsia="Arial"/>
                <w:sz w:val="16"/>
              </w:rPr>
            </w:r>
            <w:r>
              <w:rPr>
                <w:rFonts w:ascii="Arial" w:hAnsi="Arial" w:eastAsia="Arial"/>
                <w:sz w:val="16"/>
              </w:rPr>
              <w:t>Chi phí đọc/ghi dữ liệu trong SQLite</w:t>
            </w:r>
          </w:p>
        </w:tc>
      </w:tr>
      <w:tr>
        <w:tc>
          <w:tcPr>
            <w:tcW w:type="dxa" w:w="7569"/>
            <w:vAlign w:val="top"/>
            <w:shd w:fill="F7FAFC"/>
          </w:tcPr>
          <w:p>
            <w:pPr>
              <w:spacing w:after="0"/>
            </w:pPr>
            <w:r>
              <w:rPr>
                <w:rFonts w:ascii="Arial" w:hAnsi="Arial" w:eastAsia="Arial"/>
                <w:sz w:val="16"/>
              </w:rPr>
            </w:r>
            <w:r>
              <w:rPr>
                <w:rFonts w:ascii="Arial" w:hAnsi="Arial" w:eastAsia="Arial"/>
                <w:sz w:val="16"/>
              </w:rPr>
              <w:t>CPU</w:t>
            </w:r>
          </w:p>
        </w:tc>
        <w:tc>
          <w:tcPr>
            <w:tcW w:type="dxa" w:w="7569"/>
            <w:vAlign w:val="top"/>
            <w:shd w:fill="F7FAFC"/>
          </w:tcPr>
          <w:p>
            <w:pPr>
              <w:spacing w:after="0"/>
            </w:pPr>
            <w:r>
              <w:rPr>
                <w:rFonts w:ascii="Arial" w:hAnsi="Arial" w:eastAsia="Arial"/>
                <w:sz w:val="16"/>
              </w:rPr>
            </w:r>
            <w:r>
              <w:rPr>
                <w:rFonts w:ascii="Arial" w:hAnsi="Arial" w:eastAsia="Arial"/>
                <w:sz w:val="16"/>
              </w:rPr>
              <w:t>Chi phí xử lý logic transaction tại Coordinator và Participant Node</w:t>
            </w:r>
          </w:p>
        </w:tc>
      </w:tr>
      <w:tr>
        <w:tc>
          <w:tcPr>
            <w:tcW w:type="dxa" w:w="7569"/>
            <w:vAlign w:val="top"/>
          </w:tcPr>
          <w:p>
            <w:pPr>
              <w:spacing w:after="0"/>
            </w:pPr>
            <w:r>
              <w:rPr>
                <w:rFonts w:ascii="Arial" w:hAnsi="Arial" w:eastAsia="Arial"/>
                <w:sz w:val="16"/>
              </w:rPr>
            </w:r>
            <w:r>
              <w:rPr>
                <w:rFonts w:ascii="Arial" w:hAnsi="Arial" w:eastAsia="Arial"/>
                <w:sz w:val="16"/>
              </w:rPr>
              <w:t>Comm</w:t>
            </w:r>
          </w:p>
        </w:tc>
        <w:tc>
          <w:tcPr>
            <w:tcW w:type="dxa" w:w="7569"/>
            <w:vAlign w:val="top"/>
          </w:tcPr>
          <w:p>
            <w:pPr>
              <w:spacing w:after="0"/>
            </w:pPr>
            <w:r>
              <w:rPr>
                <w:rFonts w:ascii="Arial" w:hAnsi="Arial" w:eastAsia="Arial"/>
                <w:sz w:val="16"/>
              </w:rPr>
            </w:r>
            <w:r>
              <w:rPr>
                <w:rFonts w:ascii="Arial" w:hAnsi="Arial" w:eastAsia="Arial"/>
                <w:sz w:val="16"/>
              </w:rPr>
              <w:t>Chi phí truyền thông giữa Coordinator và Participant Node</w:t>
            </w:r>
          </w:p>
        </w:tc>
      </w:tr>
    </w:tbl>
    <w:p/>
    <w:p>
      <w:pPr>
        <w:spacing w:after="120" w:line="259" w:lineRule="auto"/>
      </w:pPr>
      <w:r>
        <w:rPr>
          <w:rFonts w:ascii="Arial" w:hAnsi="Arial" w:eastAsia="Arial"/>
          <w:sz w:val="22"/>
        </w:rPr>
        <w:t>Trong thí nghiệm này, các yếu tố như dataset, số lượng node, database engine, transaction logic và cách đo metric được giữ cố định. Biến được thay đổi có kiểm soát là Network Latency.</w:t>
      </w:r>
    </w:p>
    <w:p>
      <w:pPr>
        <w:spacing w:after="120" w:line="259" w:lineRule="auto"/>
      </w:pPr>
      <w:r>
        <w:rPr>
          <w:rFonts w:ascii="Arial" w:hAnsi="Arial" w:eastAsia="Arial"/>
          <w:sz w:val="22"/>
        </w:rPr>
        <w:t xml:space="preserve">Do đó, nếu tổng thời gian xử lý transaction tăng khi latency tăng, nguyên nhân chính có thể được giải thích là do thành phần </w:t>
      </w:r>
      <w:r>
        <w:rPr>
          <w:rFonts w:ascii="Arial" w:hAnsi="Arial" w:eastAsia="Arial"/>
          <w:sz w:val="22"/>
        </w:rPr>
        <w:t>Comm</w:t>
      </w:r>
      <w:r>
        <w:rPr>
          <w:rFonts w:ascii="Arial" w:hAnsi="Arial" w:eastAsia="Arial"/>
          <w:sz w:val="22"/>
        </w:rPr>
        <w:t xml:space="preserve"> tăng.</w:t>
      </w:r>
    </w:p>
    <w:p>
      <w:pPr>
        <w:spacing w:after="120" w:line="259" w:lineRule="auto"/>
      </w:pPr>
      <w:r>
        <w:rPr>
          <w:rFonts w:ascii="Arial" w:hAnsi="Arial" w:eastAsia="Arial"/>
          <w:sz w:val="22"/>
        </w:rPr>
        <w:t>Hệ thống sử dụng giao thức Two-Phase Commit gồm hai phase chính:</w:t>
      </w:r>
    </w:p>
    <w:tbl>
      <w:tblPr>
        <w:tblStyle w:val="TableGrid"/>
        <w:tblW w:type="auto" w:w="0"/>
        <w:jc w:val="center"/>
        <w:tblLayout w:type="autofit"/>
        <w:tblLook w:firstColumn="1" w:firstRow="1" w:lastColumn="0" w:lastRow="0" w:noHBand="0" w:noVBand="1" w:val="04A0"/>
      </w:tblPr>
      <w:tblGrid>
        <w:gridCol w:w="7569"/>
        <w:gridCol w:w="7569"/>
      </w:tblGrid>
      <w:tr>
        <w:tc>
          <w:tcPr>
            <w:tcW w:type="dxa" w:w="7569"/>
            <w:vAlign w:val="top"/>
            <w:shd w:fill="1F4E79"/>
          </w:tcPr>
          <w:p>
            <w:pPr>
              <w:spacing w:after="0"/>
            </w:pPr>
            <w:r>
              <w:rPr>
                <w:rFonts w:ascii="Arial" w:hAnsi="Arial" w:eastAsia="Arial"/>
                <w:b/>
                <w:color w:val="FFFFFF"/>
                <w:sz w:val="16"/>
              </w:rPr>
            </w:r>
            <w:r>
              <w:rPr>
                <w:rFonts w:ascii="Arial" w:hAnsi="Arial" w:eastAsia="Arial"/>
                <w:b/>
                <w:color w:val="FFFFFF"/>
                <w:sz w:val="16"/>
              </w:rPr>
              <w:t>Phase</w:t>
            </w:r>
          </w:p>
        </w:tc>
        <w:tc>
          <w:tcPr>
            <w:tcW w:type="dxa" w:w="7569"/>
            <w:vAlign w:val="top"/>
            <w:shd w:fill="1F4E79"/>
          </w:tcPr>
          <w:p>
            <w:pPr>
              <w:spacing w:after="0"/>
            </w:pPr>
            <w:r>
              <w:rPr>
                <w:rFonts w:ascii="Arial" w:hAnsi="Arial" w:eastAsia="Arial"/>
                <w:b/>
                <w:color w:val="FFFFFF"/>
                <w:sz w:val="16"/>
              </w:rPr>
            </w:r>
            <w:r>
              <w:rPr>
                <w:rFonts w:ascii="Arial" w:hAnsi="Arial" w:eastAsia="Arial"/>
                <w:b/>
                <w:color w:val="FFFFFF"/>
                <w:sz w:val="16"/>
              </w:rPr>
              <w:t>Vai trò</w:t>
            </w:r>
          </w:p>
        </w:tc>
      </w:tr>
      <w:tr>
        <w:tc>
          <w:tcPr>
            <w:tcW w:type="dxa" w:w="7569"/>
            <w:vAlign w:val="top"/>
          </w:tcPr>
          <w:p>
            <w:pPr>
              <w:spacing w:after="0"/>
            </w:pPr>
            <w:r>
              <w:rPr>
                <w:rFonts w:ascii="Arial" w:hAnsi="Arial" w:eastAsia="Arial"/>
                <w:sz w:val="16"/>
              </w:rPr>
            </w:r>
            <w:r>
              <w:rPr>
                <w:rFonts w:ascii="Arial" w:hAnsi="Arial" w:eastAsia="Arial"/>
                <w:sz w:val="16"/>
              </w:rPr>
              <w:t>PREPARE / VOTING</w:t>
            </w:r>
          </w:p>
        </w:tc>
        <w:tc>
          <w:tcPr>
            <w:tcW w:type="dxa" w:w="7569"/>
            <w:vAlign w:val="top"/>
          </w:tcPr>
          <w:p>
            <w:pPr>
              <w:spacing w:after="0"/>
            </w:pPr>
            <w:r>
              <w:rPr>
                <w:rFonts w:ascii="Arial" w:hAnsi="Arial" w:eastAsia="Arial"/>
                <w:sz w:val="16"/>
              </w:rPr>
            </w:r>
            <w:r>
              <w:rPr>
                <w:rFonts w:ascii="Arial" w:hAnsi="Arial" w:eastAsia="Arial"/>
                <w:sz w:val="16"/>
              </w:rPr>
              <w:t>Coordinator hỏi các Participant Node có sẵn sàng commit hay không</w:t>
            </w:r>
          </w:p>
        </w:tc>
      </w:tr>
      <w:tr>
        <w:tc>
          <w:tcPr>
            <w:tcW w:type="dxa" w:w="7569"/>
            <w:vAlign w:val="top"/>
            <w:shd w:fill="F7FAFC"/>
          </w:tcPr>
          <w:p>
            <w:pPr>
              <w:spacing w:after="0"/>
            </w:pPr>
            <w:r>
              <w:rPr>
                <w:rFonts w:ascii="Arial" w:hAnsi="Arial" w:eastAsia="Arial"/>
                <w:sz w:val="16"/>
              </w:rPr>
            </w:r>
            <w:r>
              <w:rPr>
                <w:rFonts w:ascii="Arial" w:hAnsi="Arial" w:eastAsia="Arial"/>
                <w:sz w:val="16"/>
              </w:rPr>
              <w:t>COMMIT / ABORT</w:t>
            </w:r>
          </w:p>
        </w:tc>
        <w:tc>
          <w:tcPr>
            <w:tcW w:type="dxa" w:w="7569"/>
            <w:vAlign w:val="top"/>
            <w:shd w:fill="F7FAFC"/>
          </w:tcPr>
          <w:p>
            <w:pPr>
              <w:spacing w:after="0"/>
            </w:pPr>
            <w:r>
              <w:rPr>
                <w:rFonts w:ascii="Arial" w:hAnsi="Arial" w:eastAsia="Arial"/>
                <w:sz w:val="16"/>
              </w:rPr>
            </w:r>
            <w:r>
              <w:rPr>
                <w:rFonts w:ascii="Arial" w:hAnsi="Arial" w:eastAsia="Arial"/>
                <w:sz w:val="16"/>
              </w:rPr>
              <w:t>Coordinator gửi quyết định cuối cùng đến các Participant Node</w:t>
            </w:r>
          </w:p>
        </w:tc>
      </w:tr>
    </w:tbl>
    <w:p/>
    <w:p>
      <w:pPr>
        <w:spacing w:after="120" w:line="259" w:lineRule="auto"/>
      </w:pPr>
      <w:r>
        <w:rPr>
          <w:rFonts w:ascii="Arial" w:hAnsi="Arial" w:eastAsia="Arial"/>
          <w:sz w:val="22"/>
        </w:rPr>
        <w:t>Vì 2PC cần ít nhất hai vòng giao tiếp giữa Coordinator và Participant Node, giao thức này chịu ảnh hưởng rõ rệt khi Network Latency tăng.</w:t>
      </w:r>
    </w:p>
    <w:p>
      <w:pPr>
        <w:spacing w:after="120" w:line="259" w:lineRule="auto"/>
      </w:pPr>
      <w:r>
        <w:rPr>
          <w:rFonts w:ascii="Arial" w:hAnsi="Arial" w:eastAsia="Arial"/>
          <w:b/>
          <w:color w:val="1F4E79"/>
          <w:sz w:val="28"/>
        </w:rPr>
        <w:t>3. Phương Pháp Benchmark</w:t>
      </w:r>
    </w:p>
    <w:p>
      <w:pPr>
        <w:spacing w:after="120" w:line="259" w:lineRule="auto"/>
      </w:pPr>
      <w:r>
        <w:rPr>
          <w:rFonts w:ascii="Arial" w:hAnsi="Arial" w:eastAsia="Arial"/>
          <w:sz w:val="22"/>
        </w:rPr>
        <w:t xml:space="preserve">Benchmark được thực hiện với ba mức Network Latency: </w:t>
      </w:r>
      <w:r>
        <w:rPr>
          <w:rFonts w:ascii="Arial" w:hAnsi="Arial" w:eastAsia="Arial"/>
          <w:sz w:val="22"/>
        </w:rPr>
        <w:t>1ms</w:t>
      </w:r>
      <w:r>
        <w:rPr>
          <w:rFonts w:ascii="Arial" w:hAnsi="Arial" w:eastAsia="Arial"/>
          <w:sz w:val="22"/>
        </w:rPr>
        <w:t xml:space="preserve">, </w:t>
      </w:r>
      <w:r>
        <w:rPr>
          <w:rFonts w:ascii="Arial" w:hAnsi="Arial" w:eastAsia="Arial"/>
          <w:sz w:val="22"/>
        </w:rPr>
        <w:t>50ms</w:t>
      </w:r>
      <w:r>
        <w:rPr>
          <w:rFonts w:ascii="Arial" w:hAnsi="Arial" w:eastAsia="Arial"/>
          <w:sz w:val="22"/>
        </w:rPr>
        <w:t xml:space="preserve">, </w:t>
      </w:r>
      <w:r>
        <w:rPr>
          <w:rFonts w:ascii="Arial" w:hAnsi="Arial" w:eastAsia="Arial"/>
          <w:sz w:val="22"/>
        </w:rPr>
        <w:t>250ms</w:t>
      </w:r>
      <w:r>
        <w:rPr>
          <w:rFonts w:ascii="Arial" w:hAnsi="Arial" w:eastAsia="Arial"/>
          <w:sz w:val="22"/>
        </w:rPr>
        <w:t>.</w:t>
      </w:r>
    </w:p>
    <w:p>
      <w:pPr>
        <w:spacing w:after="120" w:line="259" w:lineRule="auto"/>
      </w:pPr>
      <w:r>
        <w:rPr>
          <w:rFonts w:ascii="Arial" w:hAnsi="Arial" w:eastAsia="Arial"/>
          <w:sz w:val="22"/>
        </w:rPr>
        <w:t>Với mỗi mức latency, hệ thống chạy:</w:t>
      </w:r>
    </w:p>
    <w:p>
      <w:pPr>
        <w:spacing w:before="80" w:after="160"/>
        <w:ind w:left="227" w:right="113"/>
        <w:shd w:fill="F4F6F8"/>
      </w:pPr>
      <w:r>
        <w:rPr>
          <w:rFonts w:ascii="Consolas" w:hAnsi="Consolas" w:eastAsia="Consolas"/>
          <w:sz w:val="18"/>
        </w:rPr>
        <w:t>5 runs x 100 transactions = 500 transactions</w:t>
      </w:r>
    </w:p>
    <w:p>
      <w:pPr>
        <w:spacing w:after="120" w:line="259" w:lineRule="auto"/>
      </w:pPr>
      <w:r>
        <w:rPr>
          <w:rFonts w:ascii="Arial" w:hAnsi="Arial" w:eastAsia="Arial"/>
          <w:sz w:val="22"/>
        </w:rPr>
        <w:t>Tổng số transaction được đo chính thức:</w:t>
      </w:r>
    </w:p>
    <w:p>
      <w:pPr>
        <w:spacing w:before="80" w:after="160"/>
        <w:ind w:left="227" w:right="113"/>
        <w:shd w:fill="F4F6F8"/>
      </w:pPr>
      <w:r>
        <w:rPr>
          <w:rFonts w:ascii="Consolas" w:hAnsi="Consolas" w:eastAsia="Consolas"/>
          <w:sz w:val="18"/>
        </w:rPr>
        <w:t>3 latency levels x 500 transactions = 1500 transactions</w:t>
      </w:r>
    </w:p>
    <w:p>
      <w:pPr>
        <w:spacing w:after="120" w:line="259" w:lineRule="auto"/>
      </w:pPr>
      <w:r>
        <w:rPr>
          <w:rFonts w:ascii="Arial" w:hAnsi="Arial" w:eastAsia="Arial"/>
          <w:sz w:val="22"/>
        </w:rPr>
        <w:t>Trước khi đo chính thức, hệ thống thực hiện warm-up để giảm ảnh hưởng của các yếu tố khởi động ban đầu.</w:t>
      </w:r>
    </w:p>
    <w:p>
      <w:pPr>
        <w:spacing w:after="120" w:line="259" w:lineRule="auto"/>
      </w:pPr>
      <w:r>
        <w:rPr>
          <w:rFonts w:ascii="Arial" w:hAnsi="Arial" w:eastAsia="Arial"/>
          <w:sz w:val="22"/>
        </w:rPr>
        <w:t>Các metric được thu thập gồm:</w:t>
      </w:r>
    </w:p>
    <w:tbl>
      <w:tblPr>
        <w:tblStyle w:val="TableGrid"/>
        <w:tblW w:type="auto" w:w="0"/>
        <w:jc w:val="center"/>
        <w:tblLayout w:type="autofit"/>
        <w:tblLook w:firstColumn="1" w:firstRow="1" w:lastColumn="0" w:lastRow="0" w:noHBand="0" w:noVBand="1" w:val="04A0"/>
      </w:tblPr>
      <w:tblGrid>
        <w:gridCol w:w="7569"/>
        <w:gridCol w:w="7569"/>
      </w:tblGrid>
      <w:tr>
        <w:tc>
          <w:tcPr>
            <w:tcW w:type="dxa" w:w="7569"/>
            <w:vAlign w:val="top"/>
            <w:shd w:fill="1F4E79"/>
          </w:tcPr>
          <w:p>
            <w:pPr>
              <w:spacing w:after="0"/>
            </w:pPr>
            <w:r>
              <w:rPr>
                <w:rFonts w:ascii="Arial" w:hAnsi="Arial" w:eastAsia="Arial"/>
                <w:b/>
                <w:color w:val="FFFFFF"/>
                <w:sz w:val="16"/>
              </w:rPr>
            </w:r>
            <w:r>
              <w:rPr>
                <w:rFonts w:ascii="Arial" w:hAnsi="Arial" w:eastAsia="Arial"/>
                <w:b/>
                <w:color w:val="FFFFFF"/>
                <w:sz w:val="16"/>
              </w:rPr>
              <w:t>Metric</w:t>
            </w:r>
          </w:p>
        </w:tc>
        <w:tc>
          <w:tcPr>
            <w:tcW w:type="dxa" w:w="7569"/>
            <w:vAlign w:val="top"/>
            <w:shd w:fill="1F4E79"/>
          </w:tcPr>
          <w:p>
            <w:pPr>
              <w:spacing w:after="0"/>
            </w:pPr>
            <w:r>
              <w:rPr>
                <w:rFonts w:ascii="Arial" w:hAnsi="Arial" w:eastAsia="Arial"/>
                <w:b/>
                <w:color w:val="FFFFFF"/>
                <w:sz w:val="16"/>
              </w:rPr>
            </w:r>
            <w:r>
              <w:rPr>
                <w:rFonts w:ascii="Arial" w:hAnsi="Arial" w:eastAsia="Arial"/>
                <w:b/>
                <w:color w:val="FFFFFF"/>
                <w:sz w:val="16"/>
              </w:rPr>
              <w:t>Ý nghĩa</w:t>
            </w:r>
          </w:p>
        </w:tc>
      </w:tr>
      <w:tr>
        <w:tc>
          <w:tcPr>
            <w:tcW w:type="dxa" w:w="7569"/>
            <w:vAlign w:val="top"/>
          </w:tcPr>
          <w:p>
            <w:pPr>
              <w:spacing w:after="0"/>
            </w:pPr>
            <w:r>
              <w:rPr>
                <w:rFonts w:ascii="Arial" w:hAnsi="Arial" w:eastAsia="Arial"/>
                <w:sz w:val="16"/>
              </w:rPr>
            </w:r>
            <w:r>
              <w:rPr>
                <w:rFonts w:ascii="Arial" w:hAnsi="Arial" w:eastAsia="Arial"/>
                <w:sz w:val="16"/>
              </w:rPr>
              <w:t>total_time_ms</w:t>
            </w:r>
          </w:p>
        </w:tc>
        <w:tc>
          <w:tcPr>
            <w:tcW w:type="dxa" w:w="7569"/>
            <w:vAlign w:val="top"/>
          </w:tcPr>
          <w:p>
            <w:pPr>
              <w:spacing w:after="0"/>
            </w:pPr>
            <w:r>
              <w:rPr>
                <w:rFonts w:ascii="Arial" w:hAnsi="Arial" w:eastAsia="Arial"/>
                <w:sz w:val="16"/>
              </w:rPr>
            </w:r>
            <w:r>
              <w:rPr>
                <w:rFonts w:ascii="Arial" w:hAnsi="Arial" w:eastAsia="Arial"/>
                <w:sz w:val="16"/>
              </w:rPr>
              <w:t>Tổng thời gian xử lý transaction</w:t>
            </w:r>
          </w:p>
        </w:tc>
      </w:tr>
      <w:tr>
        <w:tc>
          <w:tcPr>
            <w:tcW w:type="dxa" w:w="7569"/>
            <w:vAlign w:val="top"/>
            <w:shd w:fill="F7FAFC"/>
          </w:tcPr>
          <w:p>
            <w:pPr>
              <w:spacing w:after="0"/>
            </w:pPr>
            <w:r>
              <w:rPr>
                <w:rFonts w:ascii="Arial" w:hAnsi="Arial" w:eastAsia="Arial"/>
                <w:sz w:val="16"/>
              </w:rPr>
            </w:r>
            <w:r>
              <w:rPr>
                <w:rFonts w:ascii="Arial" w:hAnsi="Arial" w:eastAsia="Arial"/>
                <w:sz w:val="16"/>
              </w:rPr>
              <w:t>prepare_phase_ms</w:t>
            </w:r>
          </w:p>
        </w:tc>
        <w:tc>
          <w:tcPr>
            <w:tcW w:type="dxa" w:w="7569"/>
            <w:vAlign w:val="top"/>
            <w:shd w:fill="F7FAFC"/>
          </w:tcPr>
          <w:p>
            <w:pPr>
              <w:spacing w:after="0"/>
            </w:pPr>
            <w:r>
              <w:rPr>
                <w:rFonts w:ascii="Arial" w:hAnsi="Arial" w:eastAsia="Arial"/>
                <w:sz w:val="16"/>
              </w:rPr>
            </w:r>
            <w:r>
              <w:rPr>
                <w:rFonts w:ascii="Arial" w:hAnsi="Arial" w:eastAsia="Arial"/>
                <w:sz w:val="16"/>
              </w:rPr>
              <w:t>Thời gian thực hiện phase PREPARE</w:t>
            </w:r>
          </w:p>
        </w:tc>
      </w:tr>
      <w:tr>
        <w:tc>
          <w:tcPr>
            <w:tcW w:type="dxa" w:w="7569"/>
            <w:vAlign w:val="top"/>
          </w:tcPr>
          <w:p>
            <w:pPr>
              <w:spacing w:after="0"/>
            </w:pPr>
            <w:r>
              <w:rPr>
                <w:rFonts w:ascii="Arial" w:hAnsi="Arial" w:eastAsia="Arial"/>
                <w:sz w:val="16"/>
              </w:rPr>
            </w:r>
            <w:r>
              <w:rPr>
                <w:rFonts w:ascii="Arial" w:hAnsi="Arial" w:eastAsia="Arial"/>
                <w:sz w:val="16"/>
              </w:rPr>
              <w:t>decision_phase_ms</w:t>
            </w:r>
          </w:p>
        </w:tc>
        <w:tc>
          <w:tcPr>
            <w:tcW w:type="dxa" w:w="7569"/>
            <w:vAlign w:val="top"/>
          </w:tcPr>
          <w:p>
            <w:pPr>
              <w:spacing w:after="0"/>
            </w:pPr>
            <w:r>
              <w:rPr>
                <w:rFonts w:ascii="Arial" w:hAnsi="Arial" w:eastAsia="Arial"/>
                <w:sz w:val="16"/>
              </w:rPr>
            </w:r>
            <w:r>
              <w:rPr>
                <w:rFonts w:ascii="Arial" w:hAnsi="Arial" w:eastAsia="Arial"/>
                <w:sz w:val="16"/>
              </w:rPr>
              <w:t>Thời gian thực hiện phase COMMIT hoặc ABORT</w:t>
            </w:r>
          </w:p>
        </w:tc>
      </w:tr>
      <w:tr>
        <w:tc>
          <w:tcPr>
            <w:tcW w:type="dxa" w:w="7569"/>
            <w:vAlign w:val="top"/>
            <w:shd w:fill="F7FAFC"/>
          </w:tcPr>
          <w:p>
            <w:pPr>
              <w:spacing w:after="0"/>
            </w:pPr>
            <w:r>
              <w:rPr>
                <w:rFonts w:ascii="Arial" w:hAnsi="Arial" w:eastAsia="Arial"/>
                <w:sz w:val="16"/>
              </w:rPr>
            </w:r>
            <w:r>
              <w:rPr>
                <w:rFonts w:ascii="Arial" w:hAnsi="Arial" w:eastAsia="Arial"/>
                <w:sz w:val="16"/>
              </w:rPr>
              <w:t>doing_work_ms</w:t>
            </w:r>
          </w:p>
        </w:tc>
        <w:tc>
          <w:tcPr>
            <w:tcW w:type="dxa" w:w="7569"/>
            <w:vAlign w:val="top"/>
            <w:shd w:fill="F7FAFC"/>
          </w:tcPr>
          <w:p>
            <w:pPr>
              <w:spacing w:after="0"/>
            </w:pPr>
            <w:r>
              <w:rPr>
                <w:rFonts w:ascii="Arial" w:hAnsi="Arial" w:eastAsia="Arial"/>
                <w:sz w:val="16"/>
              </w:rPr>
            </w:r>
            <w:r>
              <w:rPr>
                <w:rFonts w:ascii="Arial" w:hAnsi="Arial" w:eastAsia="Arial"/>
                <w:sz w:val="16"/>
              </w:rPr>
              <w:t>Thời gian xử lý thực tại các node</w:t>
            </w:r>
          </w:p>
        </w:tc>
      </w:tr>
      <w:tr>
        <w:tc>
          <w:tcPr>
            <w:tcW w:type="dxa" w:w="7569"/>
            <w:vAlign w:val="top"/>
          </w:tcPr>
          <w:p>
            <w:pPr>
              <w:spacing w:after="0"/>
            </w:pPr>
            <w:r>
              <w:rPr>
                <w:rFonts w:ascii="Arial" w:hAnsi="Arial" w:eastAsia="Arial"/>
                <w:sz w:val="16"/>
              </w:rPr>
            </w:r>
            <w:r>
              <w:rPr>
                <w:rFonts w:ascii="Arial" w:hAnsi="Arial" w:eastAsia="Arial"/>
                <w:sz w:val="16"/>
              </w:rPr>
              <w:t>network_wait_ms</w:t>
            </w:r>
          </w:p>
        </w:tc>
        <w:tc>
          <w:tcPr>
            <w:tcW w:type="dxa" w:w="7569"/>
            <w:vAlign w:val="top"/>
          </w:tcPr>
          <w:p>
            <w:pPr>
              <w:spacing w:after="0"/>
            </w:pPr>
            <w:r>
              <w:rPr>
                <w:rFonts w:ascii="Arial" w:hAnsi="Arial" w:eastAsia="Arial"/>
                <w:sz w:val="16"/>
              </w:rPr>
            </w:r>
            <w:r>
              <w:rPr>
                <w:rFonts w:ascii="Arial" w:hAnsi="Arial" w:eastAsia="Arial"/>
                <w:sz w:val="16"/>
              </w:rPr>
              <w:t>Thời gian chờ mạng</w:t>
            </w:r>
          </w:p>
        </w:tc>
      </w:tr>
      <w:tr>
        <w:tc>
          <w:tcPr>
            <w:tcW w:type="dxa" w:w="7569"/>
            <w:vAlign w:val="top"/>
            <w:shd w:fill="F7FAFC"/>
          </w:tcPr>
          <w:p>
            <w:pPr>
              <w:spacing w:after="0"/>
            </w:pPr>
            <w:r>
              <w:rPr>
                <w:rFonts w:ascii="Arial" w:hAnsi="Arial" w:eastAsia="Arial"/>
                <w:sz w:val="16"/>
              </w:rPr>
            </w:r>
            <w:r>
              <w:rPr>
                <w:rFonts w:ascii="Arial" w:hAnsi="Arial" w:eastAsia="Arial"/>
                <w:sz w:val="16"/>
              </w:rPr>
              <w:t>coordination_cost_percent</w:t>
            </w:r>
          </w:p>
        </w:tc>
        <w:tc>
          <w:tcPr>
            <w:tcW w:type="dxa" w:w="7569"/>
            <w:vAlign w:val="top"/>
            <w:shd w:fill="F7FAFC"/>
          </w:tcPr>
          <w:p>
            <w:pPr>
              <w:spacing w:after="0"/>
            </w:pPr>
            <w:r>
              <w:rPr>
                <w:rFonts w:ascii="Arial" w:hAnsi="Arial" w:eastAsia="Arial"/>
                <w:sz w:val="16"/>
              </w:rPr>
            </w:r>
            <w:r>
              <w:rPr>
                <w:rFonts w:ascii="Arial" w:hAnsi="Arial" w:eastAsia="Arial"/>
                <w:sz w:val="16"/>
              </w:rPr>
              <w:t>Tỷ lệ chi phí điều phối</w:t>
            </w:r>
          </w:p>
        </w:tc>
      </w:tr>
      <w:tr>
        <w:tc>
          <w:tcPr>
            <w:tcW w:type="dxa" w:w="7569"/>
            <w:vAlign w:val="top"/>
          </w:tcPr>
          <w:p>
            <w:pPr>
              <w:spacing w:after="0"/>
            </w:pPr>
            <w:r>
              <w:rPr>
                <w:rFonts w:ascii="Arial" w:hAnsi="Arial" w:eastAsia="Arial"/>
                <w:sz w:val="16"/>
              </w:rPr>
            </w:r>
            <w:r>
              <w:rPr>
                <w:rFonts w:ascii="Arial" w:hAnsi="Arial" w:eastAsia="Arial"/>
                <w:sz w:val="16"/>
              </w:rPr>
              <w:t>mean_total_time_ms</w:t>
            </w:r>
          </w:p>
        </w:tc>
        <w:tc>
          <w:tcPr>
            <w:tcW w:type="dxa" w:w="7569"/>
            <w:vAlign w:val="top"/>
          </w:tcPr>
          <w:p>
            <w:pPr>
              <w:spacing w:after="0"/>
            </w:pPr>
            <w:r>
              <w:rPr>
                <w:rFonts w:ascii="Arial" w:hAnsi="Arial" w:eastAsia="Arial"/>
                <w:sz w:val="16"/>
              </w:rPr>
            </w:r>
            <w:r>
              <w:rPr>
                <w:rFonts w:ascii="Arial" w:hAnsi="Arial" w:eastAsia="Arial"/>
                <w:sz w:val="16"/>
              </w:rPr>
              <w:t>Thời gian trung bình</w:t>
            </w:r>
          </w:p>
        </w:tc>
      </w:tr>
      <w:tr>
        <w:tc>
          <w:tcPr>
            <w:tcW w:type="dxa" w:w="7569"/>
            <w:vAlign w:val="top"/>
            <w:shd w:fill="F7FAFC"/>
          </w:tcPr>
          <w:p>
            <w:pPr>
              <w:spacing w:after="0"/>
            </w:pPr>
            <w:r>
              <w:rPr>
                <w:rFonts w:ascii="Arial" w:hAnsi="Arial" w:eastAsia="Arial"/>
                <w:sz w:val="16"/>
              </w:rPr>
            </w:r>
            <w:r>
              <w:rPr>
                <w:rFonts w:ascii="Arial" w:hAnsi="Arial" w:eastAsia="Arial"/>
                <w:sz w:val="16"/>
              </w:rPr>
              <w:t>median_total_time_ms</w:t>
            </w:r>
          </w:p>
        </w:tc>
        <w:tc>
          <w:tcPr>
            <w:tcW w:type="dxa" w:w="7569"/>
            <w:vAlign w:val="top"/>
            <w:shd w:fill="F7FAFC"/>
          </w:tcPr>
          <w:p>
            <w:pPr>
              <w:spacing w:after="0"/>
            </w:pPr>
            <w:r>
              <w:rPr>
                <w:rFonts w:ascii="Arial" w:hAnsi="Arial" w:eastAsia="Arial"/>
                <w:sz w:val="16"/>
              </w:rPr>
            </w:r>
            <w:r>
              <w:rPr>
                <w:rFonts w:ascii="Arial" w:hAnsi="Arial" w:eastAsia="Arial"/>
                <w:sz w:val="16"/>
              </w:rPr>
              <w:t>Thời gian trung vị</w:t>
            </w:r>
          </w:p>
        </w:tc>
      </w:tr>
      <w:tr>
        <w:tc>
          <w:tcPr>
            <w:tcW w:type="dxa" w:w="7569"/>
            <w:vAlign w:val="top"/>
          </w:tcPr>
          <w:p>
            <w:pPr>
              <w:spacing w:after="0"/>
            </w:pPr>
            <w:r>
              <w:rPr>
                <w:rFonts w:ascii="Arial" w:hAnsi="Arial" w:eastAsia="Arial"/>
                <w:sz w:val="16"/>
              </w:rPr>
            </w:r>
            <w:r>
              <w:rPr>
                <w:rFonts w:ascii="Arial" w:hAnsi="Arial" w:eastAsia="Arial"/>
                <w:sz w:val="16"/>
              </w:rPr>
              <w:t>p99_total_time_ms</w:t>
            </w:r>
          </w:p>
        </w:tc>
        <w:tc>
          <w:tcPr>
            <w:tcW w:type="dxa" w:w="7569"/>
            <w:vAlign w:val="top"/>
          </w:tcPr>
          <w:p>
            <w:pPr>
              <w:spacing w:after="0"/>
            </w:pPr>
            <w:r>
              <w:rPr>
                <w:rFonts w:ascii="Arial" w:hAnsi="Arial" w:eastAsia="Arial"/>
                <w:sz w:val="16"/>
              </w:rPr>
            </w:r>
            <w:r>
              <w:rPr>
                <w:rFonts w:ascii="Arial" w:hAnsi="Arial" w:eastAsia="Arial"/>
                <w:sz w:val="16"/>
              </w:rPr>
              <w:t>Tail latency tại percentile 99</w:t>
            </w:r>
          </w:p>
        </w:tc>
      </w:tr>
      <w:tr>
        <w:tc>
          <w:tcPr>
            <w:tcW w:type="dxa" w:w="7569"/>
            <w:vAlign w:val="top"/>
            <w:shd w:fill="F7FAFC"/>
          </w:tcPr>
          <w:p>
            <w:pPr>
              <w:spacing w:after="0"/>
            </w:pPr>
            <w:r>
              <w:rPr>
                <w:rFonts w:ascii="Arial" w:hAnsi="Arial" w:eastAsia="Arial"/>
                <w:sz w:val="16"/>
              </w:rPr>
            </w:r>
            <w:r>
              <w:rPr>
                <w:rFonts w:ascii="Arial" w:hAnsi="Arial" w:eastAsia="Arial"/>
                <w:sz w:val="16"/>
              </w:rPr>
              <w:t>abort_rate_percent</w:t>
            </w:r>
          </w:p>
        </w:tc>
        <w:tc>
          <w:tcPr>
            <w:tcW w:type="dxa" w:w="7569"/>
            <w:vAlign w:val="top"/>
            <w:shd w:fill="F7FAFC"/>
          </w:tcPr>
          <w:p>
            <w:pPr>
              <w:spacing w:after="0"/>
            </w:pPr>
            <w:r>
              <w:rPr>
                <w:rFonts w:ascii="Arial" w:hAnsi="Arial" w:eastAsia="Arial"/>
                <w:sz w:val="16"/>
              </w:rPr>
            </w:r>
            <w:r>
              <w:rPr>
                <w:rFonts w:ascii="Arial" w:hAnsi="Arial" w:eastAsia="Arial"/>
                <w:sz w:val="16"/>
              </w:rPr>
              <w:t>Tỷ lệ transaction thất bại</w:t>
            </w:r>
          </w:p>
        </w:tc>
      </w:tr>
    </w:tbl>
    <w:p/>
    <w:p>
      <w:pPr>
        <w:spacing w:after="120" w:line="259" w:lineRule="auto"/>
      </w:pPr>
      <w:r>
        <w:rPr>
          <w:rFonts w:ascii="Arial" w:hAnsi="Arial" w:eastAsia="Arial"/>
          <w:sz w:val="22"/>
        </w:rPr>
        <w:t>Công thức tính Network Waiting Time:</w:t>
      </w:r>
    </w:p>
    <w:p>
      <w:pPr>
        <w:spacing w:before="80" w:after="160"/>
        <w:ind w:left="227" w:right="113"/>
        <w:shd w:fill="F4F6F8"/>
      </w:pPr>
      <w:r>
        <w:rPr>
          <w:rFonts w:ascii="Consolas" w:hAnsi="Consolas" w:eastAsia="Consolas"/>
          <w:sz w:val="18"/>
        </w:rPr>
        <w:t>Network Waiting Time = Total Transaction Time - Doing Work Time</w:t>
      </w:r>
    </w:p>
    <w:p>
      <w:pPr>
        <w:spacing w:after="120" w:line="259" w:lineRule="auto"/>
      </w:pPr>
      <w:r>
        <w:rPr>
          <w:rFonts w:ascii="Arial" w:hAnsi="Arial" w:eastAsia="Arial"/>
          <w:sz w:val="22"/>
        </w:rPr>
        <w:t>Công thức tính Cost of Coordination:</w:t>
      </w:r>
    </w:p>
    <w:p>
      <w:pPr>
        <w:spacing w:before="80" w:after="160"/>
        <w:ind w:left="227" w:right="113"/>
        <w:shd w:fill="F4F6F8"/>
      </w:pPr>
      <w:r>
        <w:rPr>
          <w:rFonts w:ascii="Consolas" w:hAnsi="Consolas" w:eastAsia="Consolas"/>
          <w:sz w:val="18"/>
        </w:rPr>
        <w:t>Cost of Coordination (%) = Network Waiting Time / Total Transaction Time x 100</w:t>
      </w:r>
    </w:p>
    <w:p>
      <w:pPr>
        <w:spacing w:after="120" w:line="259" w:lineRule="auto"/>
      </w:pPr>
      <w:r>
        <w:rPr>
          <w:rFonts w:ascii="Arial" w:hAnsi="Arial" w:eastAsia="Arial"/>
          <w:b/>
          <w:color w:val="1F4E79"/>
          <w:sz w:val="28"/>
        </w:rPr>
        <w:t>4. Kết Quả Benchmark</w:t>
      </w:r>
    </w:p>
    <w:p>
      <w:pPr>
        <w:spacing w:after="120" w:line="259" w:lineRule="auto"/>
      </w:pPr>
      <w:r>
        <w:rPr>
          <w:rFonts w:ascii="Arial" w:hAnsi="Arial" w:eastAsia="Arial"/>
          <w:sz w:val="22"/>
        </w:rPr>
        <w:t xml:space="preserve">Kết quả benchmark tổng hợp từ </w:t>
      </w:r>
      <w:r>
        <w:rPr>
          <w:rFonts w:ascii="Arial" w:hAnsi="Arial" w:eastAsia="Arial"/>
          <w:sz w:val="22"/>
        </w:rPr>
        <w:t>benchmark/results_summary.csv</w:t>
      </w:r>
      <w:r>
        <w:rPr>
          <w:rFonts w:ascii="Arial" w:hAnsi="Arial" w:eastAsia="Arial"/>
          <w:sz w:val="22"/>
        </w:rPr>
        <w:t>:</w:t>
      </w:r>
    </w:p>
    <w:tbl>
      <w:tblPr>
        <w:tblStyle w:val="TableGrid"/>
        <w:tblW w:type="auto" w:w="0"/>
        <w:jc w:val="center"/>
        <w:tblLayout w:type="autofit"/>
        <w:tblLook w:firstColumn="1" w:firstRow="1" w:lastColumn="0" w:lastRow="0" w:noHBand="0" w:noVBand="1" w:val="04A0"/>
      </w:tblPr>
      <w:tblGrid>
        <w:gridCol w:w="1514"/>
        <w:gridCol w:w="1514"/>
        <w:gridCol w:w="1514"/>
        <w:gridCol w:w="1514"/>
        <w:gridCol w:w="1514"/>
        <w:gridCol w:w="1514"/>
        <w:gridCol w:w="1514"/>
        <w:gridCol w:w="1514"/>
        <w:gridCol w:w="1514"/>
        <w:gridCol w:w="1514"/>
      </w:tblGrid>
      <w:tr>
        <w:tc>
          <w:tcPr>
            <w:tcW w:type="dxa" w:w="1514"/>
            <w:vAlign w:val="top"/>
            <w:shd w:fill="1F4E79"/>
          </w:tcPr>
          <w:p>
            <w:pPr>
              <w:spacing w:after="0"/>
            </w:pPr>
            <w:r>
              <w:rPr>
                <w:rFonts w:ascii="Arial" w:hAnsi="Arial" w:eastAsia="Arial"/>
                <w:b/>
                <w:color w:val="FFFFFF"/>
                <w:sz w:val="16"/>
              </w:rPr>
            </w:r>
            <w:r>
              <w:rPr>
                <w:rFonts w:ascii="Arial" w:hAnsi="Arial" w:eastAsia="Arial"/>
                <w:b/>
                <w:color w:val="FFFFFF"/>
                <w:sz w:val="16"/>
              </w:rPr>
              <w:t>Latency</w:t>
            </w:r>
          </w:p>
        </w:tc>
        <w:tc>
          <w:tcPr>
            <w:tcW w:type="dxa" w:w="1514"/>
            <w:vAlign w:val="top"/>
            <w:shd w:fill="1F4E79"/>
          </w:tcPr>
          <w:p>
            <w:pPr>
              <w:spacing w:after="0"/>
            </w:pPr>
            <w:r>
              <w:rPr>
                <w:rFonts w:ascii="Arial" w:hAnsi="Arial" w:eastAsia="Arial"/>
                <w:b/>
                <w:color w:val="FFFFFF"/>
                <w:sz w:val="16"/>
              </w:rPr>
            </w:r>
            <w:r>
              <w:rPr>
                <w:rFonts w:ascii="Arial" w:hAnsi="Arial" w:eastAsia="Arial"/>
                <w:b/>
                <w:color w:val="FFFFFF"/>
                <w:sz w:val="16"/>
              </w:rPr>
              <w:t>Transactions</w:t>
            </w:r>
          </w:p>
        </w:tc>
        <w:tc>
          <w:tcPr>
            <w:tcW w:type="dxa" w:w="1514"/>
            <w:vAlign w:val="top"/>
            <w:shd w:fill="1F4E79"/>
          </w:tcPr>
          <w:p>
            <w:pPr>
              <w:spacing w:after="0"/>
            </w:pPr>
            <w:r>
              <w:rPr>
                <w:rFonts w:ascii="Arial" w:hAnsi="Arial" w:eastAsia="Arial"/>
                <w:b/>
                <w:color w:val="FFFFFF"/>
                <w:sz w:val="16"/>
              </w:rPr>
            </w:r>
            <w:r>
              <w:rPr>
                <w:rFonts w:ascii="Arial" w:hAnsi="Arial" w:eastAsia="Arial"/>
                <w:b/>
                <w:color w:val="FFFFFF"/>
                <w:sz w:val="16"/>
              </w:rPr>
              <w:t>Success</w:t>
            </w:r>
          </w:p>
        </w:tc>
        <w:tc>
          <w:tcPr>
            <w:tcW w:type="dxa" w:w="1514"/>
            <w:vAlign w:val="top"/>
            <w:shd w:fill="1F4E79"/>
          </w:tcPr>
          <w:p>
            <w:pPr>
              <w:spacing w:after="0"/>
            </w:pPr>
            <w:r>
              <w:rPr>
                <w:rFonts w:ascii="Arial" w:hAnsi="Arial" w:eastAsia="Arial"/>
                <w:b/>
                <w:color w:val="FFFFFF"/>
                <w:sz w:val="16"/>
              </w:rPr>
            </w:r>
            <w:r>
              <w:rPr>
                <w:rFonts w:ascii="Arial" w:hAnsi="Arial" w:eastAsia="Arial"/>
                <w:b/>
                <w:color w:val="FFFFFF"/>
                <w:sz w:val="16"/>
              </w:rPr>
              <w:t>Abort Rate</w:t>
            </w:r>
          </w:p>
        </w:tc>
        <w:tc>
          <w:tcPr>
            <w:tcW w:type="dxa" w:w="1514"/>
            <w:vAlign w:val="top"/>
            <w:shd w:fill="1F4E79"/>
          </w:tcPr>
          <w:p>
            <w:pPr>
              <w:spacing w:after="0"/>
            </w:pPr>
            <w:r>
              <w:rPr>
                <w:rFonts w:ascii="Arial" w:hAnsi="Arial" w:eastAsia="Arial"/>
                <w:b/>
                <w:color w:val="FFFFFF"/>
                <w:sz w:val="16"/>
              </w:rPr>
            </w:r>
            <w:r>
              <w:rPr>
                <w:rFonts w:ascii="Arial" w:hAnsi="Arial" w:eastAsia="Arial"/>
                <w:b/>
                <w:color w:val="FFFFFF"/>
                <w:sz w:val="16"/>
              </w:rPr>
              <w:t>Mean Total Time</w:t>
            </w:r>
          </w:p>
        </w:tc>
        <w:tc>
          <w:tcPr>
            <w:tcW w:type="dxa" w:w="1514"/>
            <w:vAlign w:val="top"/>
            <w:shd w:fill="1F4E79"/>
          </w:tcPr>
          <w:p>
            <w:pPr>
              <w:spacing w:after="0"/>
            </w:pPr>
            <w:r>
              <w:rPr>
                <w:rFonts w:ascii="Arial" w:hAnsi="Arial" w:eastAsia="Arial"/>
                <w:b/>
                <w:color w:val="FFFFFF"/>
                <w:sz w:val="16"/>
              </w:rPr>
            </w:r>
            <w:r>
              <w:rPr>
                <w:rFonts w:ascii="Arial" w:hAnsi="Arial" w:eastAsia="Arial"/>
                <w:b/>
                <w:color w:val="FFFFFF"/>
                <w:sz w:val="16"/>
              </w:rPr>
              <w:t>Median Total Time</w:t>
            </w:r>
          </w:p>
        </w:tc>
        <w:tc>
          <w:tcPr>
            <w:tcW w:type="dxa" w:w="1514"/>
            <w:vAlign w:val="top"/>
            <w:shd w:fill="1F4E79"/>
          </w:tcPr>
          <w:p>
            <w:pPr>
              <w:spacing w:after="0"/>
            </w:pPr>
            <w:r>
              <w:rPr>
                <w:rFonts w:ascii="Arial" w:hAnsi="Arial" w:eastAsia="Arial"/>
                <w:b/>
                <w:color w:val="FFFFFF"/>
                <w:sz w:val="16"/>
              </w:rPr>
            </w:r>
            <w:r>
              <w:rPr>
                <w:rFonts w:ascii="Arial" w:hAnsi="Arial" w:eastAsia="Arial"/>
                <w:b/>
                <w:color w:val="FFFFFF"/>
                <w:sz w:val="16"/>
              </w:rPr>
              <w:t>P99 Total Time</w:t>
            </w:r>
          </w:p>
        </w:tc>
        <w:tc>
          <w:tcPr>
            <w:tcW w:type="dxa" w:w="1514"/>
            <w:vAlign w:val="top"/>
            <w:shd w:fill="1F4E79"/>
          </w:tcPr>
          <w:p>
            <w:pPr>
              <w:spacing w:after="0"/>
            </w:pPr>
            <w:r>
              <w:rPr>
                <w:rFonts w:ascii="Arial" w:hAnsi="Arial" w:eastAsia="Arial"/>
                <w:b/>
                <w:color w:val="FFFFFF"/>
                <w:sz w:val="16"/>
              </w:rPr>
            </w:r>
            <w:r>
              <w:rPr>
                <w:rFonts w:ascii="Arial" w:hAnsi="Arial" w:eastAsia="Arial"/>
                <w:b/>
                <w:color w:val="FFFFFF"/>
                <w:sz w:val="16"/>
              </w:rPr>
              <w:t>Mean Doing Work</w:t>
            </w:r>
          </w:p>
        </w:tc>
        <w:tc>
          <w:tcPr>
            <w:tcW w:type="dxa" w:w="1514"/>
            <w:vAlign w:val="top"/>
            <w:shd w:fill="1F4E79"/>
          </w:tcPr>
          <w:p>
            <w:pPr>
              <w:spacing w:after="0"/>
            </w:pPr>
            <w:r>
              <w:rPr>
                <w:rFonts w:ascii="Arial" w:hAnsi="Arial" w:eastAsia="Arial"/>
                <w:b/>
                <w:color w:val="FFFFFF"/>
                <w:sz w:val="16"/>
              </w:rPr>
            </w:r>
            <w:r>
              <w:rPr>
                <w:rFonts w:ascii="Arial" w:hAnsi="Arial" w:eastAsia="Arial"/>
                <w:b/>
                <w:color w:val="FFFFFF"/>
                <w:sz w:val="16"/>
              </w:rPr>
              <w:t>Mean Network Waiting</w:t>
            </w:r>
          </w:p>
        </w:tc>
        <w:tc>
          <w:tcPr>
            <w:tcW w:type="dxa" w:w="1514"/>
            <w:vAlign w:val="top"/>
            <w:shd w:fill="1F4E79"/>
          </w:tcPr>
          <w:p>
            <w:pPr>
              <w:spacing w:after="0"/>
            </w:pPr>
            <w:r>
              <w:rPr>
                <w:rFonts w:ascii="Arial" w:hAnsi="Arial" w:eastAsia="Arial"/>
                <w:b/>
                <w:color w:val="FFFFFF"/>
                <w:sz w:val="16"/>
              </w:rPr>
            </w:r>
            <w:r>
              <w:rPr>
                <w:rFonts w:ascii="Arial" w:hAnsi="Arial" w:eastAsia="Arial"/>
                <w:b/>
                <w:color w:val="FFFFFF"/>
                <w:sz w:val="16"/>
              </w:rPr>
              <w:t>Cost of Coordination</w:t>
            </w:r>
          </w:p>
        </w:tc>
      </w:tr>
      <w:tr>
        <w:tc>
          <w:tcPr>
            <w:tcW w:type="dxa" w:w="1514"/>
            <w:vAlign w:val="top"/>
          </w:tcPr>
          <w:p>
            <w:pPr>
              <w:spacing w:after="0"/>
            </w:pPr>
            <w:r>
              <w:rPr>
                <w:rFonts w:ascii="Arial" w:hAnsi="Arial" w:eastAsia="Arial"/>
                <w:sz w:val="16"/>
              </w:rPr>
            </w:r>
            <w:r>
              <w:rPr>
                <w:rFonts w:ascii="Arial" w:hAnsi="Arial" w:eastAsia="Arial"/>
                <w:sz w:val="16"/>
              </w:rPr>
              <w:t>1ms</w:t>
            </w:r>
          </w:p>
        </w:tc>
        <w:tc>
          <w:tcPr>
            <w:tcW w:type="dxa" w:w="1514"/>
            <w:vAlign w:val="top"/>
          </w:tcPr>
          <w:p>
            <w:pPr>
              <w:spacing w:after="0"/>
            </w:pPr>
            <w:r>
              <w:rPr>
                <w:rFonts w:ascii="Arial" w:hAnsi="Arial" w:eastAsia="Arial"/>
                <w:sz w:val="16"/>
              </w:rPr>
            </w:r>
            <w:r>
              <w:rPr>
                <w:rFonts w:ascii="Arial" w:hAnsi="Arial" w:eastAsia="Arial"/>
                <w:sz w:val="16"/>
              </w:rPr>
              <w:t>500</w:t>
            </w:r>
          </w:p>
        </w:tc>
        <w:tc>
          <w:tcPr>
            <w:tcW w:type="dxa" w:w="1514"/>
            <w:vAlign w:val="top"/>
          </w:tcPr>
          <w:p>
            <w:pPr>
              <w:spacing w:after="0"/>
            </w:pPr>
            <w:r>
              <w:rPr>
                <w:rFonts w:ascii="Arial" w:hAnsi="Arial" w:eastAsia="Arial"/>
                <w:sz w:val="16"/>
              </w:rPr>
            </w:r>
            <w:r>
              <w:rPr>
                <w:rFonts w:ascii="Arial" w:hAnsi="Arial" w:eastAsia="Arial"/>
                <w:sz w:val="16"/>
              </w:rPr>
              <w:t>500</w:t>
            </w:r>
          </w:p>
        </w:tc>
        <w:tc>
          <w:tcPr>
            <w:tcW w:type="dxa" w:w="1514"/>
            <w:vAlign w:val="top"/>
          </w:tcPr>
          <w:p>
            <w:pPr>
              <w:spacing w:after="0"/>
            </w:pPr>
            <w:r>
              <w:rPr>
                <w:rFonts w:ascii="Arial" w:hAnsi="Arial" w:eastAsia="Arial"/>
                <w:sz w:val="16"/>
              </w:rPr>
            </w:r>
            <w:r>
              <w:rPr>
                <w:rFonts w:ascii="Arial" w:hAnsi="Arial" w:eastAsia="Arial"/>
                <w:sz w:val="16"/>
              </w:rPr>
              <w:t>0.00%</w:t>
            </w:r>
          </w:p>
        </w:tc>
        <w:tc>
          <w:tcPr>
            <w:tcW w:type="dxa" w:w="1514"/>
            <w:vAlign w:val="top"/>
          </w:tcPr>
          <w:p>
            <w:pPr>
              <w:spacing w:after="0"/>
            </w:pPr>
            <w:r>
              <w:rPr>
                <w:rFonts w:ascii="Arial" w:hAnsi="Arial" w:eastAsia="Arial"/>
                <w:sz w:val="16"/>
              </w:rPr>
            </w:r>
            <w:r>
              <w:rPr>
                <w:rFonts w:ascii="Arial" w:hAnsi="Arial" w:eastAsia="Arial"/>
                <w:sz w:val="16"/>
              </w:rPr>
              <w:t>57.97 ms</w:t>
            </w:r>
          </w:p>
        </w:tc>
        <w:tc>
          <w:tcPr>
            <w:tcW w:type="dxa" w:w="1514"/>
            <w:vAlign w:val="top"/>
          </w:tcPr>
          <w:p>
            <w:pPr>
              <w:spacing w:after="0"/>
            </w:pPr>
            <w:r>
              <w:rPr>
                <w:rFonts w:ascii="Arial" w:hAnsi="Arial" w:eastAsia="Arial"/>
                <w:sz w:val="16"/>
              </w:rPr>
            </w:r>
            <w:r>
              <w:rPr>
                <w:rFonts w:ascii="Arial" w:hAnsi="Arial" w:eastAsia="Arial"/>
                <w:sz w:val="16"/>
              </w:rPr>
              <w:t>56.94 ms</w:t>
            </w:r>
          </w:p>
        </w:tc>
        <w:tc>
          <w:tcPr>
            <w:tcW w:type="dxa" w:w="1514"/>
            <w:vAlign w:val="top"/>
          </w:tcPr>
          <w:p>
            <w:pPr>
              <w:spacing w:after="0"/>
            </w:pPr>
            <w:r>
              <w:rPr>
                <w:rFonts w:ascii="Arial" w:hAnsi="Arial" w:eastAsia="Arial"/>
                <w:sz w:val="16"/>
              </w:rPr>
            </w:r>
            <w:r>
              <w:rPr>
                <w:rFonts w:ascii="Arial" w:hAnsi="Arial" w:eastAsia="Arial"/>
                <w:sz w:val="16"/>
              </w:rPr>
              <w:t>99.21 ms</w:t>
            </w:r>
          </w:p>
        </w:tc>
        <w:tc>
          <w:tcPr>
            <w:tcW w:type="dxa" w:w="1514"/>
            <w:vAlign w:val="top"/>
          </w:tcPr>
          <w:p>
            <w:pPr>
              <w:spacing w:after="0"/>
            </w:pPr>
            <w:r>
              <w:rPr>
                <w:rFonts w:ascii="Arial" w:hAnsi="Arial" w:eastAsia="Arial"/>
                <w:sz w:val="16"/>
              </w:rPr>
            </w:r>
            <w:r>
              <w:rPr>
                <w:rFonts w:ascii="Arial" w:hAnsi="Arial" w:eastAsia="Arial"/>
                <w:sz w:val="16"/>
              </w:rPr>
              <w:t>23.25 ms</w:t>
            </w:r>
          </w:p>
        </w:tc>
        <w:tc>
          <w:tcPr>
            <w:tcW w:type="dxa" w:w="1514"/>
            <w:vAlign w:val="top"/>
          </w:tcPr>
          <w:p>
            <w:pPr>
              <w:spacing w:after="0"/>
            </w:pPr>
            <w:r>
              <w:rPr>
                <w:rFonts w:ascii="Arial" w:hAnsi="Arial" w:eastAsia="Arial"/>
                <w:sz w:val="16"/>
              </w:rPr>
            </w:r>
            <w:r>
              <w:rPr>
                <w:rFonts w:ascii="Arial" w:hAnsi="Arial" w:eastAsia="Arial"/>
                <w:sz w:val="16"/>
              </w:rPr>
              <w:t>34.72 ms</w:t>
            </w:r>
          </w:p>
        </w:tc>
        <w:tc>
          <w:tcPr>
            <w:tcW w:type="dxa" w:w="1514"/>
            <w:vAlign w:val="top"/>
          </w:tcPr>
          <w:p>
            <w:pPr>
              <w:spacing w:after="0"/>
            </w:pPr>
            <w:r>
              <w:rPr>
                <w:rFonts w:ascii="Arial" w:hAnsi="Arial" w:eastAsia="Arial"/>
                <w:sz w:val="16"/>
              </w:rPr>
            </w:r>
            <w:r>
              <w:rPr>
                <w:rFonts w:ascii="Arial" w:hAnsi="Arial" w:eastAsia="Arial"/>
                <w:sz w:val="16"/>
              </w:rPr>
              <w:t>58.70%</w:t>
            </w:r>
          </w:p>
        </w:tc>
      </w:tr>
      <w:tr>
        <w:tc>
          <w:tcPr>
            <w:tcW w:type="dxa" w:w="1514"/>
            <w:vAlign w:val="top"/>
            <w:shd w:fill="F7FAFC"/>
          </w:tcPr>
          <w:p>
            <w:pPr>
              <w:spacing w:after="0"/>
            </w:pPr>
            <w:r>
              <w:rPr>
                <w:rFonts w:ascii="Arial" w:hAnsi="Arial" w:eastAsia="Arial"/>
                <w:sz w:val="16"/>
              </w:rPr>
            </w:r>
            <w:r>
              <w:rPr>
                <w:rFonts w:ascii="Arial" w:hAnsi="Arial" w:eastAsia="Arial"/>
                <w:sz w:val="16"/>
              </w:rPr>
              <w:t>50ms</w:t>
            </w:r>
          </w:p>
        </w:tc>
        <w:tc>
          <w:tcPr>
            <w:tcW w:type="dxa" w:w="1514"/>
            <w:vAlign w:val="top"/>
            <w:shd w:fill="F7FAFC"/>
          </w:tcPr>
          <w:p>
            <w:pPr>
              <w:spacing w:after="0"/>
            </w:pPr>
            <w:r>
              <w:rPr>
                <w:rFonts w:ascii="Arial" w:hAnsi="Arial" w:eastAsia="Arial"/>
                <w:sz w:val="16"/>
              </w:rPr>
            </w:r>
            <w:r>
              <w:rPr>
                <w:rFonts w:ascii="Arial" w:hAnsi="Arial" w:eastAsia="Arial"/>
                <w:sz w:val="16"/>
              </w:rPr>
              <w:t>500</w:t>
            </w:r>
          </w:p>
        </w:tc>
        <w:tc>
          <w:tcPr>
            <w:tcW w:type="dxa" w:w="1514"/>
            <w:vAlign w:val="top"/>
            <w:shd w:fill="F7FAFC"/>
          </w:tcPr>
          <w:p>
            <w:pPr>
              <w:spacing w:after="0"/>
            </w:pPr>
            <w:r>
              <w:rPr>
                <w:rFonts w:ascii="Arial" w:hAnsi="Arial" w:eastAsia="Arial"/>
                <w:sz w:val="16"/>
              </w:rPr>
            </w:r>
            <w:r>
              <w:rPr>
                <w:rFonts w:ascii="Arial" w:hAnsi="Arial" w:eastAsia="Arial"/>
                <w:sz w:val="16"/>
              </w:rPr>
              <w:t>500</w:t>
            </w:r>
          </w:p>
        </w:tc>
        <w:tc>
          <w:tcPr>
            <w:tcW w:type="dxa" w:w="1514"/>
            <w:vAlign w:val="top"/>
            <w:shd w:fill="F7FAFC"/>
          </w:tcPr>
          <w:p>
            <w:pPr>
              <w:spacing w:after="0"/>
            </w:pPr>
            <w:r>
              <w:rPr>
                <w:rFonts w:ascii="Arial" w:hAnsi="Arial" w:eastAsia="Arial"/>
                <w:sz w:val="16"/>
              </w:rPr>
            </w:r>
            <w:r>
              <w:rPr>
                <w:rFonts w:ascii="Arial" w:hAnsi="Arial" w:eastAsia="Arial"/>
                <w:sz w:val="16"/>
              </w:rPr>
              <w:t>0.00%</w:t>
            </w:r>
          </w:p>
        </w:tc>
        <w:tc>
          <w:tcPr>
            <w:tcW w:type="dxa" w:w="1514"/>
            <w:vAlign w:val="top"/>
            <w:shd w:fill="F7FAFC"/>
          </w:tcPr>
          <w:p>
            <w:pPr>
              <w:spacing w:after="0"/>
            </w:pPr>
            <w:r>
              <w:rPr>
                <w:rFonts w:ascii="Arial" w:hAnsi="Arial" w:eastAsia="Arial"/>
                <w:sz w:val="16"/>
              </w:rPr>
            </w:r>
            <w:r>
              <w:rPr>
                <w:rFonts w:ascii="Arial" w:hAnsi="Arial" w:eastAsia="Arial"/>
                <w:sz w:val="16"/>
              </w:rPr>
              <w:t>253.30 ms</w:t>
            </w:r>
          </w:p>
        </w:tc>
        <w:tc>
          <w:tcPr>
            <w:tcW w:type="dxa" w:w="1514"/>
            <w:vAlign w:val="top"/>
            <w:shd w:fill="F7FAFC"/>
          </w:tcPr>
          <w:p>
            <w:pPr>
              <w:spacing w:after="0"/>
            </w:pPr>
            <w:r>
              <w:rPr>
                <w:rFonts w:ascii="Arial" w:hAnsi="Arial" w:eastAsia="Arial"/>
                <w:sz w:val="16"/>
              </w:rPr>
            </w:r>
            <w:r>
              <w:rPr>
                <w:rFonts w:ascii="Arial" w:hAnsi="Arial" w:eastAsia="Arial"/>
                <w:sz w:val="16"/>
              </w:rPr>
              <w:t>250.62 ms</w:t>
            </w:r>
          </w:p>
        </w:tc>
        <w:tc>
          <w:tcPr>
            <w:tcW w:type="dxa" w:w="1514"/>
            <w:vAlign w:val="top"/>
            <w:shd w:fill="F7FAFC"/>
          </w:tcPr>
          <w:p>
            <w:pPr>
              <w:spacing w:after="0"/>
            </w:pPr>
            <w:r>
              <w:rPr>
                <w:rFonts w:ascii="Arial" w:hAnsi="Arial" w:eastAsia="Arial"/>
                <w:sz w:val="16"/>
              </w:rPr>
            </w:r>
            <w:r>
              <w:rPr>
                <w:rFonts w:ascii="Arial" w:hAnsi="Arial" w:eastAsia="Arial"/>
                <w:sz w:val="16"/>
              </w:rPr>
              <w:t>288.27 ms</w:t>
            </w:r>
          </w:p>
        </w:tc>
        <w:tc>
          <w:tcPr>
            <w:tcW w:type="dxa" w:w="1514"/>
            <w:vAlign w:val="top"/>
            <w:shd w:fill="F7FAFC"/>
          </w:tcPr>
          <w:p>
            <w:pPr>
              <w:spacing w:after="0"/>
            </w:pPr>
            <w:r>
              <w:rPr>
                <w:rFonts w:ascii="Arial" w:hAnsi="Arial" w:eastAsia="Arial"/>
                <w:sz w:val="16"/>
              </w:rPr>
            </w:r>
            <w:r>
              <w:rPr>
                <w:rFonts w:ascii="Arial" w:hAnsi="Arial" w:eastAsia="Arial"/>
                <w:sz w:val="16"/>
              </w:rPr>
              <w:t>24.38 ms</w:t>
            </w:r>
          </w:p>
        </w:tc>
        <w:tc>
          <w:tcPr>
            <w:tcW w:type="dxa" w:w="1514"/>
            <w:vAlign w:val="top"/>
            <w:shd w:fill="F7FAFC"/>
          </w:tcPr>
          <w:p>
            <w:pPr>
              <w:spacing w:after="0"/>
            </w:pPr>
            <w:r>
              <w:rPr>
                <w:rFonts w:ascii="Arial" w:hAnsi="Arial" w:eastAsia="Arial"/>
                <w:sz w:val="16"/>
              </w:rPr>
            </w:r>
            <w:r>
              <w:rPr>
                <w:rFonts w:ascii="Arial" w:hAnsi="Arial" w:eastAsia="Arial"/>
                <w:sz w:val="16"/>
              </w:rPr>
              <w:t>228.92 ms</w:t>
            </w:r>
          </w:p>
        </w:tc>
        <w:tc>
          <w:tcPr>
            <w:tcW w:type="dxa" w:w="1514"/>
            <w:vAlign w:val="top"/>
            <w:shd w:fill="F7FAFC"/>
          </w:tcPr>
          <w:p>
            <w:pPr>
              <w:spacing w:after="0"/>
            </w:pPr>
            <w:r>
              <w:rPr>
                <w:rFonts w:ascii="Arial" w:hAnsi="Arial" w:eastAsia="Arial"/>
                <w:sz w:val="16"/>
              </w:rPr>
            </w:r>
            <w:r>
              <w:rPr>
                <w:rFonts w:ascii="Arial" w:hAnsi="Arial" w:eastAsia="Arial"/>
                <w:sz w:val="16"/>
              </w:rPr>
              <w:t>90.37%</w:t>
            </w:r>
          </w:p>
        </w:tc>
      </w:tr>
      <w:tr>
        <w:tc>
          <w:tcPr>
            <w:tcW w:type="dxa" w:w="1514"/>
            <w:vAlign w:val="top"/>
          </w:tcPr>
          <w:p>
            <w:pPr>
              <w:spacing w:after="0"/>
            </w:pPr>
            <w:r>
              <w:rPr>
                <w:rFonts w:ascii="Arial" w:hAnsi="Arial" w:eastAsia="Arial"/>
                <w:sz w:val="16"/>
              </w:rPr>
            </w:r>
            <w:r>
              <w:rPr>
                <w:rFonts w:ascii="Arial" w:hAnsi="Arial" w:eastAsia="Arial"/>
                <w:sz w:val="16"/>
              </w:rPr>
              <w:t>250ms</w:t>
            </w:r>
          </w:p>
        </w:tc>
        <w:tc>
          <w:tcPr>
            <w:tcW w:type="dxa" w:w="1514"/>
            <w:vAlign w:val="top"/>
          </w:tcPr>
          <w:p>
            <w:pPr>
              <w:spacing w:after="0"/>
            </w:pPr>
            <w:r>
              <w:rPr>
                <w:rFonts w:ascii="Arial" w:hAnsi="Arial" w:eastAsia="Arial"/>
                <w:sz w:val="16"/>
              </w:rPr>
            </w:r>
            <w:r>
              <w:rPr>
                <w:rFonts w:ascii="Arial" w:hAnsi="Arial" w:eastAsia="Arial"/>
                <w:sz w:val="16"/>
              </w:rPr>
              <w:t>500</w:t>
            </w:r>
          </w:p>
        </w:tc>
        <w:tc>
          <w:tcPr>
            <w:tcW w:type="dxa" w:w="1514"/>
            <w:vAlign w:val="top"/>
          </w:tcPr>
          <w:p>
            <w:pPr>
              <w:spacing w:after="0"/>
            </w:pPr>
            <w:r>
              <w:rPr>
                <w:rFonts w:ascii="Arial" w:hAnsi="Arial" w:eastAsia="Arial"/>
                <w:sz w:val="16"/>
              </w:rPr>
            </w:r>
            <w:r>
              <w:rPr>
                <w:rFonts w:ascii="Arial" w:hAnsi="Arial" w:eastAsia="Arial"/>
                <w:sz w:val="16"/>
              </w:rPr>
              <w:t>500</w:t>
            </w:r>
          </w:p>
        </w:tc>
        <w:tc>
          <w:tcPr>
            <w:tcW w:type="dxa" w:w="1514"/>
            <w:vAlign w:val="top"/>
          </w:tcPr>
          <w:p>
            <w:pPr>
              <w:spacing w:after="0"/>
            </w:pPr>
            <w:r>
              <w:rPr>
                <w:rFonts w:ascii="Arial" w:hAnsi="Arial" w:eastAsia="Arial"/>
                <w:sz w:val="16"/>
              </w:rPr>
            </w:r>
            <w:r>
              <w:rPr>
                <w:rFonts w:ascii="Arial" w:hAnsi="Arial" w:eastAsia="Arial"/>
                <w:sz w:val="16"/>
              </w:rPr>
              <w:t>0.00%</w:t>
            </w:r>
          </w:p>
        </w:tc>
        <w:tc>
          <w:tcPr>
            <w:tcW w:type="dxa" w:w="1514"/>
            <w:vAlign w:val="top"/>
          </w:tcPr>
          <w:p>
            <w:pPr>
              <w:spacing w:after="0"/>
            </w:pPr>
            <w:r>
              <w:rPr>
                <w:rFonts w:ascii="Arial" w:hAnsi="Arial" w:eastAsia="Arial"/>
                <w:sz w:val="16"/>
              </w:rPr>
            </w:r>
            <w:r>
              <w:rPr>
                <w:rFonts w:ascii="Arial" w:hAnsi="Arial" w:eastAsia="Arial"/>
                <w:sz w:val="16"/>
              </w:rPr>
              <w:t>1057.85 ms</w:t>
            </w:r>
          </w:p>
        </w:tc>
        <w:tc>
          <w:tcPr>
            <w:tcW w:type="dxa" w:w="1514"/>
            <w:vAlign w:val="top"/>
          </w:tcPr>
          <w:p>
            <w:pPr>
              <w:spacing w:after="0"/>
            </w:pPr>
            <w:r>
              <w:rPr>
                <w:rFonts w:ascii="Arial" w:hAnsi="Arial" w:eastAsia="Arial"/>
                <w:sz w:val="16"/>
              </w:rPr>
            </w:r>
            <w:r>
              <w:rPr>
                <w:rFonts w:ascii="Arial" w:hAnsi="Arial" w:eastAsia="Arial"/>
                <w:sz w:val="16"/>
              </w:rPr>
              <w:t>1053.50 ms</w:t>
            </w:r>
          </w:p>
        </w:tc>
        <w:tc>
          <w:tcPr>
            <w:tcW w:type="dxa" w:w="1514"/>
            <w:vAlign w:val="top"/>
          </w:tcPr>
          <w:p>
            <w:pPr>
              <w:spacing w:after="0"/>
            </w:pPr>
            <w:r>
              <w:rPr>
                <w:rFonts w:ascii="Arial" w:hAnsi="Arial" w:eastAsia="Arial"/>
                <w:sz w:val="16"/>
              </w:rPr>
            </w:r>
            <w:r>
              <w:rPr>
                <w:rFonts w:ascii="Arial" w:hAnsi="Arial" w:eastAsia="Arial"/>
                <w:sz w:val="16"/>
              </w:rPr>
              <w:t>1115.83 ms</w:t>
            </w:r>
          </w:p>
        </w:tc>
        <w:tc>
          <w:tcPr>
            <w:tcW w:type="dxa" w:w="1514"/>
            <w:vAlign w:val="top"/>
          </w:tcPr>
          <w:p>
            <w:pPr>
              <w:spacing w:after="0"/>
            </w:pPr>
            <w:r>
              <w:rPr>
                <w:rFonts w:ascii="Arial" w:hAnsi="Arial" w:eastAsia="Arial"/>
                <w:sz w:val="16"/>
              </w:rPr>
            </w:r>
            <w:r>
              <w:rPr>
                <w:rFonts w:ascii="Arial" w:hAnsi="Arial" w:eastAsia="Arial"/>
                <w:sz w:val="16"/>
              </w:rPr>
              <w:t>28.33 ms</w:t>
            </w:r>
          </w:p>
        </w:tc>
        <w:tc>
          <w:tcPr>
            <w:tcW w:type="dxa" w:w="1514"/>
            <w:vAlign w:val="top"/>
          </w:tcPr>
          <w:p>
            <w:pPr>
              <w:spacing w:after="0"/>
            </w:pPr>
            <w:r>
              <w:rPr>
                <w:rFonts w:ascii="Arial" w:hAnsi="Arial" w:eastAsia="Arial"/>
                <w:sz w:val="16"/>
              </w:rPr>
            </w:r>
            <w:r>
              <w:rPr>
                <w:rFonts w:ascii="Arial" w:hAnsi="Arial" w:eastAsia="Arial"/>
                <w:sz w:val="16"/>
              </w:rPr>
              <w:t>1029.52 ms</w:t>
            </w:r>
          </w:p>
        </w:tc>
        <w:tc>
          <w:tcPr>
            <w:tcW w:type="dxa" w:w="1514"/>
            <w:vAlign w:val="top"/>
          </w:tcPr>
          <w:p>
            <w:pPr>
              <w:spacing w:after="0"/>
            </w:pPr>
            <w:r>
              <w:rPr>
                <w:rFonts w:ascii="Arial" w:hAnsi="Arial" w:eastAsia="Arial"/>
                <w:sz w:val="16"/>
              </w:rPr>
            </w:r>
            <w:r>
              <w:rPr>
                <w:rFonts w:ascii="Arial" w:hAnsi="Arial" w:eastAsia="Arial"/>
                <w:sz w:val="16"/>
              </w:rPr>
              <w:t>97.33%</w:t>
            </w:r>
          </w:p>
        </w:tc>
      </w:tr>
    </w:tbl>
    <w:p/>
    <w:p>
      <w:pPr>
        <w:spacing w:after="120" w:line="259" w:lineRule="auto"/>
      </w:pPr>
      <w:r>
        <w:rPr>
          <w:rFonts w:ascii="Arial" w:hAnsi="Arial" w:eastAsia="Arial"/>
          <w:sz w:val="22"/>
        </w:rPr>
        <w:t>Kết quả cho thấy hệ thống xử lý thành công toàn bộ 1500 transaction trong điều kiện các node hoạt động bình thường. Abort Rate ở cả ba mức latency đều bằng 0%, cho thấy hệ thống ổn định trong quá trình benchmark.</w:t>
      </w:r>
    </w:p>
    <w:p>
      <w:pPr>
        <w:spacing w:after="120" w:line="259" w:lineRule="auto"/>
      </w:pPr>
      <w:r>
        <w:rPr>
          <w:rFonts w:ascii="Arial" w:hAnsi="Arial" w:eastAsia="Arial"/>
          <w:b/>
          <w:color w:val="1F4E79"/>
          <w:sz w:val="28"/>
        </w:rPr>
        <w:t>5. Phân Tích Total Transaction Time</w:t>
      </w:r>
    </w:p>
    <w:p>
      <w:pPr>
        <w:jc w:val="center"/>
      </w:pPr>
      <w:r>
        <w:drawing>
          <wp:inline xmlns:a="http://schemas.openxmlformats.org/drawingml/2006/main" xmlns:pic="http://schemas.openxmlformats.org/drawingml/2006/picture">
            <wp:extent cx="5940000" cy="3712500"/>
            <wp:docPr id="1" name="Picture 1"/>
            <wp:cNvGraphicFramePr>
              <a:graphicFrameLocks noChangeAspect="1"/>
            </wp:cNvGraphicFramePr>
            <a:graphic>
              <a:graphicData uri="http://schemas.openxmlformats.org/drawingml/2006/picture">
                <pic:pic>
                  <pic:nvPicPr>
                    <pic:cNvPr id="0" name="total_time_by_latency.png"/>
                    <pic:cNvPicPr/>
                  </pic:nvPicPr>
                  <pic:blipFill>
                    <a:blip r:embed="rId9"/>
                    <a:stretch>
                      <a:fillRect/>
                    </a:stretch>
                  </pic:blipFill>
                  <pic:spPr>
                    <a:xfrm>
                      <a:off x="0" y="0"/>
                      <a:ext cx="5940000" cy="3712500"/>
                    </a:xfrm>
                    <a:prstGeom prst="rect"/>
                  </pic:spPr>
                </pic:pic>
              </a:graphicData>
            </a:graphic>
          </wp:inline>
        </w:drawing>
      </w:r>
    </w:p>
    <w:p>
      <w:pPr>
        <w:spacing w:after="120" w:line="259" w:lineRule="auto"/>
        <w:jc w:val="center"/>
      </w:pPr>
      <w:r>
        <w:rPr>
          <w:rFonts w:ascii="Arial" w:hAnsi="Arial" w:eastAsia="Arial"/>
          <w:i/>
          <w:color w:val="52606D"/>
          <w:sz w:val="18"/>
        </w:rPr>
        <w:t>Total Transaction Time by Latency</w:t>
      </w:r>
    </w:p>
    <w:p>
      <w:pPr>
        <w:spacing w:after="120" w:line="259" w:lineRule="auto"/>
      </w:pPr>
      <w:r>
        <w:rPr>
          <w:rFonts w:ascii="Arial" w:hAnsi="Arial" w:eastAsia="Arial"/>
          <w:sz w:val="22"/>
        </w:rPr>
        <w:t>Mean Total Transaction Time tăng mạnh khi Network Latency tăng.</w:t>
      </w:r>
    </w:p>
    <w:p>
      <w:pPr>
        <w:spacing w:after="120" w:line="259" w:lineRule="auto"/>
      </w:pPr>
      <w:r>
        <w:rPr>
          <w:rFonts w:ascii="Arial" w:hAnsi="Arial" w:eastAsia="Arial"/>
          <w:sz w:val="22"/>
        </w:rPr>
        <w:t>Ở mức latency 1ms, thời gian xử lý trung bình là 57.97 ms. Khi latency tăng lên 50ms, thời gian xử lý trung bình tăng lên 253.30 ms. Ở mức latency 250ms, thời gian xử lý trung bình đạt 1057.85 ms.</w:t>
      </w:r>
    </w:p>
    <w:p>
      <w:pPr>
        <w:spacing w:after="120" w:line="259" w:lineRule="auto"/>
      </w:pPr>
      <w:r>
        <w:rPr>
          <w:rFonts w:ascii="Arial" w:hAnsi="Arial" w:eastAsia="Arial"/>
          <w:sz w:val="22"/>
        </w:rPr>
        <w:t>So với mức latency 1ms, thời gian xử lý trung bình ở mức 250ms tăng khoảng:</w:t>
      </w:r>
    </w:p>
    <w:p>
      <w:pPr>
        <w:spacing w:before="80" w:after="160"/>
        <w:ind w:left="227" w:right="113"/>
        <w:shd w:fill="F4F6F8"/>
      </w:pPr>
      <w:r>
        <w:rPr>
          <w:rFonts w:ascii="Consolas" w:hAnsi="Consolas" w:eastAsia="Consolas"/>
          <w:sz w:val="18"/>
        </w:rPr>
        <w:t>1057.85 / 57.97 ~= 18.25 lần</w:t>
      </w:r>
    </w:p>
    <w:p>
      <w:pPr>
        <w:spacing w:after="120" w:line="259" w:lineRule="auto"/>
      </w:pPr>
      <w:r>
        <w:rPr>
          <w:rFonts w:ascii="Arial" w:hAnsi="Arial" w:eastAsia="Arial"/>
          <w:sz w:val="22"/>
        </w:rPr>
        <w:t>Điều này chứng minh Network Latency có tác động trực tiếp đến hiệu năng của Distributed Transaction sử dụng Two-Phase Commit. Sự gia tăng này xuất hiện vì 2PC cần nhiều vòng giao tiếp giữa Coordinator và Participant Node. Khi latency tăng, thời gian truyền thông trong mỗi phase cũng tăng theo.</w:t>
      </w:r>
    </w:p>
    <w:p>
      <w:pPr>
        <w:spacing w:after="120" w:line="259" w:lineRule="auto"/>
      </w:pPr>
      <w:r>
        <w:rPr>
          <w:rFonts w:ascii="Arial" w:hAnsi="Arial" w:eastAsia="Arial"/>
          <w:b/>
          <w:color w:val="1F4E79"/>
          <w:sz w:val="28"/>
        </w:rPr>
        <w:t>6. Phân Tích Cost of Coordination</w:t>
      </w:r>
    </w:p>
    <w:p>
      <w:pPr>
        <w:jc w:val="center"/>
      </w:pPr>
      <w:r>
        <w:drawing>
          <wp:inline xmlns:a="http://schemas.openxmlformats.org/drawingml/2006/main" xmlns:pic="http://schemas.openxmlformats.org/drawingml/2006/picture">
            <wp:extent cx="5940000" cy="3712500"/>
            <wp:docPr id="2" name="Picture 2"/>
            <wp:cNvGraphicFramePr>
              <a:graphicFrameLocks noChangeAspect="1"/>
            </wp:cNvGraphicFramePr>
            <a:graphic>
              <a:graphicData uri="http://schemas.openxmlformats.org/drawingml/2006/picture">
                <pic:pic>
                  <pic:nvPicPr>
                    <pic:cNvPr id="0" name="coordination_cost.png"/>
                    <pic:cNvPicPr/>
                  </pic:nvPicPr>
                  <pic:blipFill>
                    <a:blip r:embed="rId10"/>
                    <a:stretch>
                      <a:fillRect/>
                    </a:stretch>
                  </pic:blipFill>
                  <pic:spPr>
                    <a:xfrm>
                      <a:off x="0" y="0"/>
                      <a:ext cx="5940000" cy="3712500"/>
                    </a:xfrm>
                    <a:prstGeom prst="rect"/>
                  </pic:spPr>
                </pic:pic>
              </a:graphicData>
            </a:graphic>
          </wp:inline>
        </w:drawing>
      </w:r>
    </w:p>
    <w:p>
      <w:pPr>
        <w:spacing w:after="120" w:line="259" w:lineRule="auto"/>
        <w:jc w:val="center"/>
      </w:pPr>
      <w:r>
        <w:rPr>
          <w:rFonts w:ascii="Arial" w:hAnsi="Arial" w:eastAsia="Arial"/>
          <w:i/>
          <w:color w:val="52606D"/>
          <w:sz w:val="18"/>
        </w:rPr>
        <w:t>Cost of Coordination</w:t>
      </w:r>
    </w:p>
    <w:p>
      <w:pPr>
        <w:spacing w:after="120" w:line="259" w:lineRule="auto"/>
      </w:pPr>
      <w:r>
        <w:rPr>
          <w:rFonts w:ascii="Arial" w:hAnsi="Arial" w:eastAsia="Arial"/>
          <w:sz w:val="22"/>
        </w:rPr>
        <w:t>Cost of Coordination tăng mạnh theo Network Latency.</w:t>
      </w:r>
    </w:p>
    <w:p>
      <w:pPr>
        <w:spacing w:after="120" w:line="259" w:lineRule="auto"/>
      </w:pPr>
      <w:r>
        <w:rPr>
          <w:rFonts w:ascii="Arial" w:hAnsi="Arial" w:eastAsia="Arial"/>
          <w:sz w:val="22"/>
        </w:rPr>
        <w:t>Ở mức latency 1ms, Cost of Coordination chiếm 58.70% tổng thời gian xử lý. Khi latency tăng lên 50ms, tỷ lệ này đạt 90.37%. Ở mức 250ms, Cost of Coordination đạt 97.33%.</w:t>
      </w:r>
    </w:p>
    <w:p>
      <w:pPr>
        <w:spacing w:after="120" w:line="259" w:lineRule="auto"/>
      </w:pPr>
      <w:r>
        <w:rPr>
          <w:rFonts w:ascii="Arial" w:hAnsi="Arial" w:eastAsia="Arial"/>
          <w:sz w:val="22"/>
        </w:rPr>
        <w:t>Điều này cho thấy trong môi trường mạng có độ trễ cao, phần lớn thời gian xử lý transaction không nằm ở thao tác đọc/ghi dữ liệu hoặc xử lý CPU, mà nằm ở chi phí truyền thông và điều phối giữa Coordinator với các Participant Node.</w:t>
      </w:r>
    </w:p>
    <w:p>
      <w:pPr>
        <w:spacing w:after="120" w:line="259" w:lineRule="auto"/>
      </w:pPr>
      <w:r>
        <w:rPr>
          <w:rFonts w:ascii="Arial" w:hAnsi="Arial" w:eastAsia="Arial"/>
          <w:sz w:val="22"/>
        </w:rPr>
        <w:t>Kết quả này phù hợp với mô hình:</w:t>
      </w:r>
    </w:p>
    <w:p>
      <w:pPr>
        <w:spacing w:before="80" w:after="160"/>
        <w:ind w:left="227" w:right="113"/>
        <w:shd w:fill="F4F6F8"/>
      </w:pPr>
      <w:r>
        <w:rPr>
          <w:rFonts w:ascii="Consolas" w:hAnsi="Consolas" w:eastAsia="Consolas"/>
          <w:sz w:val="18"/>
        </w:rPr>
        <w:t>Cost = IO + CPU + Comm</w:t>
      </w:r>
    </w:p>
    <w:p>
      <w:pPr>
        <w:spacing w:after="120" w:line="259" w:lineRule="auto"/>
      </w:pPr>
      <w:r>
        <w:rPr>
          <w:rFonts w:ascii="Arial" w:hAnsi="Arial" w:eastAsia="Arial"/>
          <w:sz w:val="22"/>
        </w:rPr>
        <w:t xml:space="preserve">Trong đó </w:t>
      </w:r>
      <w:r>
        <w:rPr>
          <w:rFonts w:ascii="Arial" w:hAnsi="Arial" w:eastAsia="Arial"/>
          <w:sz w:val="22"/>
        </w:rPr>
        <w:t>Comm</w:t>
      </w:r>
      <w:r>
        <w:rPr>
          <w:rFonts w:ascii="Arial" w:hAnsi="Arial" w:eastAsia="Arial"/>
          <w:sz w:val="22"/>
        </w:rPr>
        <w:t xml:space="preserve"> là thành phần tăng mạnh nhất khi Network Latency tăng.</w:t>
      </w:r>
    </w:p>
    <w:p>
      <w:pPr>
        <w:spacing w:after="120" w:line="259" w:lineRule="auto"/>
      </w:pPr>
      <w:r>
        <w:rPr>
          <w:rFonts w:ascii="Arial" w:hAnsi="Arial" w:eastAsia="Arial"/>
          <w:b/>
          <w:color w:val="1F4E79"/>
          <w:sz w:val="28"/>
        </w:rPr>
        <w:t>7. Phân Tích Doing Work Time Và Network Waiting Time</w:t>
      </w:r>
    </w:p>
    <w:p>
      <w:pPr>
        <w:jc w:val="center"/>
      </w:pPr>
      <w:r>
        <w:drawing>
          <wp:inline xmlns:a="http://schemas.openxmlformats.org/drawingml/2006/main" xmlns:pic="http://schemas.openxmlformats.org/drawingml/2006/picture">
            <wp:extent cx="5940000" cy="3712500"/>
            <wp:docPr id="3" name="Picture 3"/>
            <wp:cNvGraphicFramePr>
              <a:graphicFrameLocks noChangeAspect="1"/>
            </wp:cNvGraphicFramePr>
            <a:graphic>
              <a:graphicData uri="http://schemas.openxmlformats.org/drawingml/2006/picture">
                <pic:pic>
                  <pic:nvPicPr>
                    <pic:cNvPr id="0" name="work_vs_network.png"/>
                    <pic:cNvPicPr/>
                  </pic:nvPicPr>
                  <pic:blipFill>
                    <a:blip r:embed="rId11"/>
                    <a:stretch>
                      <a:fillRect/>
                    </a:stretch>
                  </pic:blipFill>
                  <pic:spPr>
                    <a:xfrm>
                      <a:off x="0" y="0"/>
                      <a:ext cx="5940000" cy="3712500"/>
                    </a:xfrm>
                    <a:prstGeom prst="rect"/>
                  </pic:spPr>
                </pic:pic>
              </a:graphicData>
            </a:graphic>
          </wp:inline>
        </w:drawing>
      </w:r>
    </w:p>
    <w:p>
      <w:pPr>
        <w:spacing w:after="120" w:line="259" w:lineRule="auto"/>
        <w:jc w:val="center"/>
      </w:pPr>
      <w:r>
        <w:rPr>
          <w:rFonts w:ascii="Arial" w:hAnsi="Arial" w:eastAsia="Arial"/>
          <w:i/>
          <w:color w:val="52606D"/>
          <w:sz w:val="18"/>
        </w:rPr>
        <w:t>Doing Work vs Network Waiting</w:t>
      </w:r>
    </w:p>
    <w:p>
      <w:pPr>
        <w:spacing w:after="120" w:line="259" w:lineRule="auto"/>
      </w:pPr>
      <w:r>
        <w:rPr>
          <w:rFonts w:ascii="Arial" w:hAnsi="Arial" w:eastAsia="Arial"/>
          <w:sz w:val="22"/>
        </w:rPr>
        <w:t>Biểu đồ Doing Work vs Network Waiting là biểu đồ quan trọng nhất vì nó tách tổng thời gian xử lý thành hai phần:</w:t>
      </w:r>
    </w:p>
    <w:tbl>
      <w:tblPr>
        <w:tblStyle w:val="TableGrid"/>
        <w:tblW w:type="auto" w:w="0"/>
        <w:jc w:val="center"/>
        <w:tblLayout w:type="autofit"/>
        <w:tblLook w:firstColumn="1" w:firstRow="1" w:lastColumn="0" w:lastRow="0" w:noHBand="0" w:noVBand="1" w:val="04A0"/>
      </w:tblPr>
      <w:tblGrid>
        <w:gridCol w:w="7569"/>
        <w:gridCol w:w="7569"/>
      </w:tblGrid>
      <w:tr>
        <w:tc>
          <w:tcPr>
            <w:tcW w:type="dxa" w:w="7569"/>
            <w:vAlign w:val="top"/>
            <w:shd w:fill="1F4E79"/>
          </w:tcPr>
          <w:p>
            <w:pPr>
              <w:spacing w:after="0"/>
            </w:pPr>
            <w:r>
              <w:rPr>
                <w:rFonts w:ascii="Arial" w:hAnsi="Arial" w:eastAsia="Arial"/>
                <w:b/>
                <w:color w:val="FFFFFF"/>
                <w:sz w:val="16"/>
              </w:rPr>
            </w:r>
            <w:r>
              <w:rPr>
                <w:rFonts w:ascii="Arial" w:hAnsi="Arial" w:eastAsia="Arial"/>
                <w:b/>
                <w:color w:val="FFFFFF"/>
                <w:sz w:val="16"/>
              </w:rPr>
              <w:t>Thành phần</w:t>
            </w:r>
          </w:p>
        </w:tc>
        <w:tc>
          <w:tcPr>
            <w:tcW w:type="dxa" w:w="7569"/>
            <w:vAlign w:val="top"/>
            <w:shd w:fill="1F4E79"/>
          </w:tcPr>
          <w:p>
            <w:pPr>
              <w:spacing w:after="0"/>
            </w:pPr>
            <w:r>
              <w:rPr>
                <w:rFonts w:ascii="Arial" w:hAnsi="Arial" w:eastAsia="Arial"/>
                <w:b/>
                <w:color w:val="FFFFFF"/>
                <w:sz w:val="16"/>
              </w:rPr>
            </w:r>
            <w:r>
              <w:rPr>
                <w:rFonts w:ascii="Arial" w:hAnsi="Arial" w:eastAsia="Arial"/>
                <w:b/>
                <w:color w:val="FFFFFF"/>
                <w:sz w:val="16"/>
              </w:rPr>
              <w:t>Ý nghĩa</w:t>
            </w:r>
          </w:p>
        </w:tc>
      </w:tr>
      <w:tr>
        <w:tc>
          <w:tcPr>
            <w:tcW w:type="dxa" w:w="7569"/>
            <w:vAlign w:val="top"/>
          </w:tcPr>
          <w:p>
            <w:pPr>
              <w:spacing w:after="0"/>
            </w:pPr>
            <w:r>
              <w:rPr>
                <w:rFonts w:ascii="Arial" w:hAnsi="Arial" w:eastAsia="Arial"/>
                <w:sz w:val="16"/>
              </w:rPr>
            </w:r>
            <w:r>
              <w:rPr>
                <w:rFonts w:ascii="Arial" w:hAnsi="Arial" w:eastAsia="Arial"/>
                <w:sz w:val="16"/>
              </w:rPr>
              <w:t>Doing Work Time</w:t>
            </w:r>
          </w:p>
        </w:tc>
        <w:tc>
          <w:tcPr>
            <w:tcW w:type="dxa" w:w="7569"/>
            <w:vAlign w:val="top"/>
          </w:tcPr>
          <w:p>
            <w:pPr>
              <w:spacing w:after="0"/>
            </w:pPr>
            <w:r>
              <w:rPr>
                <w:rFonts w:ascii="Arial" w:hAnsi="Arial" w:eastAsia="Arial"/>
                <w:sz w:val="16"/>
              </w:rPr>
            </w:r>
            <w:r>
              <w:rPr>
                <w:rFonts w:ascii="Arial" w:hAnsi="Arial" w:eastAsia="Arial"/>
                <w:sz w:val="16"/>
              </w:rPr>
              <w:t>Thời gian xử lý thực tại node</w:t>
            </w:r>
          </w:p>
        </w:tc>
      </w:tr>
      <w:tr>
        <w:tc>
          <w:tcPr>
            <w:tcW w:type="dxa" w:w="7569"/>
            <w:vAlign w:val="top"/>
            <w:shd w:fill="F7FAFC"/>
          </w:tcPr>
          <w:p>
            <w:pPr>
              <w:spacing w:after="0"/>
            </w:pPr>
            <w:r>
              <w:rPr>
                <w:rFonts w:ascii="Arial" w:hAnsi="Arial" w:eastAsia="Arial"/>
                <w:sz w:val="16"/>
              </w:rPr>
            </w:r>
            <w:r>
              <w:rPr>
                <w:rFonts w:ascii="Arial" w:hAnsi="Arial" w:eastAsia="Arial"/>
                <w:sz w:val="16"/>
              </w:rPr>
              <w:t>Network Waiting Time</w:t>
            </w:r>
          </w:p>
        </w:tc>
        <w:tc>
          <w:tcPr>
            <w:tcW w:type="dxa" w:w="7569"/>
            <w:vAlign w:val="top"/>
            <w:shd w:fill="F7FAFC"/>
          </w:tcPr>
          <w:p>
            <w:pPr>
              <w:spacing w:after="0"/>
            </w:pPr>
            <w:r>
              <w:rPr>
                <w:rFonts w:ascii="Arial" w:hAnsi="Arial" w:eastAsia="Arial"/>
                <w:sz w:val="16"/>
              </w:rPr>
            </w:r>
            <w:r>
              <w:rPr>
                <w:rFonts w:ascii="Arial" w:hAnsi="Arial" w:eastAsia="Arial"/>
                <w:sz w:val="16"/>
              </w:rPr>
              <w:t>Thời gian chờ truyền thông và điều phối</w:t>
            </w:r>
          </w:p>
        </w:tc>
      </w:tr>
    </w:tbl>
    <w:p/>
    <w:p>
      <w:pPr>
        <w:spacing w:after="120" w:line="259" w:lineRule="auto"/>
      </w:pPr>
      <w:r>
        <w:rPr>
          <w:rFonts w:ascii="Arial" w:hAnsi="Arial" w:eastAsia="Arial"/>
          <w:sz w:val="22"/>
        </w:rPr>
        <w:t>Doing Work Time gần như ổn định ở cả ba mức latency:</w:t>
      </w:r>
    </w:p>
    <w:tbl>
      <w:tblPr>
        <w:tblStyle w:val="TableGrid"/>
        <w:tblW w:type="auto" w:w="0"/>
        <w:jc w:val="center"/>
        <w:tblLayout w:type="autofit"/>
        <w:tblLook w:firstColumn="1" w:firstRow="1" w:lastColumn="0" w:lastRow="0" w:noHBand="0" w:noVBand="1" w:val="04A0"/>
      </w:tblPr>
      <w:tblGrid>
        <w:gridCol w:w="7569"/>
        <w:gridCol w:w="7569"/>
      </w:tblGrid>
      <w:tr>
        <w:tc>
          <w:tcPr>
            <w:tcW w:type="dxa" w:w="7569"/>
            <w:vAlign w:val="top"/>
            <w:shd w:fill="1F4E79"/>
          </w:tcPr>
          <w:p>
            <w:pPr>
              <w:spacing w:after="0"/>
            </w:pPr>
            <w:r>
              <w:rPr>
                <w:rFonts w:ascii="Arial" w:hAnsi="Arial" w:eastAsia="Arial"/>
                <w:b/>
                <w:color w:val="FFFFFF"/>
                <w:sz w:val="16"/>
              </w:rPr>
            </w:r>
            <w:r>
              <w:rPr>
                <w:rFonts w:ascii="Arial" w:hAnsi="Arial" w:eastAsia="Arial"/>
                <w:b/>
                <w:color w:val="FFFFFF"/>
                <w:sz w:val="16"/>
              </w:rPr>
              <w:t>Latency</w:t>
            </w:r>
          </w:p>
        </w:tc>
        <w:tc>
          <w:tcPr>
            <w:tcW w:type="dxa" w:w="7569"/>
            <w:vAlign w:val="top"/>
            <w:shd w:fill="1F4E79"/>
          </w:tcPr>
          <w:p>
            <w:pPr>
              <w:spacing w:after="0"/>
            </w:pPr>
            <w:r>
              <w:rPr>
                <w:rFonts w:ascii="Arial" w:hAnsi="Arial" w:eastAsia="Arial"/>
                <w:b/>
                <w:color w:val="FFFFFF"/>
                <w:sz w:val="16"/>
              </w:rPr>
            </w:r>
            <w:r>
              <w:rPr>
                <w:rFonts w:ascii="Arial" w:hAnsi="Arial" w:eastAsia="Arial"/>
                <w:b/>
                <w:color w:val="FFFFFF"/>
                <w:sz w:val="16"/>
              </w:rPr>
              <w:t>Mean Doing Work</w:t>
            </w:r>
          </w:p>
        </w:tc>
      </w:tr>
      <w:tr>
        <w:tc>
          <w:tcPr>
            <w:tcW w:type="dxa" w:w="7569"/>
            <w:vAlign w:val="top"/>
          </w:tcPr>
          <w:p>
            <w:pPr>
              <w:spacing w:after="0"/>
            </w:pPr>
            <w:r>
              <w:rPr>
                <w:rFonts w:ascii="Arial" w:hAnsi="Arial" w:eastAsia="Arial"/>
                <w:sz w:val="16"/>
              </w:rPr>
            </w:r>
            <w:r>
              <w:rPr>
                <w:rFonts w:ascii="Arial" w:hAnsi="Arial" w:eastAsia="Arial"/>
                <w:sz w:val="16"/>
              </w:rPr>
              <w:t>1ms</w:t>
            </w:r>
          </w:p>
        </w:tc>
        <w:tc>
          <w:tcPr>
            <w:tcW w:type="dxa" w:w="7569"/>
            <w:vAlign w:val="top"/>
          </w:tcPr>
          <w:p>
            <w:pPr>
              <w:spacing w:after="0"/>
            </w:pPr>
            <w:r>
              <w:rPr>
                <w:rFonts w:ascii="Arial" w:hAnsi="Arial" w:eastAsia="Arial"/>
                <w:sz w:val="16"/>
              </w:rPr>
            </w:r>
            <w:r>
              <w:rPr>
                <w:rFonts w:ascii="Arial" w:hAnsi="Arial" w:eastAsia="Arial"/>
                <w:sz w:val="16"/>
              </w:rPr>
              <w:t>23.25 ms</w:t>
            </w:r>
          </w:p>
        </w:tc>
      </w:tr>
      <w:tr>
        <w:tc>
          <w:tcPr>
            <w:tcW w:type="dxa" w:w="7569"/>
            <w:vAlign w:val="top"/>
            <w:shd w:fill="F7FAFC"/>
          </w:tcPr>
          <w:p>
            <w:pPr>
              <w:spacing w:after="0"/>
            </w:pPr>
            <w:r>
              <w:rPr>
                <w:rFonts w:ascii="Arial" w:hAnsi="Arial" w:eastAsia="Arial"/>
                <w:sz w:val="16"/>
              </w:rPr>
            </w:r>
            <w:r>
              <w:rPr>
                <w:rFonts w:ascii="Arial" w:hAnsi="Arial" w:eastAsia="Arial"/>
                <w:sz w:val="16"/>
              </w:rPr>
              <w:t>50ms</w:t>
            </w:r>
          </w:p>
        </w:tc>
        <w:tc>
          <w:tcPr>
            <w:tcW w:type="dxa" w:w="7569"/>
            <w:vAlign w:val="top"/>
            <w:shd w:fill="F7FAFC"/>
          </w:tcPr>
          <w:p>
            <w:pPr>
              <w:spacing w:after="0"/>
            </w:pPr>
            <w:r>
              <w:rPr>
                <w:rFonts w:ascii="Arial" w:hAnsi="Arial" w:eastAsia="Arial"/>
                <w:sz w:val="16"/>
              </w:rPr>
            </w:r>
            <w:r>
              <w:rPr>
                <w:rFonts w:ascii="Arial" w:hAnsi="Arial" w:eastAsia="Arial"/>
                <w:sz w:val="16"/>
              </w:rPr>
              <w:t>24.38 ms</w:t>
            </w:r>
          </w:p>
        </w:tc>
      </w:tr>
      <w:tr>
        <w:tc>
          <w:tcPr>
            <w:tcW w:type="dxa" w:w="7569"/>
            <w:vAlign w:val="top"/>
          </w:tcPr>
          <w:p>
            <w:pPr>
              <w:spacing w:after="0"/>
            </w:pPr>
            <w:r>
              <w:rPr>
                <w:rFonts w:ascii="Arial" w:hAnsi="Arial" w:eastAsia="Arial"/>
                <w:sz w:val="16"/>
              </w:rPr>
            </w:r>
            <w:r>
              <w:rPr>
                <w:rFonts w:ascii="Arial" w:hAnsi="Arial" w:eastAsia="Arial"/>
                <w:sz w:val="16"/>
              </w:rPr>
              <w:t>250ms</w:t>
            </w:r>
          </w:p>
        </w:tc>
        <w:tc>
          <w:tcPr>
            <w:tcW w:type="dxa" w:w="7569"/>
            <w:vAlign w:val="top"/>
          </w:tcPr>
          <w:p>
            <w:pPr>
              <w:spacing w:after="0"/>
            </w:pPr>
            <w:r>
              <w:rPr>
                <w:rFonts w:ascii="Arial" w:hAnsi="Arial" w:eastAsia="Arial"/>
                <w:sz w:val="16"/>
              </w:rPr>
            </w:r>
            <w:r>
              <w:rPr>
                <w:rFonts w:ascii="Arial" w:hAnsi="Arial" w:eastAsia="Arial"/>
                <w:sz w:val="16"/>
              </w:rPr>
              <w:t>28.33 ms</w:t>
            </w:r>
          </w:p>
        </w:tc>
      </w:tr>
    </w:tbl>
    <w:p/>
    <w:p>
      <w:pPr>
        <w:spacing w:after="120" w:line="259" w:lineRule="auto"/>
      </w:pPr>
      <w:r>
        <w:rPr>
          <w:rFonts w:ascii="Arial" w:hAnsi="Arial" w:eastAsia="Arial"/>
          <w:sz w:val="22"/>
        </w:rPr>
        <w:t>Trong khi đó, Network Waiting Time tăng rất mạnh:</w:t>
      </w:r>
    </w:p>
    <w:tbl>
      <w:tblPr>
        <w:tblStyle w:val="TableGrid"/>
        <w:tblW w:type="auto" w:w="0"/>
        <w:jc w:val="center"/>
        <w:tblLayout w:type="autofit"/>
        <w:tblLook w:firstColumn="1" w:firstRow="1" w:lastColumn="0" w:lastRow="0" w:noHBand="0" w:noVBand="1" w:val="04A0"/>
      </w:tblPr>
      <w:tblGrid>
        <w:gridCol w:w="7569"/>
        <w:gridCol w:w="7569"/>
      </w:tblGrid>
      <w:tr>
        <w:tc>
          <w:tcPr>
            <w:tcW w:type="dxa" w:w="7569"/>
            <w:vAlign w:val="top"/>
            <w:shd w:fill="1F4E79"/>
          </w:tcPr>
          <w:p>
            <w:pPr>
              <w:spacing w:after="0"/>
            </w:pPr>
            <w:r>
              <w:rPr>
                <w:rFonts w:ascii="Arial" w:hAnsi="Arial" w:eastAsia="Arial"/>
                <w:b/>
                <w:color w:val="FFFFFF"/>
                <w:sz w:val="16"/>
              </w:rPr>
            </w:r>
            <w:r>
              <w:rPr>
                <w:rFonts w:ascii="Arial" w:hAnsi="Arial" w:eastAsia="Arial"/>
                <w:b/>
                <w:color w:val="FFFFFF"/>
                <w:sz w:val="16"/>
              </w:rPr>
              <w:t>Latency</w:t>
            </w:r>
          </w:p>
        </w:tc>
        <w:tc>
          <w:tcPr>
            <w:tcW w:type="dxa" w:w="7569"/>
            <w:vAlign w:val="top"/>
            <w:shd w:fill="1F4E79"/>
          </w:tcPr>
          <w:p>
            <w:pPr>
              <w:spacing w:after="0"/>
            </w:pPr>
            <w:r>
              <w:rPr>
                <w:rFonts w:ascii="Arial" w:hAnsi="Arial" w:eastAsia="Arial"/>
                <w:b/>
                <w:color w:val="FFFFFF"/>
                <w:sz w:val="16"/>
              </w:rPr>
            </w:r>
            <w:r>
              <w:rPr>
                <w:rFonts w:ascii="Arial" w:hAnsi="Arial" w:eastAsia="Arial"/>
                <w:b/>
                <w:color w:val="FFFFFF"/>
                <w:sz w:val="16"/>
              </w:rPr>
              <w:t>Mean Network Waiting</w:t>
            </w:r>
          </w:p>
        </w:tc>
      </w:tr>
      <w:tr>
        <w:tc>
          <w:tcPr>
            <w:tcW w:type="dxa" w:w="7569"/>
            <w:vAlign w:val="top"/>
          </w:tcPr>
          <w:p>
            <w:pPr>
              <w:spacing w:after="0"/>
            </w:pPr>
            <w:r>
              <w:rPr>
                <w:rFonts w:ascii="Arial" w:hAnsi="Arial" w:eastAsia="Arial"/>
                <w:sz w:val="16"/>
              </w:rPr>
            </w:r>
            <w:r>
              <w:rPr>
                <w:rFonts w:ascii="Arial" w:hAnsi="Arial" w:eastAsia="Arial"/>
                <w:sz w:val="16"/>
              </w:rPr>
              <w:t>1ms</w:t>
            </w:r>
          </w:p>
        </w:tc>
        <w:tc>
          <w:tcPr>
            <w:tcW w:type="dxa" w:w="7569"/>
            <w:vAlign w:val="top"/>
          </w:tcPr>
          <w:p>
            <w:pPr>
              <w:spacing w:after="0"/>
            </w:pPr>
            <w:r>
              <w:rPr>
                <w:rFonts w:ascii="Arial" w:hAnsi="Arial" w:eastAsia="Arial"/>
                <w:sz w:val="16"/>
              </w:rPr>
            </w:r>
            <w:r>
              <w:rPr>
                <w:rFonts w:ascii="Arial" w:hAnsi="Arial" w:eastAsia="Arial"/>
                <w:sz w:val="16"/>
              </w:rPr>
              <w:t>34.72 ms</w:t>
            </w:r>
          </w:p>
        </w:tc>
      </w:tr>
      <w:tr>
        <w:tc>
          <w:tcPr>
            <w:tcW w:type="dxa" w:w="7569"/>
            <w:vAlign w:val="top"/>
            <w:shd w:fill="F7FAFC"/>
          </w:tcPr>
          <w:p>
            <w:pPr>
              <w:spacing w:after="0"/>
            </w:pPr>
            <w:r>
              <w:rPr>
                <w:rFonts w:ascii="Arial" w:hAnsi="Arial" w:eastAsia="Arial"/>
                <w:sz w:val="16"/>
              </w:rPr>
            </w:r>
            <w:r>
              <w:rPr>
                <w:rFonts w:ascii="Arial" w:hAnsi="Arial" w:eastAsia="Arial"/>
                <w:sz w:val="16"/>
              </w:rPr>
              <w:t>50ms</w:t>
            </w:r>
          </w:p>
        </w:tc>
        <w:tc>
          <w:tcPr>
            <w:tcW w:type="dxa" w:w="7569"/>
            <w:vAlign w:val="top"/>
            <w:shd w:fill="F7FAFC"/>
          </w:tcPr>
          <w:p>
            <w:pPr>
              <w:spacing w:after="0"/>
            </w:pPr>
            <w:r>
              <w:rPr>
                <w:rFonts w:ascii="Arial" w:hAnsi="Arial" w:eastAsia="Arial"/>
                <w:sz w:val="16"/>
              </w:rPr>
            </w:r>
            <w:r>
              <w:rPr>
                <w:rFonts w:ascii="Arial" w:hAnsi="Arial" w:eastAsia="Arial"/>
                <w:sz w:val="16"/>
              </w:rPr>
              <w:t>228.92 ms</w:t>
            </w:r>
          </w:p>
        </w:tc>
      </w:tr>
      <w:tr>
        <w:tc>
          <w:tcPr>
            <w:tcW w:type="dxa" w:w="7569"/>
            <w:vAlign w:val="top"/>
          </w:tcPr>
          <w:p>
            <w:pPr>
              <w:spacing w:after="0"/>
            </w:pPr>
            <w:r>
              <w:rPr>
                <w:rFonts w:ascii="Arial" w:hAnsi="Arial" w:eastAsia="Arial"/>
                <w:sz w:val="16"/>
              </w:rPr>
            </w:r>
            <w:r>
              <w:rPr>
                <w:rFonts w:ascii="Arial" w:hAnsi="Arial" w:eastAsia="Arial"/>
                <w:sz w:val="16"/>
              </w:rPr>
              <w:t>250ms</w:t>
            </w:r>
          </w:p>
        </w:tc>
        <w:tc>
          <w:tcPr>
            <w:tcW w:type="dxa" w:w="7569"/>
            <w:vAlign w:val="top"/>
          </w:tcPr>
          <w:p>
            <w:pPr>
              <w:spacing w:after="0"/>
            </w:pPr>
            <w:r>
              <w:rPr>
                <w:rFonts w:ascii="Arial" w:hAnsi="Arial" w:eastAsia="Arial"/>
                <w:sz w:val="16"/>
              </w:rPr>
            </w:r>
            <w:r>
              <w:rPr>
                <w:rFonts w:ascii="Arial" w:hAnsi="Arial" w:eastAsia="Arial"/>
                <w:sz w:val="16"/>
              </w:rPr>
              <w:t>1029.52 ms</w:t>
            </w:r>
          </w:p>
        </w:tc>
      </w:tr>
    </w:tbl>
    <w:p/>
    <w:p>
      <w:pPr>
        <w:spacing w:after="120" w:line="259" w:lineRule="auto"/>
      </w:pPr>
      <w:r>
        <w:rPr>
          <w:rFonts w:ascii="Arial" w:hAnsi="Arial" w:eastAsia="Arial"/>
          <w:sz w:val="22"/>
        </w:rPr>
        <w:t>Điều này chứng minh sự gia tăng tổng thời gian xử lý transaction chủ yếu đến từ thời gian chờ mạng, không phải do thời gian xử lý thực tại node.</w:t>
      </w:r>
    </w:p>
    <w:p>
      <w:pPr>
        <w:spacing w:after="120" w:line="259" w:lineRule="auto"/>
      </w:pPr>
      <w:r>
        <w:rPr>
          <w:rFonts w:ascii="Arial" w:hAnsi="Arial" w:eastAsia="Arial"/>
          <w:sz w:val="22"/>
        </w:rPr>
        <w:t>Nói cách khác, khi latency tăng, thành phần IO và CPU gần như không thay đổi, còn thành phần Comm tăng mạnh. Đây là đặc trưng quan trọng của hệ cơ sở dữ liệu phân tán khi các node nằm xa nhau về mặt mạng.</w:t>
      </w:r>
    </w:p>
    <w:p>
      <w:pPr>
        <w:spacing w:after="120" w:line="259" w:lineRule="auto"/>
      </w:pPr>
      <w:r>
        <w:rPr>
          <w:rFonts w:ascii="Arial" w:hAnsi="Arial" w:eastAsia="Arial"/>
          <w:b/>
          <w:color w:val="1F4E79"/>
          <w:sz w:val="28"/>
        </w:rPr>
        <w:t>8. Phân Tích Mean, Median Và P99</w:t>
      </w:r>
    </w:p>
    <w:p>
      <w:pPr>
        <w:jc w:val="center"/>
      </w:pPr>
      <w:r>
        <w:drawing>
          <wp:inline xmlns:a="http://schemas.openxmlformats.org/drawingml/2006/main" xmlns:pic="http://schemas.openxmlformats.org/drawingml/2006/picture">
            <wp:extent cx="5940000" cy="3300000"/>
            <wp:docPr id="4" name="Picture 4"/>
            <wp:cNvGraphicFramePr>
              <a:graphicFrameLocks noChangeAspect="1"/>
            </wp:cNvGraphicFramePr>
            <a:graphic>
              <a:graphicData uri="http://schemas.openxmlformats.org/drawingml/2006/picture">
                <pic:pic>
                  <pic:nvPicPr>
                    <pic:cNvPr id="0" name="mean_median_p99.png"/>
                    <pic:cNvPicPr/>
                  </pic:nvPicPr>
                  <pic:blipFill>
                    <a:blip r:embed="rId12"/>
                    <a:stretch>
                      <a:fillRect/>
                    </a:stretch>
                  </pic:blipFill>
                  <pic:spPr>
                    <a:xfrm>
                      <a:off x="0" y="0"/>
                      <a:ext cx="5940000" cy="3300000"/>
                    </a:xfrm>
                    <a:prstGeom prst="rect"/>
                  </pic:spPr>
                </pic:pic>
              </a:graphicData>
            </a:graphic>
          </wp:inline>
        </w:drawing>
      </w:r>
    </w:p>
    <w:p>
      <w:pPr>
        <w:spacing w:after="120" w:line="259" w:lineRule="auto"/>
        <w:jc w:val="center"/>
      </w:pPr>
      <w:r>
        <w:rPr>
          <w:rFonts w:ascii="Arial" w:hAnsi="Arial" w:eastAsia="Arial"/>
          <w:i/>
          <w:color w:val="52606D"/>
          <w:sz w:val="18"/>
        </w:rPr>
        <w:t>Mean Median P99</w:t>
      </w:r>
    </w:p>
    <w:p>
      <w:pPr>
        <w:spacing w:after="120" w:line="259" w:lineRule="auto"/>
      </w:pPr>
      <w:r>
        <w:rPr>
          <w:rFonts w:ascii="Arial" w:hAnsi="Arial" w:eastAsia="Arial"/>
          <w:sz w:val="22"/>
        </w:rPr>
        <w:t>Biểu đồ Mean, Median và P99 cho thấy cả ba chỉ số đều tăng khi Network Latency tăng.</w:t>
      </w:r>
    </w:p>
    <w:tbl>
      <w:tblPr>
        <w:tblStyle w:val="TableGrid"/>
        <w:tblW w:type="auto" w:w="0"/>
        <w:jc w:val="center"/>
        <w:tblLayout w:type="autofit"/>
        <w:tblLook w:firstColumn="1" w:firstRow="1" w:lastColumn="0" w:lastRow="0" w:noHBand="0" w:noVBand="1" w:val="04A0"/>
      </w:tblPr>
      <w:tblGrid>
        <w:gridCol w:w="3784"/>
        <w:gridCol w:w="3784"/>
        <w:gridCol w:w="3784"/>
        <w:gridCol w:w="3784"/>
      </w:tblGrid>
      <w:tr>
        <w:tc>
          <w:tcPr>
            <w:tcW w:type="dxa" w:w="3784"/>
            <w:vAlign w:val="top"/>
            <w:shd w:fill="1F4E79"/>
          </w:tcPr>
          <w:p>
            <w:pPr>
              <w:spacing w:after="0"/>
            </w:pPr>
            <w:r>
              <w:rPr>
                <w:rFonts w:ascii="Arial" w:hAnsi="Arial" w:eastAsia="Arial"/>
                <w:b/>
                <w:color w:val="FFFFFF"/>
                <w:sz w:val="16"/>
              </w:rPr>
            </w:r>
            <w:r>
              <w:rPr>
                <w:rFonts w:ascii="Arial" w:hAnsi="Arial" w:eastAsia="Arial"/>
                <w:b/>
                <w:color w:val="FFFFFF"/>
                <w:sz w:val="16"/>
              </w:rPr>
              <w:t>Latency</w:t>
            </w:r>
          </w:p>
        </w:tc>
        <w:tc>
          <w:tcPr>
            <w:tcW w:type="dxa" w:w="3784"/>
            <w:vAlign w:val="top"/>
            <w:shd w:fill="1F4E79"/>
          </w:tcPr>
          <w:p>
            <w:pPr>
              <w:spacing w:after="0"/>
            </w:pPr>
            <w:r>
              <w:rPr>
                <w:rFonts w:ascii="Arial" w:hAnsi="Arial" w:eastAsia="Arial"/>
                <w:b/>
                <w:color w:val="FFFFFF"/>
                <w:sz w:val="16"/>
              </w:rPr>
            </w:r>
            <w:r>
              <w:rPr>
                <w:rFonts w:ascii="Arial" w:hAnsi="Arial" w:eastAsia="Arial"/>
                <w:b/>
                <w:color w:val="FFFFFF"/>
                <w:sz w:val="16"/>
              </w:rPr>
              <w:t>Mean</w:t>
            </w:r>
          </w:p>
        </w:tc>
        <w:tc>
          <w:tcPr>
            <w:tcW w:type="dxa" w:w="3784"/>
            <w:vAlign w:val="top"/>
            <w:shd w:fill="1F4E79"/>
          </w:tcPr>
          <w:p>
            <w:pPr>
              <w:spacing w:after="0"/>
            </w:pPr>
            <w:r>
              <w:rPr>
                <w:rFonts w:ascii="Arial" w:hAnsi="Arial" w:eastAsia="Arial"/>
                <w:b/>
                <w:color w:val="FFFFFF"/>
                <w:sz w:val="16"/>
              </w:rPr>
            </w:r>
            <w:r>
              <w:rPr>
                <w:rFonts w:ascii="Arial" w:hAnsi="Arial" w:eastAsia="Arial"/>
                <w:b/>
                <w:color w:val="FFFFFF"/>
                <w:sz w:val="16"/>
              </w:rPr>
              <w:t>Median</w:t>
            </w:r>
          </w:p>
        </w:tc>
        <w:tc>
          <w:tcPr>
            <w:tcW w:type="dxa" w:w="3784"/>
            <w:vAlign w:val="top"/>
            <w:shd w:fill="1F4E79"/>
          </w:tcPr>
          <w:p>
            <w:pPr>
              <w:spacing w:after="0"/>
            </w:pPr>
            <w:r>
              <w:rPr>
                <w:rFonts w:ascii="Arial" w:hAnsi="Arial" w:eastAsia="Arial"/>
                <w:b/>
                <w:color w:val="FFFFFF"/>
                <w:sz w:val="16"/>
              </w:rPr>
            </w:r>
            <w:r>
              <w:rPr>
                <w:rFonts w:ascii="Arial" w:hAnsi="Arial" w:eastAsia="Arial"/>
                <w:b/>
                <w:color w:val="FFFFFF"/>
                <w:sz w:val="16"/>
              </w:rPr>
              <w:t>P99</w:t>
            </w:r>
          </w:p>
        </w:tc>
      </w:tr>
      <w:tr>
        <w:tc>
          <w:tcPr>
            <w:tcW w:type="dxa" w:w="3784"/>
            <w:vAlign w:val="top"/>
          </w:tcPr>
          <w:p>
            <w:pPr>
              <w:spacing w:after="0"/>
            </w:pPr>
            <w:r>
              <w:rPr>
                <w:rFonts w:ascii="Arial" w:hAnsi="Arial" w:eastAsia="Arial"/>
                <w:sz w:val="16"/>
              </w:rPr>
            </w:r>
            <w:r>
              <w:rPr>
                <w:rFonts w:ascii="Arial" w:hAnsi="Arial" w:eastAsia="Arial"/>
                <w:sz w:val="16"/>
              </w:rPr>
              <w:t>1ms</w:t>
            </w:r>
          </w:p>
        </w:tc>
        <w:tc>
          <w:tcPr>
            <w:tcW w:type="dxa" w:w="3784"/>
            <w:vAlign w:val="top"/>
          </w:tcPr>
          <w:p>
            <w:pPr>
              <w:spacing w:after="0"/>
            </w:pPr>
            <w:r>
              <w:rPr>
                <w:rFonts w:ascii="Arial" w:hAnsi="Arial" w:eastAsia="Arial"/>
                <w:sz w:val="16"/>
              </w:rPr>
            </w:r>
            <w:r>
              <w:rPr>
                <w:rFonts w:ascii="Arial" w:hAnsi="Arial" w:eastAsia="Arial"/>
                <w:sz w:val="16"/>
              </w:rPr>
              <w:t>57.97 ms</w:t>
            </w:r>
          </w:p>
        </w:tc>
        <w:tc>
          <w:tcPr>
            <w:tcW w:type="dxa" w:w="3784"/>
            <w:vAlign w:val="top"/>
          </w:tcPr>
          <w:p>
            <w:pPr>
              <w:spacing w:after="0"/>
            </w:pPr>
            <w:r>
              <w:rPr>
                <w:rFonts w:ascii="Arial" w:hAnsi="Arial" w:eastAsia="Arial"/>
                <w:sz w:val="16"/>
              </w:rPr>
            </w:r>
            <w:r>
              <w:rPr>
                <w:rFonts w:ascii="Arial" w:hAnsi="Arial" w:eastAsia="Arial"/>
                <w:sz w:val="16"/>
              </w:rPr>
              <w:t>56.94 ms</w:t>
            </w:r>
          </w:p>
        </w:tc>
        <w:tc>
          <w:tcPr>
            <w:tcW w:type="dxa" w:w="3784"/>
            <w:vAlign w:val="top"/>
          </w:tcPr>
          <w:p>
            <w:pPr>
              <w:spacing w:after="0"/>
            </w:pPr>
            <w:r>
              <w:rPr>
                <w:rFonts w:ascii="Arial" w:hAnsi="Arial" w:eastAsia="Arial"/>
                <w:sz w:val="16"/>
              </w:rPr>
            </w:r>
            <w:r>
              <w:rPr>
                <w:rFonts w:ascii="Arial" w:hAnsi="Arial" w:eastAsia="Arial"/>
                <w:sz w:val="16"/>
              </w:rPr>
              <w:t>99.21 ms</w:t>
            </w:r>
          </w:p>
        </w:tc>
      </w:tr>
      <w:tr>
        <w:tc>
          <w:tcPr>
            <w:tcW w:type="dxa" w:w="3784"/>
            <w:vAlign w:val="top"/>
            <w:shd w:fill="F7FAFC"/>
          </w:tcPr>
          <w:p>
            <w:pPr>
              <w:spacing w:after="0"/>
            </w:pPr>
            <w:r>
              <w:rPr>
                <w:rFonts w:ascii="Arial" w:hAnsi="Arial" w:eastAsia="Arial"/>
                <w:sz w:val="16"/>
              </w:rPr>
            </w:r>
            <w:r>
              <w:rPr>
                <w:rFonts w:ascii="Arial" w:hAnsi="Arial" w:eastAsia="Arial"/>
                <w:sz w:val="16"/>
              </w:rPr>
              <w:t>50ms</w:t>
            </w:r>
          </w:p>
        </w:tc>
        <w:tc>
          <w:tcPr>
            <w:tcW w:type="dxa" w:w="3784"/>
            <w:vAlign w:val="top"/>
            <w:shd w:fill="F7FAFC"/>
          </w:tcPr>
          <w:p>
            <w:pPr>
              <w:spacing w:after="0"/>
            </w:pPr>
            <w:r>
              <w:rPr>
                <w:rFonts w:ascii="Arial" w:hAnsi="Arial" w:eastAsia="Arial"/>
                <w:sz w:val="16"/>
              </w:rPr>
            </w:r>
            <w:r>
              <w:rPr>
                <w:rFonts w:ascii="Arial" w:hAnsi="Arial" w:eastAsia="Arial"/>
                <w:sz w:val="16"/>
              </w:rPr>
              <w:t>253.30 ms</w:t>
            </w:r>
          </w:p>
        </w:tc>
        <w:tc>
          <w:tcPr>
            <w:tcW w:type="dxa" w:w="3784"/>
            <w:vAlign w:val="top"/>
            <w:shd w:fill="F7FAFC"/>
          </w:tcPr>
          <w:p>
            <w:pPr>
              <w:spacing w:after="0"/>
            </w:pPr>
            <w:r>
              <w:rPr>
                <w:rFonts w:ascii="Arial" w:hAnsi="Arial" w:eastAsia="Arial"/>
                <w:sz w:val="16"/>
              </w:rPr>
            </w:r>
            <w:r>
              <w:rPr>
                <w:rFonts w:ascii="Arial" w:hAnsi="Arial" w:eastAsia="Arial"/>
                <w:sz w:val="16"/>
              </w:rPr>
              <w:t>250.62 ms</w:t>
            </w:r>
          </w:p>
        </w:tc>
        <w:tc>
          <w:tcPr>
            <w:tcW w:type="dxa" w:w="3784"/>
            <w:vAlign w:val="top"/>
            <w:shd w:fill="F7FAFC"/>
          </w:tcPr>
          <w:p>
            <w:pPr>
              <w:spacing w:after="0"/>
            </w:pPr>
            <w:r>
              <w:rPr>
                <w:rFonts w:ascii="Arial" w:hAnsi="Arial" w:eastAsia="Arial"/>
                <w:sz w:val="16"/>
              </w:rPr>
            </w:r>
            <w:r>
              <w:rPr>
                <w:rFonts w:ascii="Arial" w:hAnsi="Arial" w:eastAsia="Arial"/>
                <w:sz w:val="16"/>
              </w:rPr>
              <w:t>288.27 ms</w:t>
            </w:r>
          </w:p>
        </w:tc>
      </w:tr>
      <w:tr>
        <w:tc>
          <w:tcPr>
            <w:tcW w:type="dxa" w:w="3784"/>
            <w:vAlign w:val="top"/>
          </w:tcPr>
          <w:p>
            <w:pPr>
              <w:spacing w:after="0"/>
            </w:pPr>
            <w:r>
              <w:rPr>
                <w:rFonts w:ascii="Arial" w:hAnsi="Arial" w:eastAsia="Arial"/>
                <w:sz w:val="16"/>
              </w:rPr>
            </w:r>
            <w:r>
              <w:rPr>
                <w:rFonts w:ascii="Arial" w:hAnsi="Arial" w:eastAsia="Arial"/>
                <w:sz w:val="16"/>
              </w:rPr>
              <w:t>250ms</w:t>
            </w:r>
          </w:p>
        </w:tc>
        <w:tc>
          <w:tcPr>
            <w:tcW w:type="dxa" w:w="3784"/>
            <w:vAlign w:val="top"/>
          </w:tcPr>
          <w:p>
            <w:pPr>
              <w:spacing w:after="0"/>
            </w:pPr>
            <w:r>
              <w:rPr>
                <w:rFonts w:ascii="Arial" w:hAnsi="Arial" w:eastAsia="Arial"/>
                <w:sz w:val="16"/>
              </w:rPr>
            </w:r>
            <w:r>
              <w:rPr>
                <w:rFonts w:ascii="Arial" w:hAnsi="Arial" w:eastAsia="Arial"/>
                <w:sz w:val="16"/>
              </w:rPr>
              <w:t>1057.85 ms</w:t>
            </w:r>
          </w:p>
        </w:tc>
        <w:tc>
          <w:tcPr>
            <w:tcW w:type="dxa" w:w="3784"/>
            <w:vAlign w:val="top"/>
          </w:tcPr>
          <w:p>
            <w:pPr>
              <w:spacing w:after="0"/>
            </w:pPr>
            <w:r>
              <w:rPr>
                <w:rFonts w:ascii="Arial" w:hAnsi="Arial" w:eastAsia="Arial"/>
                <w:sz w:val="16"/>
              </w:rPr>
            </w:r>
            <w:r>
              <w:rPr>
                <w:rFonts w:ascii="Arial" w:hAnsi="Arial" w:eastAsia="Arial"/>
                <w:sz w:val="16"/>
              </w:rPr>
              <w:t>1053.50 ms</w:t>
            </w:r>
          </w:p>
        </w:tc>
        <w:tc>
          <w:tcPr>
            <w:tcW w:type="dxa" w:w="3784"/>
            <w:vAlign w:val="top"/>
          </w:tcPr>
          <w:p>
            <w:pPr>
              <w:spacing w:after="0"/>
            </w:pPr>
            <w:r>
              <w:rPr>
                <w:rFonts w:ascii="Arial" w:hAnsi="Arial" w:eastAsia="Arial"/>
                <w:sz w:val="16"/>
              </w:rPr>
            </w:r>
            <w:r>
              <w:rPr>
                <w:rFonts w:ascii="Arial" w:hAnsi="Arial" w:eastAsia="Arial"/>
                <w:sz w:val="16"/>
              </w:rPr>
              <w:t>1115.83 ms</w:t>
            </w:r>
          </w:p>
        </w:tc>
      </w:tr>
    </w:tbl>
    <w:p/>
    <w:p>
      <w:pPr>
        <w:spacing w:after="120" w:line="259" w:lineRule="auto"/>
      </w:pPr>
      <w:r>
        <w:rPr>
          <w:rFonts w:ascii="Arial" w:hAnsi="Arial" w:eastAsia="Arial"/>
          <w:sz w:val="22"/>
        </w:rPr>
        <w:t>Mean phản ánh thời gian xử lý trung bình. Median phản ánh thời gian xử lý điển hình của phần lớn transaction. P99 phản ánh tail latency, tức nhóm transaction chậm nhất trong hệ thống.</w:t>
      </w:r>
    </w:p>
    <w:p>
      <w:pPr>
        <w:spacing w:after="120" w:line="259" w:lineRule="auto"/>
      </w:pPr>
      <w:r>
        <w:rPr>
          <w:rFonts w:ascii="Arial" w:hAnsi="Arial" w:eastAsia="Arial"/>
          <w:sz w:val="22"/>
        </w:rPr>
        <w:t>Việc Mean, Median và P99 cùng tăng cho thấy ảnh hưởng của Network Latency là nhất quán trên toàn bộ tập transaction, không chỉ xuất hiện ở một vài trường hợp bất thường.</w:t>
      </w:r>
    </w:p>
    <w:p>
      <w:pPr>
        <w:spacing w:after="120" w:line="259" w:lineRule="auto"/>
      </w:pPr>
      <w:r>
        <w:rPr>
          <w:rFonts w:ascii="Arial" w:hAnsi="Arial" w:eastAsia="Arial"/>
          <w:sz w:val="22"/>
        </w:rPr>
        <w:t>P99 tăng lên 1115.83 ms ở mức latency 250ms cho thấy các transaction chậm nhất cũng chịu ảnh hưởng rất lớn từ độ trễ mạng.</w:t>
      </w:r>
    </w:p>
    <w:p>
      <w:pPr>
        <w:spacing w:after="120" w:line="259" w:lineRule="auto"/>
      </w:pPr>
      <w:r>
        <w:rPr>
          <w:rFonts w:ascii="Arial" w:hAnsi="Arial" w:eastAsia="Arial"/>
          <w:b/>
          <w:color w:val="1F4E79"/>
          <w:sz w:val="28"/>
        </w:rPr>
        <w:t>9. Phân Tích Theo Phase Của Two-Phase Commit</w:t>
      </w:r>
    </w:p>
    <w:p>
      <w:pPr>
        <w:spacing w:after="120" w:line="259" w:lineRule="auto"/>
      </w:pPr>
      <w:r>
        <w:rPr>
          <w:rFonts w:ascii="Arial" w:hAnsi="Arial" w:eastAsia="Arial"/>
          <w:sz w:val="22"/>
        </w:rPr>
        <w:t>Trong Two-Phase Commit, mỗi transaction cần hai phase giao tiếp chính:</w:t>
      </w:r>
    </w:p>
    <w:tbl>
      <w:tblPr>
        <w:tblStyle w:val="TableGrid"/>
        <w:tblW w:type="auto" w:w="0"/>
        <w:jc w:val="center"/>
        <w:tblLayout w:type="autofit"/>
        <w:tblLook w:firstColumn="1" w:firstRow="1" w:lastColumn="0" w:lastRow="0" w:noHBand="0" w:noVBand="1" w:val="04A0"/>
      </w:tblPr>
      <w:tblGrid>
        <w:gridCol w:w="7569"/>
        <w:gridCol w:w="7569"/>
      </w:tblGrid>
      <w:tr>
        <w:tc>
          <w:tcPr>
            <w:tcW w:type="dxa" w:w="7569"/>
            <w:vAlign w:val="top"/>
            <w:shd w:fill="1F4E79"/>
          </w:tcPr>
          <w:p>
            <w:pPr>
              <w:spacing w:after="0"/>
            </w:pPr>
            <w:r>
              <w:rPr>
                <w:rFonts w:ascii="Arial" w:hAnsi="Arial" w:eastAsia="Arial"/>
                <w:b/>
                <w:color w:val="FFFFFF"/>
                <w:sz w:val="16"/>
              </w:rPr>
            </w:r>
            <w:r>
              <w:rPr>
                <w:rFonts w:ascii="Arial" w:hAnsi="Arial" w:eastAsia="Arial"/>
                <w:b/>
                <w:color w:val="FFFFFF"/>
                <w:sz w:val="16"/>
              </w:rPr>
              <w:t>Phase</w:t>
            </w:r>
          </w:p>
        </w:tc>
        <w:tc>
          <w:tcPr>
            <w:tcW w:type="dxa" w:w="7569"/>
            <w:vAlign w:val="top"/>
            <w:shd w:fill="1F4E79"/>
          </w:tcPr>
          <w:p>
            <w:pPr>
              <w:spacing w:after="0"/>
            </w:pPr>
            <w:r>
              <w:rPr>
                <w:rFonts w:ascii="Arial" w:hAnsi="Arial" w:eastAsia="Arial"/>
                <w:b/>
                <w:color w:val="FFFFFF"/>
                <w:sz w:val="16"/>
              </w:rPr>
            </w:r>
            <w:r>
              <w:rPr>
                <w:rFonts w:ascii="Arial" w:hAnsi="Arial" w:eastAsia="Arial"/>
                <w:b/>
                <w:color w:val="FFFFFF"/>
                <w:sz w:val="16"/>
              </w:rPr>
              <w:t>Ý nghĩa</w:t>
            </w:r>
          </w:p>
        </w:tc>
      </w:tr>
      <w:tr>
        <w:tc>
          <w:tcPr>
            <w:tcW w:type="dxa" w:w="7569"/>
            <w:vAlign w:val="top"/>
          </w:tcPr>
          <w:p>
            <w:pPr>
              <w:spacing w:after="0"/>
            </w:pPr>
            <w:r>
              <w:rPr>
                <w:rFonts w:ascii="Arial" w:hAnsi="Arial" w:eastAsia="Arial"/>
                <w:sz w:val="16"/>
              </w:rPr>
            </w:r>
            <w:r>
              <w:rPr>
                <w:rFonts w:ascii="Arial" w:hAnsi="Arial" w:eastAsia="Arial"/>
                <w:sz w:val="16"/>
              </w:rPr>
              <w:t>PREPARE</w:t>
            </w:r>
          </w:p>
        </w:tc>
        <w:tc>
          <w:tcPr>
            <w:tcW w:type="dxa" w:w="7569"/>
            <w:vAlign w:val="top"/>
          </w:tcPr>
          <w:p>
            <w:pPr>
              <w:spacing w:after="0"/>
            </w:pPr>
            <w:r>
              <w:rPr>
                <w:rFonts w:ascii="Arial" w:hAnsi="Arial" w:eastAsia="Arial"/>
                <w:sz w:val="16"/>
              </w:rPr>
            </w:r>
            <w:r>
              <w:rPr>
                <w:rFonts w:ascii="Arial" w:hAnsi="Arial" w:eastAsia="Arial"/>
                <w:sz w:val="16"/>
              </w:rPr>
              <w:t>Coordinator gửi yêu cầu chuẩn bị và chờ vote</w:t>
            </w:r>
          </w:p>
        </w:tc>
      </w:tr>
      <w:tr>
        <w:tc>
          <w:tcPr>
            <w:tcW w:type="dxa" w:w="7569"/>
            <w:vAlign w:val="top"/>
            <w:shd w:fill="F7FAFC"/>
          </w:tcPr>
          <w:p>
            <w:pPr>
              <w:spacing w:after="0"/>
            </w:pPr>
            <w:r>
              <w:rPr>
                <w:rFonts w:ascii="Arial" w:hAnsi="Arial" w:eastAsia="Arial"/>
                <w:sz w:val="16"/>
              </w:rPr>
            </w:r>
            <w:r>
              <w:rPr>
                <w:rFonts w:ascii="Arial" w:hAnsi="Arial" w:eastAsia="Arial"/>
                <w:sz w:val="16"/>
              </w:rPr>
              <w:t>COMMIT / ABORT</w:t>
            </w:r>
          </w:p>
        </w:tc>
        <w:tc>
          <w:tcPr>
            <w:tcW w:type="dxa" w:w="7569"/>
            <w:vAlign w:val="top"/>
            <w:shd w:fill="F7FAFC"/>
          </w:tcPr>
          <w:p>
            <w:pPr>
              <w:spacing w:after="0"/>
            </w:pPr>
            <w:r>
              <w:rPr>
                <w:rFonts w:ascii="Arial" w:hAnsi="Arial" w:eastAsia="Arial"/>
                <w:sz w:val="16"/>
              </w:rPr>
            </w:r>
            <w:r>
              <w:rPr>
                <w:rFonts w:ascii="Arial" w:hAnsi="Arial" w:eastAsia="Arial"/>
                <w:sz w:val="16"/>
              </w:rPr>
              <w:t>Coordinator gửi quyết định cuối cùng và chờ ACK</w:t>
            </w:r>
          </w:p>
        </w:tc>
      </w:tr>
    </w:tbl>
    <w:p/>
    <w:p>
      <w:pPr>
        <w:spacing w:after="120" w:line="259" w:lineRule="auto"/>
      </w:pPr>
      <w:r>
        <w:rPr>
          <w:rFonts w:ascii="Arial" w:hAnsi="Arial" w:eastAsia="Arial"/>
          <w:sz w:val="22"/>
        </w:rPr>
        <w:t>Kết quả benchmark cho thấy thời gian của hai phase này tăng theo Network Latency:</w:t>
      </w:r>
    </w:p>
    <w:tbl>
      <w:tblPr>
        <w:tblStyle w:val="TableGrid"/>
        <w:tblW w:type="auto" w:w="0"/>
        <w:jc w:val="center"/>
        <w:tblLayout w:type="autofit"/>
        <w:tblLook w:firstColumn="1" w:firstRow="1" w:lastColumn="0" w:lastRow="0" w:noHBand="0" w:noVBand="1" w:val="04A0"/>
      </w:tblPr>
      <w:tblGrid>
        <w:gridCol w:w="5046"/>
        <w:gridCol w:w="5046"/>
        <w:gridCol w:w="5046"/>
      </w:tblGrid>
      <w:tr>
        <w:tc>
          <w:tcPr>
            <w:tcW w:type="dxa" w:w="5046"/>
            <w:vAlign w:val="top"/>
            <w:shd w:fill="1F4E79"/>
          </w:tcPr>
          <w:p>
            <w:pPr>
              <w:spacing w:after="0"/>
            </w:pPr>
            <w:r>
              <w:rPr>
                <w:rFonts w:ascii="Arial" w:hAnsi="Arial" w:eastAsia="Arial"/>
                <w:b/>
                <w:color w:val="FFFFFF"/>
                <w:sz w:val="16"/>
              </w:rPr>
            </w:r>
            <w:r>
              <w:rPr>
                <w:rFonts w:ascii="Arial" w:hAnsi="Arial" w:eastAsia="Arial"/>
                <w:b/>
                <w:color w:val="FFFFFF"/>
                <w:sz w:val="16"/>
              </w:rPr>
              <w:t>Latency</w:t>
            </w:r>
          </w:p>
        </w:tc>
        <w:tc>
          <w:tcPr>
            <w:tcW w:type="dxa" w:w="5046"/>
            <w:vAlign w:val="top"/>
            <w:shd w:fill="1F4E79"/>
          </w:tcPr>
          <w:p>
            <w:pPr>
              <w:spacing w:after="0"/>
            </w:pPr>
            <w:r>
              <w:rPr>
                <w:rFonts w:ascii="Arial" w:hAnsi="Arial" w:eastAsia="Arial"/>
                <w:b/>
                <w:color w:val="FFFFFF"/>
                <w:sz w:val="16"/>
              </w:rPr>
            </w:r>
            <w:r>
              <w:rPr>
                <w:rFonts w:ascii="Arial" w:hAnsi="Arial" w:eastAsia="Arial"/>
                <w:b/>
                <w:color w:val="FFFFFF"/>
                <w:sz w:val="16"/>
              </w:rPr>
              <w:t>Prepare Phase</w:t>
            </w:r>
          </w:p>
        </w:tc>
        <w:tc>
          <w:tcPr>
            <w:tcW w:type="dxa" w:w="5046"/>
            <w:vAlign w:val="top"/>
            <w:shd w:fill="1F4E79"/>
          </w:tcPr>
          <w:p>
            <w:pPr>
              <w:spacing w:after="0"/>
            </w:pPr>
            <w:r>
              <w:rPr>
                <w:rFonts w:ascii="Arial" w:hAnsi="Arial" w:eastAsia="Arial"/>
                <w:b/>
                <w:color w:val="FFFFFF"/>
                <w:sz w:val="16"/>
              </w:rPr>
            </w:r>
            <w:r>
              <w:rPr>
                <w:rFonts w:ascii="Arial" w:hAnsi="Arial" w:eastAsia="Arial"/>
                <w:b/>
                <w:color w:val="FFFFFF"/>
                <w:sz w:val="16"/>
              </w:rPr>
              <w:t>Decision Phase</w:t>
            </w:r>
          </w:p>
        </w:tc>
      </w:tr>
      <w:tr>
        <w:tc>
          <w:tcPr>
            <w:tcW w:type="dxa" w:w="5046"/>
            <w:vAlign w:val="top"/>
          </w:tcPr>
          <w:p>
            <w:pPr>
              <w:spacing w:after="0"/>
            </w:pPr>
            <w:r>
              <w:rPr>
                <w:rFonts w:ascii="Arial" w:hAnsi="Arial" w:eastAsia="Arial"/>
                <w:sz w:val="16"/>
              </w:rPr>
            </w:r>
            <w:r>
              <w:rPr>
                <w:rFonts w:ascii="Arial" w:hAnsi="Arial" w:eastAsia="Arial"/>
                <w:sz w:val="16"/>
              </w:rPr>
              <w:t>1ms</w:t>
            </w:r>
          </w:p>
        </w:tc>
        <w:tc>
          <w:tcPr>
            <w:tcW w:type="dxa" w:w="5046"/>
            <w:vAlign w:val="top"/>
          </w:tcPr>
          <w:p>
            <w:pPr>
              <w:spacing w:after="0"/>
            </w:pPr>
            <w:r>
              <w:rPr>
                <w:rFonts w:ascii="Arial" w:hAnsi="Arial" w:eastAsia="Arial"/>
                <w:sz w:val="16"/>
              </w:rPr>
            </w:r>
            <w:r>
              <w:rPr>
                <w:rFonts w:ascii="Arial" w:hAnsi="Arial" w:eastAsia="Arial"/>
                <w:sz w:val="16"/>
              </w:rPr>
              <w:t>28.95 ms</w:t>
            </w:r>
          </w:p>
        </w:tc>
        <w:tc>
          <w:tcPr>
            <w:tcW w:type="dxa" w:w="5046"/>
            <w:vAlign w:val="top"/>
          </w:tcPr>
          <w:p>
            <w:pPr>
              <w:spacing w:after="0"/>
            </w:pPr>
            <w:r>
              <w:rPr>
                <w:rFonts w:ascii="Arial" w:hAnsi="Arial" w:eastAsia="Arial"/>
                <w:sz w:val="16"/>
              </w:rPr>
            </w:r>
            <w:r>
              <w:rPr>
                <w:rFonts w:ascii="Arial" w:hAnsi="Arial" w:eastAsia="Arial"/>
                <w:sz w:val="16"/>
              </w:rPr>
              <w:t>29.01 ms</w:t>
            </w:r>
          </w:p>
        </w:tc>
      </w:tr>
      <w:tr>
        <w:tc>
          <w:tcPr>
            <w:tcW w:type="dxa" w:w="5046"/>
            <w:vAlign w:val="top"/>
            <w:shd w:fill="F7FAFC"/>
          </w:tcPr>
          <w:p>
            <w:pPr>
              <w:spacing w:after="0"/>
            </w:pPr>
            <w:r>
              <w:rPr>
                <w:rFonts w:ascii="Arial" w:hAnsi="Arial" w:eastAsia="Arial"/>
                <w:sz w:val="16"/>
              </w:rPr>
            </w:r>
            <w:r>
              <w:rPr>
                <w:rFonts w:ascii="Arial" w:hAnsi="Arial" w:eastAsia="Arial"/>
                <w:sz w:val="16"/>
              </w:rPr>
              <w:t>50ms</w:t>
            </w:r>
          </w:p>
        </w:tc>
        <w:tc>
          <w:tcPr>
            <w:tcW w:type="dxa" w:w="5046"/>
            <w:vAlign w:val="top"/>
            <w:shd w:fill="F7FAFC"/>
          </w:tcPr>
          <w:p>
            <w:pPr>
              <w:spacing w:after="0"/>
            </w:pPr>
            <w:r>
              <w:rPr>
                <w:rFonts w:ascii="Arial" w:hAnsi="Arial" w:eastAsia="Arial"/>
                <w:sz w:val="16"/>
              </w:rPr>
            </w:r>
            <w:r>
              <w:rPr>
                <w:rFonts w:ascii="Arial" w:hAnsi="Arial" w:eastAsia="Arial"/>
                <w:sz w:val="16"/>
              </w:rPr>
              <w:t>126.39 ms</w:t>
            </w:r>
          </w:p>
        </w:tc>
        <w:tc>
          <w:tcPr>
            <w:tcW w:type="dxa" w:w="5046"/>
            <w:vAlign w:val="top"/>
            <w:shd w:fill="F7FAFC"/>
          </w:tcPr>
          <w:p>
            <w:pPr>
              <w:spacing w:after="0"/>
            </w:pPr>
            <w:r>
              <w:rPr>
                <w:rFonts w:ascii="Arial" w:hAnsi="Arial" w:eastAsia="Arial"/>
                <w:sz w:val="16"/>
              </w:rPr>
            </w:r>
            <w:r>
              <w:rPr>
                <w:rFonts w:ascii="Arial" w:hAnsi="Arial" w:eastAsia="Arial"/>
                <w:sz w:val="16"/>
              </w:rPr>
              <w:t>126.90 ms</w:t>
            </w:r>
          </w:p>
        </w:tc>
      </w:tr>
      <w:tr>
        <w:tc>
          <w:tcPr>
            <w:tcW w:type="dxa" w:w="5046"/>
            <w:vAlign w:val="top"/>
          </w:tcPr>
          <w:p>
            <w:pPr>
              <w:spacing w:after="0"/>
            </w:pPr>
            <w:r>
              <w:rPr>
                <w:rFonts w:ascii="Arial" w:hAnsi="Arial" w:eastAsia="Arial"/>
                <w:sz w:val="16"/>
              </w:rPr>
            </w:r>
            <w:r>
              <w:rPr>
                <w:rFonts w:ascii="Arial" w:hAnsi="Arial" w:eastAsia="Arial"/>
                <w:sz w:val="16"/>
              </w:rPr>
              <w:t>250ms</w:t>
            </w:r>
          </w:p>
        </w:tc>
        <w:tc>
          <w:tcPr>
            <w:tcW w:type="dxa" w:w="5046"/>
            <w:vAlign w:val="top"/>
          </w:tcPr>
          <w:p>
            <w:pPr>
              <w:spacing w:after="0"/>
            </w:pPr>
            <w:r>
              <w:rPr>
                <w:rFonts w:ascii="Arial" w:hAnsi="Arial" w:eastAsia="Arial"/>
                <w:sz w:val="16"/>
              </w:rPr>
            </w:r>
            <w:r>
              <w:rPr>
                <w:rFonts w:ascii="Arial" w:hAnsi="Arial" w:eastAsia="Arial"/>
                <w:sz w:val="16"/>
              </w:rPr>
              <w:t>528.41 ms</w:t>
            </w:r>
          </w:p>
        </w:tc>
        <w:tc>
          <w:tcPr>
            <w:tcW w:type="dxa" w:w="5046"/>
            <w:vAlign w:val="top"/>
          </w:tcPr>
          <w:p>
            <w:pPr>
              <w:spacing w:after="0"/>
            </w:pPr>
            <w:r>
              <w:rPr>
                <w:rFonts w:ascii="Arial" w:hAnsi="Arial" w:eastAsia="Arial"/>
                <w:sz w:val="16"/>
              </w:rPr>
            </w:r>
            <w:r>
              <w:rPr>
                <w:rFonts w:ascii="Arial" w:hAnsi="Arial" w:eastAsia="Arial"/>
                <w:sz w:val="16"/>
              </w:rPr>
              <w:t>529.43 ms</w:t>
            </w:r>
          </w:p>
        </w:tc>
      </w:tr>
    </w:tbl>
    <w:p/>
    <w:p>
      <w:pPr>
        <w:spacing w:after="120" w:line="259" w:lineRule="auto"/>
      </w:pPr>
      <w:r>
        <w:rPr>
          <w:rFonts w:ascii="Arial" w:hAnsi="Arial" w:eastAsia="Arial"/>
          <w:sz w:val="22"/>
        </w:rPr>
        <w:t>Hai phase có thời gian gần tương đương nhau vì cả hai đều yêu cầu Coordinator gửi request đến các Participant Node và chờ response. Khi latency tăng, cả hai phase đều bị ảnh hưởng.</w:t>
      </w:r>
    </w:p>
    <w:p>
      <w:pPr>
        <w:spacing w:after="120" w:line="259" w:lineRule="auto"/>
      </w:pPr>
      <w:r>
        <w:rPr>
          <w:rFonts w:ascii="Arial" w:hAnsi="Arial" w:eastAsia="Arial"/>
          <w:sz w:val="22"/>
        </w:rPr>
        <w:t>Điều này phù hợp với bản chất của Two-Phase Commit: giao thức đảm bảo Atomicity cho Distributed Transaction nhưng phải trả giá bằng chi phí điều phối và truyền thông cao.</w:t>
      </w:r>
    </w:p>
    <w:p>
      <w:pPr>
        <w:spacing w:after="120" w:line="259" w:lineRule="auto"/>
      </w:pPr>
      <w:r>
        <w:rPr>
          <w:rFonts w:ascii="Arial" w:hAnsi="Arial" w:eastAsia="Arial"/>
          <w:b/>
          <w:color w:val="1F4E79"/>
          <w:sz w:val="28"/>
        </w:rPr>
        <w:t>10. Failure Scenario</w:t>
      </w:r>
    </w:p>
    <w:p>
      <w:pPr>
        <w:spacing w:after="120" w:line="259" w:lineRule="auto"/>
      </w:pPr>
      <w:r>
        <w:rPr>
          <w:rFonts w:ascii="Arial" w:hAnsi="Arial" w:eastAsia="Arial"/>
          <w:sz w:val="22"/>
        </w:rPr>
        <w:t>Ngoài benchmark trong điều kiện bình thường, hệ thống còn được kiểm tra với Failure Scenario bằng cách mô phỏng Node B bị crash.</w:t>
      </w:r>
    </w:p>
    <w:p>
      <w:pPr>
        <w:spacing w:after="120" w:line="259" w:lineRule="auto"/>
      </w:pPr>
      <w:r>
        <w:rPr>
          <w:rFonts w:ascii="Arial" w:hAnsi="Arial" w:eastAsia="Arial"/>
          <w:sz w:val="22"/>
        </w:rPr>
        <w:t>Khi Node B bị crash, Coordinator không nhận đủ vote YES trong phase PREPARE. Theo quy tắc của Two-Phase Commit, Coordinator quyết định GLOBAL ABORT và gửi lệnh ABORT đến các node còn lại.</w:t>
      </w:r>
    </w:p>
    <w:p>
      <w:pPr>
        <w:spacing w:after="120" w:line="259" w:lineRule="auto"/>
      </w:pPr>
      <w:r>
        <w:rPr>
          <w:rFonts w:ascii="Arial" w:hAnsi="Arial" w:eastAsia="Arial"/>
          <w:sz w:val="22"/>
        </w:rPr>
        <w:t xml:space="preserve">Kết quả log cho thấy transaction </w:t>
      </w:r>
      <w:r>
        <w:rPr>
          <w:rFonts w:ascii="Arial" w:hAnsi="Arial" w:eastAsia="Arial"/>
          <w:sz w:val="22"/>
        </w:rPr>
        <w:t>TX_FAIL_NODE_B_001</w:t>
      </w:r>
      <w:r>
        <w:rPr>
          <w:rFonts w:ascii="Arial" w:hAnsi="Arial" w:eastAsia="Arial"/>
          <w:sz w:val="22"/>
        </w:rPr>
        <w:t xml:space="preserve"> có:</w:t>
      </w:r>
    </w:p>
    <w:tbl>
      <w:tblPr>
        <w:tblStyle w:val="TableGrid"/>
        <w:tblW w:type="auto" w:w="0"/>
        <w:jc w:val="center"/>
        <w:tblLayout w:type="autofit"/>
        <w:tblLook w:firstColumn="1" w:firstRow="1" w:lastColumn="0" w:lastRow="0" w:noHBand="0" w:noVBand="1" w:val="04A0"/>
      </w:tblPr>
      <w:tblGrid>
        <w:gridCol w:w="7569"/>
        <w:gridCol w:w="7569"/>
      </w:tblGrid>
      <w:tr>
        <w:tc>
          <w:tcPr>
            <w:tcW w:type="dxa" w:w="7569"/>
            <w:vAlign w:val="top"/>
            <w:shd w:fill="1F4E79"/>
          </w:tcPr>
          <w:p>
            <w:pPr>
              <w:spacing w:after="0"/>
            </w:pPr>
            <w:r>
              <w:rPr>
                <w:rFonts w:ascii="Arial" w:hAnsi="Arial" w:eastAsia="Arial"/>
                <w:b/>
                <w:color w:val="FFFFFF"/>
                <w:sz w:val="16"/>
              </w:rPr>
            </w:r>
            <w:r>
              <w:rPr>
                <w:rFonts w:ascii="Arial" w:hAnsi="Arial" w:eastAsia="Arial"/>
                <w:b/>
                <w:color w:val="FFFFFF"/>
                <w:sz w:val="16"/>
              </w:rPr>
              <w:t>Trường</w:t>
            </w:r>
          </w:p>
        </w:tc>
        <w:tc>
          <w:tcPr>
            <w:tcW w:type="dxa" w:w="7569"/>
            <w:vAlign w:val="top"/>
            <w:shd w:fill="1F4E79"/>
          </w:tcPr>
          <w:p>
            <w:pPr>
              <w:spacing w:after="0"/>
            </w:pPr>
            <w:r>
              <w:rPr>
                <w:rFonts w:ascii="Arial" w:hAnsi="Arial" w:eastAsia="Arial"/>
                <w:b/>
                <w:color w:val="FFFFFF"/>
                <w:sz w:val="16"/>
              </w:rPr>
            </w:r>
            <w:r>
              <w:rPr>
                <w:rFonts w:ascii="Arial" w:hAnsi="Arial" w:eastAsia="Arial"/>
                <w:b/>
                <w:color w:val="FFFFFF"/>
                <w:sz w:val="16"/>
              </w:rPr>
              <w:t>Giá trị</w:t>
            </w:r>
          </w:p>
        </w:tc>
      </w:tr>
      <w:tr>
        <w:tc>
          <w:tcPr>
            <w:tcW w:type="dxa" w:w="7569"/>
            <w:vAlign w:val="top"/>
          </w:tcPr>
          <w:p>
            <w:pPr>
              <w:spacing w:after="0"/>
            </w:pPr>
            <w:r>
              <w:rPr>
                <w:rFonts w:ascii="Arial" w:hAnsi="Arial" w:eastAsia="Arial"/>
                <w:sz w:val="16"/>
              </w:rPr>
            </w:r>
            <w:r>
              <w:rPr>
                <w:rFonts w:ascii="Arial" w:hAnsi="Arial" w:eastAsia="Arial"/>
                <w:sz w:val="16"/>
              </w:rPr>
              <w:t>Decision</w:t>
            </w:r>
          </w:p>
        </w:tc>
        <w:tc>
          <w:tcPr>
            <w:tcW w:type="dxa" w:w="7569"/>
            <w:vAlign w:val="top"/>
          </w:tcPr>
          <w:p>
            <w:pPr>
              <w:spacing w:after="0"/>
            </w:pPr>
            <w:r>
              <w:rPr>
                <w:rFonts w:ascii="Arial" w:hAnsi="Arial" w:eastAsia="Arial"/>
                <w:sz w:val="16"/>
              </w:rPr>
            </w:r>
            <w:r>
              <w:rPr>
                <w:rFonts w:ascii="Arial" w:hAnsi="Arial" w:eastAsia="Arial"/>
                <w:sz w:val="16"/>
              </w:rPr>
              <w:t>ABORT</w:t>
            </w:r>
          </w:p>
        </w:tc>
      </w:tr>
      <w:tr>
        <w:tc>
          <w:tcPr>
            <w:tcW w:type="dxa" w:w="7569"/>
            <w:vAlign w:val="top"/>
            <w:shd w:fill="F7FAFC"/>
          </w:tcPr>
          <w:p>
            <w:pPr>
              <w:spacing w:after="0"/>
            </w:pPr>
            <w:r>
              <w:rPr>
                <w:rFonts w:ascii="Arial" w:hAnsi="Arial" w:eastAsia="Arial"/>
                <w:sz w:val="16"/>
              </w:rPr>
            </w:r>
            <w:r>
              <w:rPr>
                <w:rFonts w:ascii="Arial" w:hAnsi="Arial" w:eastAsia="Arial"/>
                <w:sz w:val="16"/>
              </w:rPr>
              <w:t>Status</w:t>
            </w:r>
          </w:p>
        </w:tc>
        <w:tc>
          <w:tcPr>
            <w:tcW w:type="dxa" w:w="7569"/>
            <w:vAlign w:val="top"/>
            <w:shd w:fill="F7FAFC"/>
          </w:tcPr>
          <w:p>
            <w:pPr>
              <w:spacing w:after="0"/>
            </w:pPr>
            <w:r>
              <w:rPr>
                <w:rFonts w:ascii="Arial" w:hAnsi="Arial" w:eastAsia="Arial"/>
                <w:sz w:val="16"/>
              </w:rPr>
            </w:r>
            <w:r>
              <w:rPr>
                <w:rFonts w:ascii="Arial" w:hAnsi="Arial" w:eastAsia="Arial"/>
                <w:sz w:val="16"/>
              </w:rPr>
              <w:t>FAILED</w:t>
            </w:r>
          </w:p>
        </w:tc>
      </w:tr>
      <w:tr>
        <w:tc>
          <w:tcPr>
            <w:tcW w:type="dxa" w:w="7569"/>
            <w:vAlign w:val="top"/>
          </w:tcPr>
          <w:p>
            <w:pPr>
              <w:spacing w:after="0"/>
            </w:pPr>
            <w:r>
              <w:rPr>
                <w:rFonts w:ascii="Arial" w:hAnsi="Arial" w:eastAsia="Arial"/>
                <w:sz w:val="16"/>
              </w:rPr>
            </w:r>
            <w:r>
              <w:rPr>
                <w:rFonts w:ascii="Arial" w:hAnsi="Arial" w:eastAsia="Arial"/>
                <w:sz w:val="16"/>
              </w:rPr>
              <w:t>Failed node</w:t>
            </w:r>
          </w:p>
        </w:tc>
        <w:tc>
          <w:tcPr>
            <w:tcW w:type="dxa" w:w="7569"/>
            <w:vAlign w:val="top"/>
          </w:tcPr>
          <w:p>
            <w:pPr>
              <w:spacing w:after="0"/>
            </w:pPr>
            <w:r>
              <w:rPr>
                <w:rFonts w:ascii="Arial" w:hAnsi="Arial" w:eastAsia="Arial"/>
                <w:sz w:val="16"/>
              </w:rPr>
            </w:r>
            <w:r>
              <w:rPr>
                <w:rFonts w:ascii="Arial" w:hAnsi="Arial" w:eastAsia="Arial"/>
                <w:sz w:val="16"/>
              </w:rPr>
              <w:t>Node B</w:t>
            </w:r>
          </w:p>
        </w:tc>
      </w:tr>
    </w:tbl>
    <w:p/>
    <w:p>
      <w:pPr>
        <w:spacing w:after="120" w:line="259" w:lineRule="auto"/>
      </w:pPr>
      <w:r>
        <w:rPr>
          <w:rFonts w:ascii="Arial" w:hAnsi="Arial" w:eastAsia="Arial"/>
          <w:sz w:val="22"/>
        </w:rPr>
        <w:t>Kết quả này chứng minh hệ thống không xảy ra partial commit. Không có trường hợp một số node đã commit trong khi node khác bị lỗi và không commit.</w:t>
      </w:r>
    </w:p>
    <w:p>
      <w:pPr>
        <w:spacing w:after="120" w:line="259" w:lineRule="auto"/>
      </w:pPr>
      <w:r>
        <w:rPr>
          <w:rFonts w:ascii="Arial" w:hAnsi="Arial" w:eastAsia="Arial"/>
          <w:sz w:val="22"/>
        </w:rPr>
        <w:t>Ý nghĩa của Failure Scenario là chứng minh Two-Phase Commit giúp đảm bảo tính Atomicity trong môi trường phân tán.</w:t>
      </w:r>
    </w:p>
    <w:p>
      <w:pPr>
        <w:spacing w:after="120" w:line="259" w:lineRule="auto"/>
      </w:pPr>
      <w:r>
        <w:rPr>
          <w:rFonts w:ascii="Arial" w:hAnsi="Arial" w:eastAsia="Arial"/>
          <w:sz w:val="22"/>
        </w:rPr>
        <w:t>Tuy nhiên, 2PC vẫn có hạn chế. Nếu Coordinator bị lỗi sau khi Participant đã vote YES và đang chờ quyết định cuối cùng, hệ thống có thể rơi vào trạng thái blocking. Trong phạm vi đồ án này, hệ thống mới mô phỏng lỗi Participant Node, chưa mô phỏng lỗi Coordinator.</w:t>
      </w:r>
    </w:p>
    <w:p>
      <w:pPr>
        <w:spacing w:after="120" w:line="259" w:lineRule="auto"/>
      </w:pPr>
      <w:r>
        <w:rPr>
          <w:rFonts w:ascii="Arial" w:hAnsi="Arial" w:eastAsia="Arial"/>
          <w:b/>
          <w:color w:val="1F4E79"/>
          <w:sz w:val="28"/>
        </w:rPr>
        <w:t>11. Kết Luận</w:t>
      </w:r>
    </w:p>
    <w:p>
      <w:pPr>
        <w:spacing w:after="120" w:line="259" w:lineRule="auto"/>
      </w:pPr>
      <w:r>
        <w:rPr>
          <w:rFonts w:ascii="Arial" w:hAnsi="Arial" w:eastAsia="Arial"/>
          <w:sz w:val="22"/>
        </w:rPr>
        <w:t>Kết quả thực nghiệm cho thấy Network Latency có ảnh hưởng rất lớn đến Distributed Transaction sử dụng Two-Phase Commit.</w:t>
      </w:r>
    </w:p>
    <w:p>
      <w:pPr>
        <w:spacing w:after="120" w:line="259" w:lineRule="auto"/>
      </w:pPr>
      <w:r>
        <w:rPr>
          <w:rFonts w:ascii="Arial" w:hAnsi="Arial" w:eastAsia="Arial"/>
          <w:sz w:val="22"/>
        </w:rPr>
        <w:t>Khi latency tăng từ 1ms lên 50ms và 250ms, Mean Total Transaction Time tăng từ 57.97 ms lên 253.30 ms và 1057.85 ms. Trong khi đó, Doing Work Time gần như ổn định, chỉ tăng nhẹ từ 23.25 ms lên 28.33 ms.</w:t>
      </w:r>
    </w:p>
    <w:p>
      <w:pPr>
        <w:spacing w:after="120" w:line="259" w:lineRule="auto"/>
      </w:pPr>
      <w:r>
        <w:rPr>
          <w:rFonts w:ascii="Arial" w:hAnsi="Arial" w:eastAsia="Arial"/>
          <w:sz w:val="22"/>
        </w:rPr>
        <w:t>Network Waiting Time tăng mạnh từ 34.72 ms lên 228.92 ms và 1029.52 ms. Tương ứng, Cost of Coordination tăng từ 58.70% lên 90.37% và 97.33%.</w:t>
      </w:r>
    </w:p>
    <w:p>
      <w:pPr>
        <w:spacing w:after="120" w:line="259" w:lineRule="auto"/>
      </w:pPr>
      <w:r>
        <w:rPr>
          <w:rFonts w:ascii="Arial" w:hAnsi="Arial" w:eastAsia="Arial"/>
          <w:sz w:val="22"/>
        </w:rPr>
        <w:t>Kết quả này chứng minh rằng trong Distributed Transaction, đặc biệt với giao thức Two-Phase Commit, Communication Cost có thể trở thành thành phần chi phối tổng thời gian xử lý khi các node nằm xa nhau về mặt mạng.</w:t>
      </w:r>
    </w:p>
    <w:p>
      <w:pPr>
        <w:spacing w:after="120" w:line="259" w:lineRule="auto"/>
      </w:pPr>
      <w:r>
        <w:rPr>
          <w:rFonts w:ascii="Arial" w:hAnsi="Arial" w:eastAsia="Arial"/>
          <w:sz w:val="22"/>
        </w:rPr>
        <w:t>Kết quả thực nghiệm phù hợp với mô hình chi phí:</w:t>
      </w:r>
    </w:p>
    <w:p>
      <w:pPr>
        <w:spacing w:before="80" w:after="160"/>
        <w:ind w:left="227" w:right="113"/>
        <w:shd w:fill="F4F6F8"/>
      </w:pPr>
      <w:r>
        <w:rPr>
          <w:rFonts w:ascii="Consolas" w:hAnsi="Consolas" w:eastAsia="Consolas"/>
          <w:sz w:val="18"/>
        </w:rPr>
        <w:t>Cost = IO + CPU + Comm</w:t>
      </w:r>
    </w:p>
    <w:p>
      <w:pPr>
        <w:spacing w:after="120" w:line="259" w:lineRule="auto"/>
      </w:pPr>
      <w:r>
        <w:rPr>
          <w:rFonts w:ascii="Arial" w:hAnsi="Arial" w:eastAsia="Arial"/>
          <w:sz w:val="22"/>
        </w:rPr>
        <w:t>Trong đó IO và CPU gần như cố định, còn Comm tăng mạnh theo Network Latency.</w:t>
      </w:r>
    </w:p>
    <w:p>
      <w:pPr>
        <w:spacing w:after="120" w:line="259" w:lineRule="auto"/>
      </w:pPr>
      <w:r>
        <w:rPr>
          <w:rFonts w:ascii="Arial" w:hAnsi="Arial" w:eastAsia="Arial"/>
          <w:sz w:val="22"/>
        </w:rPr>
        <w:t>Do đó, đối với các hệ thống phân tán trên phạm vi rộng như regional hoặc trans-atlantic deployment, cần cân nhắc chi phí truyền thông khi lựa chọn cơ chế commit, thiết kế phân mảnh dữ liệu và triển khai transaction.</w:t>
      </w:r>
    </w:p>
    <w:sectPr w:rsidR="00FC693F" w:rsidRPr="0006063C" w:rsidSect="00034616">
      <w:pgSz w:w="16838" w:h="11906" w:orient="landscape"/>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