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38391D">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38391D">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38391D">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38391D">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38391D">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38391D">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38391D">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38391D">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38391D">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38391D">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8391D"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38391D"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8391D"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Pr="00AF6AFA" w:rsidRDefault="00951727" w:rsidP="00AF6AFA">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w:t>
            </w:r>
            <w:r>
              <w:rPr>
                <w:rFonts w:ascii="Times New Roman" w:hAnsi="Times New Roman" w:cs="Times New Roman"/>
                <w:sz w:val="26"/>
                <w:szCs w:val="26"/>
                <w:lang w:val="vi-VN"/>
              </w:rPr>
              <w:t>chương truyện</w:t>
            </w:r>
            <w:r>
              <w:rPr>
                <w:rFonts w:ascii="Times New Roman" w:hAnsi="Times New Roman" w:cs="Times New Roman"/>
                <w:sz w:val="26"/>
                <w:szCs w:val="26"/>
                <w:lang w:val="vi-VN"/>
              </w:rPr>
              <w:t>:</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 xml:space="preserve">Chất lượng và định dạng: </w:t>
            </w:r>
            <w:r>
              <w:rPr>
                <w:rFonts w:ascii="Times New Roman" w:hAnsi="Times New Roman" w:cs="Times New Roman"/>
                <w:sz w:val="26"/>
                <w:szCs w:val="26"/>
                <w:lang w:val="vi-VN"/>
              </w:rPr>
              <w:t>đẩy đủ tiêu đề, đạt độ dài tối thiểu là 200 từ và không lặp lại các chương trước một cách vô nghĩa</w:t>
            </w:r>
            <w:r>
              <w:rPr>
                <w:rFonts w:ascii="Times New Roman" w:hAnsi="Times New Roman" w:cs="Times New Roman"/>
                <w:sz w:val="26"/>
                <w:szCs w:val="26"/>
                <w:lang w:val="vi-VN"/>
              </w:rPr>
              <w:t>.</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bookmarkStart w:id="21" w:name="_GoBack"/>
            <w:bookmarkEnd w:id="21"/>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2" w:name="_Toc181089454"/>
      <w:r>
        <w:lastRenderedPageBreak/>
        <w:t>ĐẶC TẢ YÊU CẦU</w:t>
      </w:r>
      <w:bookmarkEnd w:id="22"/>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3" w:name="_Toc181089455"/>
      <w:r w:rsidRPr="00091697">
        <w:rPr>
          <w:rStyle w:val="Hyperlink"/>
          <w:color w:val="auto"/>
          <w:u w:val="none"/>
        </w:rPr>
        <w:t>Danh sách Actor</w:t>
      </w:r>
      <w:bookmarkEnd w:id="23"/>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4" w:name="_Toc181089456"/>
      <w:bookmarkStart w:id="25" w:name="_Toc388692079"/>
      <w:bookmarkEnd w:id="12"/>
      <w:r w:rsidRPr="00091697">
        <w:t>Danh sách Use-case</w:t>
      </w:r>
      <w:bookmarkEnd w:id="24"/>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6" w:name="_Toc181089457"/>
      <w:r w:rsidRPr="00091697">
        <w:t>Đặc tả ca sử dụng</w:t>
      </w:r>
      <w:bookmarkEnd w:id="26"/>
    </w:p>
    <w:p w14:paraId="07341298" w14:textId="4DD478DD" w:rsidR="00091697" w:rsidRDefault="00091697" w:rsidP="00D86DF7">
      <w:pPr>
        <w:pStyle w:val="Heading3"/>
      </w:pPr>
      <w:bookmarkStart w:id="27" w:name="_Toc181089458"/>
      <w:r>
        <w:t>&lt;Tên chức năng – UC&gt;</w:t>
      </w:r>
      <w:bookmarkEnd w:id="27"/>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8" w:name="_Toc181089459"/>
      <w:r>
        <w:lastRenderedPageBreak/>
        <w:t>CÁC YÊU CẦU CHỨC NĂNG</w:t>
      </w:r>
      <w:bookmarkEnd w:id="28"/>
    </w:p>
    <w:p w14:paraId="6E3D9EAF" w14:textId="0F1B1717" w:rsidR="00F36611" w:rsidRDefault="00F36611" w:rsidP="00F36611">
      <w:pPr>
        <w:pStyle w:val="Heading2"/>
      </w:pPr>
      <w:bookmarkStart w:id="29" w:name="_Toc181089460"/>
      <w:r>
        <w:t xml:space="preserve">Biểu đồ </w:t>
      </w:r>
      <w:r w:rsidR="00051360">
        <w:t>lớp thực thể</w:t>
      </w:r>
      <w:bookmarkEnd w:id="29"/>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30" w:name="_Toc181089461"/>
      <w:r>
        <w:t>3.1.X Mô tả từng lớp thực thể thứ X dưới dạng bảng.</w:t>
      </w:r>
      <w:bookmarkEnd w:id="30"/>
    </w:p>
    <w:p w14:paraId="0D0037CC" w14:textId="3316645B" w:rsidR="00F36611" w:rsidRPr="00F36611" w:rsidRDefault="00F36611" w:rsidP="00F36611">
      <w:pPr>
        <w:pStyle w:val="Heading2"/>
      </w:pPr>
      <w:bookmarkStart w:id="31" w:name="_Toc181089462"/>
      <w:r>
        <w:t>Biểu đồ hoạt động của use case/ hệ thống/ phương thức</w:t>
      </w:r>
      <w:bookmarkEnd w:id="31"/>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2" w:name="_Toc181089463"/>
      <w:r>
        <w:lastRenderedPageBreak/>
        <w:t xml:space="preserve">Biểu đồ </w:t>
      </w:r>
      <w:r w:rsidR="00051360">
        <w:t>Swimlande</w:t>
      </w:r>
      <w:bookmarkEnd w:id="3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3" w:name="_Toc181089464"/>
      <w:r>
        <w:t>Yêu cầu của hệ thống</w:t>
      </w:r>
      <w:bookmarkEnd w:id="33"/>
    </w:p>
    <w:p w14:paraId="60684FF3" w14:textId="53D65931" w:rsidR="00051360" w:rsidRPr="00051360" w:rsidRDefault="00051360" w:rsidP="00051360">
      <w:pPr>
        <w:pStyle w:val="Heading3"/>
      </w:pPr>
      <w:bookmarkStart w:id="34" w:name="_Toc181089465"/>
      <w:r>
        <w:t>Screen Flow</w:t>
      </w:r>
      <w:bookmarkEnd w:id="3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5" w:name="_Toc181089466"/>
      <w:r w:rsidRPr="0024314F">
        <w:t>Screen Descriptions</w:t>
      </w:r>
      <w:bookmarkEnd w:id="3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6" w:name="_Toc181089467"/>
      <w:r w:rsidRPr="0024314F">
        <w:t>Screen Authorization</w:t>
      </w:r>
      <w:bookmarkEnd w:id="3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7" w:name="_Toc181089468"/>
      <w:r w:rsidRPr="0024314F">
        <w:lastRenderedPageBreak/>
        <w:t>Các chức năng không có giao diện</w:t>
      </w:r>
      <w:bookmarkEnd w:id="3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8" w:name="_Toc181089469"/>
      <w:r>
        <w:rPr>
          <w:rFonts w:eastAsia="Times New Roman"/>
        </w:rPr>
        <w:t>Thiết kế Prototype</w:t>
      </w:r>
      <w:bookmarkEnd w:id="38"/>
    </w:p>
    <w:p w14:paraId="4D555595" w14:textId="4BA80D84" w:rsidR="00194696" w:rsidRDefault="00194696" w:rsidP="00194696">
      <w:pPr>
        <w:pStyle w:val="Heading3"/>
      </w:pPr>
      <w:bookmarkStart w:id="39" w:name="_Toc181089470"/>
      <w:r>
        <w:t>Setting List</w:t>
      </w:r>
      <w:bookmarkEnd w:id="3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40" w:name="_Toc181089471"/>
      <w:r>
        <w:lastRenderedPageBreak/>
        <w:t>CÁC YÊU CẦU PHI CHỨC NĂNG</w:t>
      </w:r>
      <w:bookmarkEnd w:id="4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1" w:name="_Toc181089472"/>
      <w:r w:rsidRPr="003F7A6B">
        <w:rPr>
          <w:rFonts w:eastAsia="Times New Roman"/>
        </w:rPr>
        <w:t>External Interfaces</w:t>
      </w:r>
      <w:bookmarkEnd w:id="4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2" w:name="_Toc181089473"/>
      <w:r>
        <w:rPr>
          <w:rFonts w:eastAsia="Times New Roman"/>
        </w:rPr>
        <w:t>Các thuộc tính chất lượng</w:t>
      </w:r>
      <w:bookmarkEnd w:id="4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81089474"/>
      <w:bookmarkEnd w:id="25"/>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452257C6"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B0FF3" w14:textId="77777777" w:rsidR="00C12AC2" w:rsidRDefault="00C12AC2" w:rsidP="003D0253">
      <w:pPr>
        <w:spacing w:before="0" w:line="240" w:lineRule="auto"/>
      </w:pPr>
      <w:r>
        <w:separator/>
      </w:r>
    </w:p>
  </w:endnote>
  <w:endnote w:type="continuationSeparator" w:id="0">
    <w:p w14:paraId="09CFE35F" w14:textId="77777777" w:rsidR="00C12AC2" w:rsidRDefault="00C12AC2"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70DA0FF6" w:rsidR="0038391D" w:rsidRDefault="0038391D" w:rsidP="00DE6289">
    <w:pPr>
      <w:pStyle w:val="Strang"/>
    </w:pPr>
    <w:r>
      <w:fldChar w:fldCharType="begin"/>
    </w:r>
    <w:r>
      <w:instrText xml:space="preserve"> PAGE   \* MERGEFORMAT </w:instrText>
    </w:r>
    <w:r>
      <w:fldChar w:fldCharType="separate"/>
    </w:r>
    <w:r w:rsidR="00071DFD">
      <w:rPr>
        <w:noProof/>
      </w:rPr>
      <w:t>17</w:t>
    </w:r>
    <w:r>
      <w:rPr>
        <w:noProof/>
      </w:rPr>
      <w:fldChar w:fldCharType="end"/>
    </w:r>
  </w:p>
  <w:p w14:paraId="68D41530" w14:textId="77777777" w:rsidR="0038391D" w:rsidRDefault="0038391D"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0BEE9" w14:textId="77777777" w:rsidR="00C12AC2" w:rsidRDefault="00C12AC2" w:rsidP="003D0253">
      <w:pPr>
        <w:spacing w:before="0" w:line="240" w:lineRule="auto"/>
      </w:pPr>
      <w:r>
        <w:separator/>
      </w:r>
    </w:p>
  </w:footnote>
  <w:footnote w:type="continuationSeparator" w:id="0">
    <w:p w14:paraId="35507196" w14:textId="77777777" w:rsidR="00C12AC2" w:rsidRDefault="00C12AC2"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4"/>
  </w:num>
  <w:num w:numId="2">
    <w:abstractNumId w:val="5"/>
  </w:num>
  <w:num w:numId="3">
    <w:abstractNumId w:val="10"/>
  </w:num>
  <w:num w:numId="4">
    <w:abstractNumId w:val="1"/>
  </w:num>
  <w:num w:numId="5">
    <w:abstractNumId w:val="3"/>
  </w:num>
  <w:num w:numId="6">
    <w:abstractNumId w:val="8"/>
  </w:num>
  <w:num w:numId="7">
    <w:abstractNumId w:val="2"/>
  </w:num>
  <w:num w:numId="8">
    <w:abstractNumId w:val="4"/>
  </w:num>
  <w:num w:numId="9">
    <w:abstractNumId w:val="16"/>
  </w:num>
  <w:num w:numId="10">
    <w:abstractNumId w:val="13"/>
  </w:num>
  <w:num w:numId="11">
    <w:abstractNumId w:val="10"/>
  </w:num>
  <w:num w:numId="12">
    <w:abstractNumId w:val="10"/>
  </w:num>
  <w:num w:numId="13">
    <w:abstractNumId w:val="6"/>
  </w:num>
  <w:num w:numId="14">
    <w:abstractNumId w:val="12"/>
  </w:num>
  <w:num w:numId="15">
    <w:abstractNumId w:val="11"/>
  </w:num>
  <w:num w:numId="16">
    <w:abstractNumId w:val="7"/>
  </w:num>
  <w:num w:numId="17">
    <w:abstractNumId w:val="0"/>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340C9"/>
    <w:rsid w:val="0024314F"/>
    <w:rsid w:val="00270D6C"/>
    <w:rsid w:val="00292725"/>
    <w:rsid w:val="00297269"/>
    <w:rsid w:val="002C253C"/>
    <w:rsid w:val="002C38E6"/>
    <w:rsid w:val="002C57AC"/>
    <w:rsid w:val="002F7807"/>
    <w:rsid w:val="00301D65"/>
    <w:rsid w:val="003632CE"/>
    <w:rsid w:val="0036776E"/>
    <w:rsid w:val="0038391D"/>
    <w:rsid w:val="00383B55"/>
    <w:rsid w:val="003B0122"/>
    <w:rsid w:val="003B48A8"/>
    <w:rsid w:val="003D0253"/>
    <w:rsid w:val="003E260C"/>
    <w:rsid w:val="003F4BF2"/>
    <w:rsid w:val="003F7A6B"/>
    <w:rsid w:val="00424FDE"/>
    <w:rsid w:val="0046403A"/>
    <w:rsid w:val="00470924"/>
    <w:rsid w:val="00470997"/>
    <w:rsid w:val="004738E5"/>
    <w:rsid w:val="004C6343"/>
    <w:rsid w:val="004E5670"/>
    <w:rsid w:val="00517A58"/>
    <w:rsid w:val="0052336A"/>
    <w:rsid w:val="005254E4"/>
    <w:rsid w:val="00526C16"/>
    <w:rsid w:val="00550C55"/>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616A1"/>
    <w:rsid w:val="008649B5"/>
    <w:rsid w:val="008833B4"/>
    <w:rsid w:val="00890247"/>
    <w:rsid w:val="0091792A"/>
    <w:rsid w:val="00926759"/>
    <w:rsid w:val="00943A41"/>
    <w:rsid w:val="009463F5"/>
    <w:rsid w:val="00951727"/>
    <w:rsid w:val="00953B18"/>
    <w:rsid w:val="00965720"/>
    <w:rsid w:val="009710B1"/>
    <w:rsid w:val="00983605"/>
    <w:rsid w:val="009A3B34"/>
    <w:rsid w:val="009D0629"/>
    <w:rsid w:val="009F60CE"/>
    <w:rsid w:val="00A21860"/>
    <w:rsid w:val="00A40C20"/>
    <w:rsid w:val="00A55404"/>
    <w:rsid w:val="00A561A3"/>
    <w:rsid w:val="00A63444"/>
    <w:rsid w:val="00A91098"/>
    <w:rsid w:val="00A91EDC"/>
    <w:rsid w:val="00AB5CB2"/>
    <w:rsid w:val="00AF6309"/>
    <w:rsid w:val="00AF6AFA"/>
    <w:rsid w:val="00B209F8"/>
    <w:rsid w:val="00B43033"/>
    <w:rsid w:val="00B64BED"/>
    <w:rsid w:val="00BC25F0"/>
    <w:rsid w:val="00BE1228"/>
    <w:rsid w:val="00BF6B39"/>
    <w:rsid w:val="00C037F8"/>
    <w:rsid w:val="00C06374"/>
    <w:rsid w:val="00C12AC2"/>
    <w:rsid w:val="00C30290"/>
    <w:rsid w:val="00C64066"/>
    <w:rsid w:val="00C72F2E"/>
    <w:rsid w:val="00C82F88"/>
    <w:rsid w:val="00CA331A"/>
    <w:rsid w:val="00CB4CAE"/>
    <w:rsid w:val="00D3137C"/>
    <w:rsid w:val="00D52ED9"/>
    <w:rsid w:val="00D74D10"/>
    <w:rsid w:val="00D84A7D"/>
    <w:rsid w:val="00D86DF7"/>
    <w:rsid w:val="00DB1C52"/>
    <w:rsid w:val="00DB2058"/>
    <w:rsid w:val="00DB2A49"/>
    <w:rsid w:val="00DC7ED7"/>
    <w:rsid w:val="00DC7FE3"/>
    <w:rsid w:val="00DE6289"/>
    <w:rsid w:val="00E002B3"/>
    <w:rsid w:val="00E06367"/>
    <w:rsid w:val="00E209D8"/>
    <w:rsid w:val="00E53C68"/>
    <w:rsid w:val="00E56664"/>
    <w:rsid w:val="00E608FD"/>
    <w:rsid w:val="00E63321"/>
    <w:rsid w:val="00EE3F9B"/>
    <w:rsid w:val="00EF7838"/>
    <w:rsid w:val="00F03327"/>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B8C56-47E9-431E-A500-B9A3204E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28</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43</cp:revision>
  <cp:lastPrinted>2021-03-31T06:57:00Z</cp:lastPrinted>
  <dcterms:created xsi:type="dcterms:W3CDTF">2023-08-22T01:51:00Z</dcterms:created>
  <dcterms:modified xsi:type="dcterms:W3CDTF">2025-05-25T15:11:00Z</dcterms:modified>
</cp:coreProperties>
</file>